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vMerge w:val="restart"/>
          </w:tcPr>
          <w:p>
            <w:pPr>
              <w:ind w:left="20"/>
              <w:spacing w:after="0"/>
              <w:rPr>
                <w:rFonts w:ascii="Arial" w:cs="Arial" w:eastAsia="Arial" w:hAnsi="Arial"/>
                <w:sz w:val="21"/>
                <w:szCs w:val="21"/>
                <w:u w:val="single" w:color="auto"/>
                <w:color w:val="0000EE"/>
                <w:w w:val="90"/>
              </w:rPr>
            </w:pPr>
            <w:hyperlink r:id="rId13">
              <w:r>
                <w:rPr>
                  <w:rFonts w:ascii="Arial" w:cs="Arial" w:eastAsia="Arial" w:hAnsi="Arial"/>
                  <w:sz w:val="21"/>
                  <w:szCs w:val="21"/>
                  <w:u w:val="single" w:color="auto"/>
                  <w:color w:val="0000EE"/>
                  <w:w w:val="90"/>
                </w:rPr>
                <w:t>Collins James J.</w:t>
              </w:r>
            </w:hyperlink>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8"/>
          </w:tcPr>
          <w:p>
            <w:pPr>
              <w:ind w:left="8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Fulcrum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06/11/2020</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26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90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54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17.63</w:t>
            </w:r>
          </w:p>
        </w:tc>
        <w:tc>
          <w:tcPr>
            <w:tcW w:w="1020" w:type="dxa"/>
            <w:vAlign w:val="bottom"/>
            <w:vMerge w:val="restart"/>
          </w:tcPr>
          <w:p>
            <w:pPr>
              <w:ind w:left="220"/>
              <w:spacing w:after="0"/>
              <w:rPr>
                <w:sz w:val="20"/>
                <w:szCs w:val="20"/>
                <w:color w:val="auto"/>
              </w:rPr>
            </w:pPr>
            <w:r>
              <w:rPr>
                <w:rFonts w:ascii="Arial" w:cs="Arial" w:eastAsia="Arial" w:hAnsi="Arial"/>
                <w:sz w:val="13"/>
                <w:szCs w:val="13"/>
                <w:color w:val="0000FF"/>
              </w:rPr>
              <w:t>06/11/2020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9,285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06/10/2030</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9,285</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9,285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-2935605</wp:posOffset>
            </wp:positionV>
            <wp:extent cx="7033260" cy="3075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75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11, 2020 and is scheduled to vest with respect to all shares on the first anniversary of the grant date or, if earlier, immediately prior to the first annual meeting of stockholders occurring after the grant date, subject to continued service.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51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18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9269"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2020-06-15T15:17:35Z</dcterms:created>
  <dcterms:modified xsi:type="dcterms:W3CDTF">2020-06-15T15:17:35Z</dcterms:modified>
</cp:coreProperties>
</file>