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127"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03"/>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160020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spacing w:after="0" w:line="207" w:lineRule="exact"/>
        <w:tabs>
          <w:tab w:leader="none" w:pos="254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9" w:lineRule="exact"/>
        <w:rPr>
          <w:sz w:val="24"/>
          <w:szCs w:val="24"/>
          <w:color w:val="auto"/>
        </w:rPr>
      </w:pPr>
    </w:p>
    <w:p>
      <w:pPr>
        <w:jc w:val="center"/>
        <w:ind w:right="-103"/>
        <w:spacing w:after="0"/>
        <w:rPr>
          <w:sz w:val="20"/>
          <w:szCs w:val="20"/>
          <w:color w:val="auto"/>
        </w:rPr>
      </w:pPr>
      <w:r>
        <w:rPr>
          <w:rFonts w:ascii="Arial" w:cs="Arial" w:eastAsia="Arial" w:hAnsi="Arial"/>
          <w:sz w:val="36"/>
          <w:szCs w:val="36"/>
          <w:b w:val="1"/>
          <w:bCs w:val="1"/>
          <w:color w:val="auto"/>
        </w:rPr>
        <w:t>FULCRUM THERAPEUTICS, INC.</w:t>
      </w:r>
    </w:p>
    <w:p>
      <w:pPr>
        <w:spacing w:after="0" w:line="4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33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64" w:right="180" w:hanging="564"/>
        <w:spacing w:after="0" w:line="264"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-2436495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-2007870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-1716405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-1424940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-721995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-430530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151765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517" w:right="559" w:bottom="1440" w:gutter="0" w:footer="0" w:header="0"/>
        </w:sectPr>
      </w:pPr>
    </w:p>
    <w:bookmarkStart w:id="1" w:name="page2"/>
    <w:bookmarkEnd w:id="1"/>
    <w:p>
      <w:pPr>
        <w:jc w:val="center"/>
        <w:ind w:right="20"/>
        <w:spacing w:after="0" w:line="252" w:lineRule="auto"/>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2762885</wp:posOffset>
            </wp:positionH>
            <wp:positionV relativeFrom="page">
              <wp:posOffset>183515</wp:posOffset>
            </wp:positionV>
            <wp:extent cx="202311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23110" cy="488315"/>
                    </a:xfrm>
                    <a:prstGeom prst="rect">
                      <a:avLst/>
                    </a:prstGeom>
                    <a:noFill/>
                  </pic:spPr>
                </pic:pic>
              </a:graphicData>
            </a:graphic>
          </wp:anchor>
        </w:drawing>
        <w:t>Important Notice Regarding the Availability of Proxy Materials for the Annual Meeting of Stockholders to be held on June 11, 2020 for Fulcrum Therapeutics, Inc.</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4"/>
          <w:szCs w:val="14"/>
          <w:b w:val="1"/>
          <w:bCs w:val="1"/>
          <w:color w:val="auto"/>
        </w:rPr>
        <w:t xml:space="preserve">This communication is not a form of voting and presents only an overview of the more complete proxy materials that are available to you on the Internet. We encourage you to access and review all of the important information contained in the proxy materials before voting. To view the proxy statement, annual report, directions to register to attend the virtual annual meeting and voting instructions, go to </w:t>
      </w:r>
      <w:r>
        <w:rPr>
          <w:rFonts w:ascii="Arial" w:cs="Arial" w:eastAsia="Arial" w:hAnsi="Arial"/>
          <w:sz w:val="14"/>
          <w:szCs w:val="14"/>
          <w:b w:val="1"/>
          <w:bCs w:val="1"/>
          <w:u w:val="single" w:color="auto"/>
          <w:color w:val="auto"/>
        </w:rPr>
        <w:t>www.proxydocs.com/FULC</w:t>
      </w:r>
      <w:r>
        <w:rPr>
          <w:rFonts w:ascii="Arial" w:cs="Arial" w:eastAsia="Arial" w:hAnsi="Arial"/>
          <w:sz w:val="14"/>
          <w:szCs w:val="14"/>
          <w:b w:val="1"/>
          <w:bCs w:val="1"/>
          <w:color w:val="auto"/>
        </w:rPr>
        <w:t xml:space="preserve"> . To submit your proxy while visiting this site, you will need the 12 digit control number in the box below.</w:t>
      </w:r>
    </w:p>
    <w:p>
      <w:pPr>
        <w:spacing w:after="0" w:line="17"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Under United States Securities and Exchange Commission</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rules, proxy materials do not have to be delivered in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-108585</wp:posOffset>
            </wp:positionV>
            <wp:extent cx="21463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630" cy="16319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-108585</wp:posOffset>
            </wp:positionV>
            <wp:extent cx="13716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63195"/>
                    </a:xfrm>
                    <a:prstGeom prst="rect">
                      <a:avLst/>
                    </a:prstGeom>
                    <a:noFill/>
                  </pic:spPr>
                </pic:pic>
              </a:graphicData>
            </a:graphic>
          </wp:anchor>
        </w:drawing>
      </w:r>
    </w:p>
    <w:p>
      <w:pPr>
        <w:ind w:left="6660"/>
        <w:spacing w:after="0"/>
        <w:tabs>
          <w:tab w:leader="none" w:pos="7200" w:val="left"/>
          <w:tab w:leader="none" w:pos="7980" w:val="left"/>
          <w:tab w:leader="none" w:pos="8380" w:val="left"/>
          <w:tab w:leader="none" w:pos="8680" w:val="left"/>
          <w:tab w:leader="none" w:pos="9560" w:val="left"/>
          <w:tab w:leader="none" w:pos="9860" w:val="left"/>
          <w:tab w:leader="none" w:pos="10520" w:val="left"/>
        </w:tabs>
        <w:rPr>
          <w:sz w:val="20"/>
          <w:szCs w:val="20"/>
          <w:color w:val="auto"/>
        </w:rPr>
      </w:pPr>
      <w:r>
        <w:rPr>
          <w:rFonts w:ascii="Arial" w:cs="Arial" w:eastAsia="Arial" w:hAnsi="Arial"/>
          <w:sz w:val="16"/>
          <w:szCs w:val="16"/>
          <w:color w:val="auto"/>
        </w:rPr>
        <w:t>Proxy</w:t>
        <w:tab/>
        <w:t>materials</w:t>
        <w:tab/>
        <w:t>can</w:t>
        <w:tab/>
        <w:t>be</w:t>
        <w:tab/>
        <w:t>distributed</w:t>
        <w:tab/>
        <w:t>by</w:t>
        <w:tab/>
        <w:t>making</w:t>
        <w:tab/>
        <w:t>them</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available on the Internet. We have chosen to use these</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procedures  for  our  Annual  Meeting  and  need  YOUR</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156210</wp:posOffset>
            </wp:positionV>
            <wp:extent cx="21463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630" cy="16319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156210</wp:posOffset>
            </wp:positionV>
            <wp:extent cx="13716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63195"/>
                    </a:xfrm>
                    <a:prstGeom prst="rect">
                      <a:avLst/>
                    </a:prstGeom>
                    <a:noFill/>
                  </pic:spPr>
                </pic:pic>
              </a:graphicData>
            </a:graphic>
          </wp:anchor>
        </w:drawing>
      </w:r>
    </w:p>
    <w:p>
      <w:pPr>
        <w:spacing w:after="0" w:line="276" w:lineRule="exact"/>
        <w:rPr>
          <w:sz w:val="20"/>
          <w:szCs w:val="20"/>
          <w:color w:val="auto"/>
        </w:rPr>
      </w:pPr>
    </w:p>
    <w:p>
      <w:pPr>
        <w:ind w:left="6660"/>
        <w:spacing w:after="0"/>
        <w:rPr>
          <w:sz w:val="20"/>
          <w:szCs w:val="20"/>
          <w:color w:val="auto"/>
        </w:rPr>
      </w:pPr>
      <w:r>
        <w:rPr>
          <w:rFonts w:ascii="Arial" w:cs="Arial" w:eastAsia="Arial" w:hAnsi="Arial"/>
          <w:sz w:val="16"/>
          <w:szCs w:val="16"/>
          <w:b w:val="1"/>
          <w:bCs w:val="1"/>
          <w:i w:val="1"/>
          <w:iCs w:val="1"/>
          <w:color w:val="auto"/>
        </w:rPr>
        <w:t>If you want to receive a paper or e-mail copy of the</w:t>
      </w:r>
    </w:p>
    <w:p>
      <w:pPr>
        <w:spacing w:after="0" w:line="25" w:lineRule="exact"/>
        <w:rPr>
          <w:sz w:val="20"/>
          <w:szCs w:val="20"/>
          <w:color w:val="auto"/>
        </w:rPr>
      </w:pPr>
    </w:p>
    <w:p>
      <w:pPr>
        <w:ind w:left="6660"/>
        <w:spacing w:after="0"/>
        <w:rPr>
          <w:sz w:val="20"/>
          <w:szCs w:val="20"/>
          <w:color w:val="auto"/>
        </w:rPr>
      </w:pPr>
      <w:r>
        <w:rPr>
          <w:rFonts w:ascii="Arial" w:cs="Arial" w:eastAsia="Arial" w:hAnsi="Arial"/>
          <w:sz w:val="16"/>
          <w:szCs w:val="16"/>
          <w:b w:val="1"/>
          <w:bCs w:val="1"/>
          <w:i w:val="1"/>
          <w:iCs w:val="1"/>
          <w:color w:val="auto"/>
        </w:rPr>
        <w:t>proxy materials, you must request one. There is no</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b w:val="1"/>
          <w:bCs w:val="1"/>
          <w:i w:val="1"/>
          <w:iCs w:val="1"/>
          <w:color w:val="auto"/>
        </w:rPr>
        <w:t>charge  to  you  for  requesting  a  copy.  In  order  to</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b w:val="1"/>
          <w:bCs w:val="1"/>
          <w:i w:val="1"/>
          <w:iCs w:val="1"/>
          <w:color w:val="auto"/>
        </w:rPr>
        <w:t>receive a paper package in time for this year’s Annual</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b w:val="1"/>
          <w:bCs w:val="1"/>
          <w:i w:val="1"/>
          <w:iCs w:val="1"/>
          <w:color w:val="auto"/>
        </w:rPr>
        <w:t>Meeting, please make this request on or before May</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6"/>
          <w:szCs w:val="16"/>
          <w:b w:val="1"/>
          <w:bCs w:val="1"/>
          <w:i w:val="1"/>
          <w:iCs w:val="1"/>
          <w:color w:val="auto"/>
        </w:rPr>
        <w:t>28, 2020.</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36"/>
          <w:szCs w:val="36"/>
          <w:b w:val="1"/>
          <w:bCs w:val="1"/>
          <w:color w:val="auto"/>
        </w:rPr>
        <w:t>For a Convenient Way to VIEW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-240665</wp:posOffset>
            </wp:positionV>
            <wp:extent cx="6017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-146050</wp:posOffset>
            </wp:positionV>
            <wp:extent cx="274320"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320" cy="591820"/>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-146050</wp:posOffset>
            </wp:positionV>
            <wp:extent cx="274320" cy="591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4320" cy="591820"/>
                    </a:xfrm>
                    <a:prstGeom prst="rect">
                      <a:avLst/>
                    </a:prstGeom>
                    <a:noFill/>
                  </pic:spPr>
                </pic:pic>
              </a:graphicData>
            </a:graphic>
          </wp:anchor>
        </w:drawing>
      </w:r>
    </w:p>
    <w:p>
      <w:pPr>
        <w:spacing w:after="0" w:line="31" w:lineRule="exact"/>
        <w:rPr>
          <w:sz w:val="20"/>
          <w:szCs w:val="20"/>
          <w:color w:val="auto"/>
        </w:rPr>
      </w:pPr>
    </w:p>
    <w:p>
      <w:pPr>
        <w:jc w:val="center"/>
        <w:ind w:right="300"/>
        <w:spacing w:after="0"/>
        <w:rPr>
          <w:sz w:val="20"/>
          <w:szCs w:val="20"/>
          <w:color w:val="auto"/>
        </w:rPr>
      </w:pPr>
      <w:r>
        <w:rPr>
          <w:rFonts w:ascii="Arial" w:cs="Arial" w:eastAsia="Arial" w:hAnsi="Arial"/>
          <w:sz w:val="34"/>
          <w:szCs w:val="34"/>
          <w:color w:val="auto"/>
        </w:rPr>
        <w:t xml:space="preserve">– </w:t>
      </w:r>
      <w:r>
        <w:rPr>
          <w:rFonts w:ascii="Arial" w:cs="Arial" w:eastAsia="Arial" w:hAnsi="Arial"/>
          <w:sz w:val="34"/>
          <w:szCs w:val="34"/>
          <w:b w:val="1"/>
          <w:bCs w:val="1"/>
          <w:color w:val="auto"/>
        </w:rPr>
        <w:t>and</w:t>
      </w:r>
      <w:r>
        <w:rPr>
          <w:rFonts w:ascii="Arial" w:cs="Arial" w:eastAsia="Arial" w:hAnsi="Arial"/>
          <w:sz w:val="34"/>
          <w:szCs w:val="34"/>
          <w:color w:val="auto"/>
        </w:rPr>
        <w:t xml:space="preserve"> –</w:t>
      </w:r>
    </w:p>
    <w:p>
      <w:pPr>
        <w:jc w:val="center"/>
        <w:ind w:right="300"/>
        <w:spacing w:after="0"/>
        <w:rPr>
          <w:sz w:val="20"/>
          <w:szCs w:val="20"/>
          <w:color w:val="auto"/>
        </w:rPr>
      </w:pPr>
      <w:r>
        <w:rPr>
          <w:rFonts w:ascii="Arial" w:cs="Arial" w:eastAsia="Arial" w:hAnsi="Arial"/>
          <w:sz w:val="36"/>
          <w:szCs w:val="36"/>
          <w:b w:val="1"/>
          <w:bCs w:val="1"/>
          <w:color w:val="auto"/>
        </w:rPr>
        <w:t xml:space="preserve">VOTE Online go to: </w:t>
      </w:r>
      <w:r>
        <w:rPr>
          <w:rFonts w:ascii="Arial" w:cs="Arial" w:eastAsia="Arial" w:hAnsi="Arial"/>
          <w:sz w:val="36"/>
          <w:szCs w:val="36"/>
          <w:b w:val="1"/>
          <w:bCs w:val="1"/>
          <w:u w:val="single" w:color="auto"/>
          <w:color w:val="auto"/>
        </w:rPr>
        <w:t>www.proxydocs.com/FULC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3810</wp:posOffset>
            </wp:positionV>
            <wp:extent cx="6017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and Proxy Statement</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Printed materials may be requested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276225</wp:posOffset>
            </wp:positionV>
            <wp:extent cx="1979930" cy="634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9930" cy="634365"/>
                    </a:xfrm>
                    <a:prstGeom prst="rect">
                      <a:avLst/>
                    </a:prstGeom>
                    <a:noFill/>
                  </pic:spPr>
                </pic:pic>
              </a:graphicData>
            </a:graphic>
          </wp:anchor>
        </w:drawing>
      </w:r>
    </w:p>
    <w:p>
      <w:pPr>
        <w:sectPr>
          <w:pgSz w:w="11900" w:h="16838" w:orient="portrait"/>
          <w:cols w:equalWidth="0" w:num="1">
            <w:col w:w="11020"/>
          </w:cols>
          <w:pgMar w:left="440" w:top="1066" w:right="439" w:bottom="1440" w:gutter="0" w:footer="0" w:header="0"/>
        </w:sectPr>
      </w:pPr>
    </w:p>
    <w:p>
      <w:pPr>
        <w:spacing w:after="0" w:line="200" w:lineRule="exact"/>
        <w:rPr>
          <w:sz w:val="20"/>
          <w:szCs w:val="20"/>
          <w:color w:val="auto"/>
        </w:rPr>
      </w:pPr>
    </w:p>
    <w:p>
      <w:pPr>
        <w:spacing w:after="0" w:line="215" w:lineRule="exact"/>
        <w:rPr>
          <w:sz w:val="20"/>
          <w:szCs w:val="20"/>
          <w:color w:val="auto"/>
        </w:rPr>
      </w:pPr>
    </w:p>
    <w:tbl>
      <w:tblPr>
        <w:tblLayout w:type="fixed"/>
        <w:tblInd w:w="430" w:type="dxa"/>
        <w:tblCellMar>
          <w:top w:w="0" w:type="dxa"/>
          <w:left w:w="0" w:type="dxa"/>
          <w:bottom w:w="0" w:type="dxa"/>
          <w:right w:w="0" w:type="dxa"/>
        </w:tblCellMar>
      </w:tblPr>
      <w:tr>
        <w:trPr>
          <w:trHeight w:val="765"/>
        </w:trPr>
        <w:tc>
          <w:tcPr>
            <w:tcW w:w="200" w:type="dxa"/>
            <w:vAlign w:val="bottom"/>
            <w:tcBorders>
              <w:top w:val="single" w:sz="8" w:color="auto"/>
              <w:left w:val="single" w:sz="8" w:color="auto"/>
            </w:tcBorders>
          </w:tcPr>
          <w:p>
            <w:pPr>
              <w:spacing w:after="0"/>
              <w:rPr>
                <w:sz w:val="24"/>
                <w:szCs w:val="24"/>
                <w:color w:val="auto"/>
              </w:rPr>
            </w:pPr>
          </w:p>
        </w:tc>
        <w:tc>
          <w:tcPr>
            <w:tcW w:w="2720" w:type="dxa"/>
            <w:vAlign w:val="bottom"/>
            <w:tcBorders>
              <w:top w:val="single" w:sz="8" w:color="auto"/>
              <w:right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9"/>
              </w:rPr>
              <w:t>INTERNET</w:t>
            </w:r>
          </w:p>
        </w:tc>
        <w:tc>
          <w:tcPr>
            <w:tcW w:w="940" w:type="dxa"/>
            <w:vAlign w:val="bottom"/>
            <w:tcBorders>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TELEPHONE</w:t>
            </w:r>
          </w:p>
        </w:tc>
      </w:tr>
      <w:tr>
        <w:trPr>
          <w:trHeight w:val="180"/>
        </w:trPr>
        <w:tc>
          <w:tcPr>
            <w:tcW w:w="2920" w:type="dxa"/>
            <w:vAlign w:val="bottom"/>
            <w:tcBorders>
              <w:left w:val="single" w:sz="8" w:color="auto"/>
              <w:right w:val="single" w:sz="8" w:color="auto"/>
            </w:tcBorders>
            <w:gridSpan w:val="3"/>
          </w:tcPr>
          <w:p>
            <w:pPr>
              <w:jc w:val="center"/>
              <w:spacing w:after="0" w:line="180" w:lineRule="exact"/>
              <w:rPr>
                <w:sz w:val="20"/>
                <w:szCs w:val="20"/>
                <w:color w:val="auto"/>
              </w:rPr>
            </w:pPr>
            <w:r>
              <w:rPr>
                <w:rFonts w:ascii="Arial" w:cs="Arial" w:eastAsia="Arial" w:hAnsi="Arial"/>
                <w:sz w:val="16"/>
                <w:szCs w:val="16"/>
                <w:b w:val="1"/>
                <w:bCs w:val="1"/>
                <w:color w:val="auto"/>
              </w:rPr>
              <w:t>www.investorelections.com/FULC</w:t>
            </w:r>
          </w:p>
        </w:tc>
        <w:tc>
          <w:tcPr>
            <w:tcW w:w="94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jc w:val="right"/>
              <w:ind w:right="139"/>
              <w:spacing w:after="0" w:line="180" w:lineRule="exact"/>
              <w:rPr>
                <w:sz w:val="20"/>
                <w:szCs w:val="20"/>
                <w:color w:val="auto"/>
              </w:rPr>
            </w:pPr>
            <w:r>
              <w:rPr>
                <w:rFonts w:ascii="Arial" w:cs="Arial" w:eastAsia="Arial" w:hAnsi="Arial"/>
                <w:sz w:val="16"/>
                <w:szCs w:val="16"/>
                <w:b w:val="1"/>
                <w:bCs w:val="1"/>
                <w:color w:val="auto"/>
              </w:rPr>
              <w:t>(866) 648-8133</w:t>
            </w:r>
          </w:p>
        </w:tc>
      </w:tr>
      <w:tr>
        <w:trPr>
          <w:trHeight w:val="20"/>
        </w:trPr>
        <w:tc>
          <w:tcPr>
            <w:tcW w:w="200" w:type="dxa"/>
            <w:vAlign w:val="bottom"/>
            <w:tcBorders>
              <w:left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right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-548005</wp:posOffset>
            </wp:positionV>
            <wp:extent cx="274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320" cy="214630"/>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-565150</wp:posOffset>
            </wp:positionV>
            <wp:extent cx="300355" cy="231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231775"/>
                    </a:xfrm>
                    <a:prstGeom prst="rect">
                      <a:avLst/>
                    </a:prstGeom>
                    <a:noFill/>
                  </pic:spPr>
                </pic:pic>
              </a:graphicData>
            </a:graphic>
          </wp:anchor>
        </w:drawing>
      </w:r>
    </w:p>
    <w:p>
      <w:pPr>
        <w:spacing w:after="0" w:line="29" w:lineRule="exact"/>
        <w:rPr>
          <w:sz w:val="20"/>
          <w:szCs w:val="20"/>
          <w:color w:val="auto"/>
        </w:rPr>
      </w:pPr>
    </w:p>
    <w:p>
      <w:pPr>
        <w:jc w:val="center"/>
        <w:ind w:left="300"/>
        <w:spacing w:after="0"/>
        <w:rPr>
          <w:sz w:val="20"/>
          <w:szCs w:val="20"/>
          <w:color w:val="auto"/>
        </w:rPr>
      </w:pPr>
      <w:r>
        <w:rPr>
          <w:rFonts w:ascii="Arial" w:cs="Arial" w:eastAsia="Arial" w:hAnsi="Arial"/>
          <w:sz w:val="22"/>
          <w:szCs w:val="22"/>
          <w:b w:val="1"/>
          <w:bCs w:val="1"/>
          <w:color w:val="auto"/>
        </w:rPr>
        <w:t>You must use the 12 digit control number</w:t>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22"/>
          <w:szCs w:val="22"/>
          <w:b w:val="1"/>
          <w:bCs w:val="1"/>
          <w:color w:val="auto"/>
        </w:rPr>
        <w:t>located in the shaded gray box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66675</wp:posOffset>
            </wp:positionV>
            <wp:extent cx="6861810" cy="2171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61810" cy="2171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color w:val="auto"/>
        </w:rPr>
        <w:t>*E-MAIL</w:t>
      </w:r>
    </w:p>
    <w:p>
      <w:pPr>
        <w:spacing w:after="0" w:line="25" w:lineRule="exact"/>
        <w:rPr>
          <w:sz w:val="20"/>
          <w:szCs w:val="20"/>
          <w:color w:val="auto"/>
        </w:rPr>
      </w:pPr>
    </w:p>
    <w:p>
      <w:pPr>
        <w:jc w:val="center"/>
        <w:ind w:right="1040"/>
        <w:spacing w:after="0"/>
        <w:rPr>
          <w:sz w:val="20"/>
          <w:szCs w:val="20"/>
          <w:color w:val="auto"/>
        </w:rPr>
      </w:pPr>
      <w:r>
        <w:rPr>
          <w:rFonts w:ascii="Arial" w:cs="Arial" w:eastAsia="Arial" w:hAnsi="Arial"/>
          <w:sz w:val="16"/>
          <w:szCs w:val="16"/>
          <w:b w:val="1"/>
          <w:bCs w:val="1"/>
          <w:u w:val="single" w:color="auto"/>
          <w:color w:val="auto"/>
        </w:rPr>
        <w:t>paper@investorelections.com</w:t>
      </w:r>
    </w:p>
    <w:p>
      <w:pPr>
        <w:spacing w:after="0" w:line="24" w:lineRule="exact"/>
        <w:rPr>
          <w:sz w:val="20"/>
          <w:szCs w:val="20"/>
          <w:color w:val="auto"/>
        </w:rPr>
      </w:pPr>
    </w:p>
    <w:p>
      <w:pPr>
        <w:jc w:val="both"/>
        <w:ind w:right="1060"/>
        <w:spacing w:after="0" w:line="222" w:lineRule="auto"/>
        <w:rPr>
          <w:sz w:val="20"/>
          <w:szCs w:val="20"/>
          <w:color w:val="auto"/>
        </w:rPr>
      </w:pPr>
      <w:r>
        <w:rPr>
          <w:rFonts w:ascii="Arial" w:cs="Arial" w:eastAsia="Arial" w:hAnsi="Arial"/>
          <w:sz w:val="13"/>
          <w:szCs w:val="13"/>
          <w:color w:val="auto"/>
        </w:rPr>
        <w:t>If requesting material by e-mail, please send a blank e-mail with the 12 digit control number (located below) in the subject line. No other requests, instructions or other inquiries should be included with your e-mail requesting material.</w:t>
      </w:r>
    </w:p>
    <w:p>
      <w:pPr>
        <w:spacing w:after="0" w:line="200" w:lineRule="exact"/>
        <w:rPr>
          <w:sz w:val="20"/>
          <w:szCs w:val="20"/>
          <w:color w:val="auto"/>
        </w:rPr>
      </w:pPr>
    </w:p>
    <w:p>
      <w:pPr>
        <w:sectPr>
          <w:pgSz w:w="11900" w:h="16838" w:orient="portrait"/>
          <w:cols w:equalWidth="0" w:num="3">
            <w:col w:w="6080" w:space="720"/>
            <w:col w:w="60" w:space="80"/>
            <w:col w:w="4080"/>
          </w:cols>
          <w:pgMar w:left="440" w:top="1066" w:right="439" w:bottom="1440" w:gutter="0" w:footer="0" w:header="0"/>
          <w:type w:val="continuous"/>
        </w:sectPr>
      </w:pPr>
    </w:p>
    <w:p>
      <w:pPr>
        <w:spacing w:after="0" w:line="203"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Fulcrum Therapeutics, Inc. Notice of Annual Meeting</w:t>
      </w:r>
    </w:p>
    <w:p>
      <w:pPr>
        <w:spacing w:after="0" w:line="24" w:lineRule="exact"/>
        <w:rPr>
          <w:sz w:val="20"/>
          <w:szCs w:val="20"/>
          <w:color w:val="auto"/>
        </w:rPr>
      </w:pPr>
    </w:p>
    <w:p>
      <w:pPr>
        <w:ind w:left="4080"/>
        <w:spacing w:after="0"/>
        <w:tabs>
          <w:tab w:leader="none" w:pos="5520" w:val="left"/>
        </w:tabs>
        <w:rPr>
          <w:sz w:val="20"/>
          <w:szCs w:val="20"/>
          <w:color w:val="auto"/>
        </w:rPr>
      </w:pPr>
      <w:r>
        <w:rPr>
          <w:rFonts w:ascii="Arial" w:cs="Arial" w:eastAsia="Arial" w:hAnsi="Arial"/>
          <w:sz w:val="16"/>
          <w:szCs w:val="16"/>
          <w:color w:val="auto"/>
        </w:rPr>
        <w:t>Meeting Type:</w:t>
      </w:r>
      <w:r>
        <w:rPr>
          <w:sz w:val="20"/>
          <w:szCs w:val="20"/>
          <w:color w:val="auto"/>
        </w:rPr>
        <w:tab/>
      </w:r>
      <w:r>
        <w:rPr>
          <w:rFonts w:ascii="Arial" w:cs="Arial" w:eastAsia="Arial" w:hAnsi="Arial"/>
          <w:sz w:val="16"/>
          <w:szCs w:val="16"/>
          <w:color w:val="auto"/>
        </w:rPr>
        <w:t>Annual Meeting</w:t>
      </w:r>
    </w:p>
    <w:p>
      <w:pPr>
        <w:spacing w:after="0" w:line="5" w:lineRule="exact"/>
        <w:rPr>
          <w:sz w:val="20"/>
          <w:szCs w:val="20"/>
          <w:color w:val="auto"/>
        </w:rPr>
      </w:pPr>
    </w:p>
    <w:p>
      <w:pPr>
        <w:jc w:val="center"/>
        <w:ind w:right="400"/>
        <w:spacing w:after="0"/>
        <w:tabs>
          <w:tab w:leader="none" w:pos="180" w:val="left"/>
        </w:tabs>
        <w:rPr>
          <w:sz w:val="20"/>
          <w:szCs w:val="20"/>
          <w:color w:val="auto"/>
        </w:rPr>
      </w:pPr>
      <w:r>
        <w:rPr>
          <w:rFonts w:ascii="Arial" w:cs="Arial" w:eastAsia="Arial" w:hAnsi="Arial"/>
          <w:sz w:val="16"/>
          <w:szCs w:val="16"/>
          <w:color w:val="auto"/>
        </w:rPr>
        <w:t>For holders as of:</w:t>
        <w:tab/>
        <w:t>April 14, 2020</w:t>
      </w:r>
    </w:p>
    <w:p>
      <w:pPr>
        <w:spacing w:after="0" w:line="59" w:lineRule="exact"/>
        <w:rPr>
          <w:sz w:val="20"/>
          <w:szCs w:val="20"/>
          <w:color w:val="auto"/>
        </w:rPr>
      </w:pPr>
    </w:p>
    <w:p>
      <w:pPr>
        <w:ind w:left="4080"/>
        <w:spacing w:after="0"/>
        <w:tabs>
          <w:tab w:leader="none" w:pos="5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11, 2020</w:t>
      </w:r>
    </w:p>
    <w:p>
      <w:pPr>
        <w:spacing w:after="0" w:line="5" w:lineRule="exact"/>
        <w:rPr>
          <w:sz w:val="20"/>
          <w:szCs w:val="20"/>
          <w:color w:val="auto"/>
        </w:rPr>
      </w:pPr>
    </w:p>
    <w:p>
      <w:pPr>
        <w:ind w:left="4080"/>
        <w:spacing w:after="0"/>
        <w:tabs>
          <w:tab w:leader="none" w:pos="5520" w:val="left"/>
        </w:tabs>
        <w:rPr>
          <w:sz w:val="20"/>
          <w:szCs w:val="20"/>
          <w:color w:val="auto"/>
        </w:rPr>
      </w:pPr>
      <w:r>
        <w:rPr>
          <w:rFonts w:ascii="Arial" w:cs="Arial" w:eastAsia="Arial" w:hAnsi="Arial"/>
          <w:sz w:val="16"/>
          <w:szCs w:val="16"/>
          <w:color w:val="auto"/>
        </w:rPr>
        <w:t>Time:</w:t>
      </w:r>
      <w:r>
        <w:rPr>
          <w:sz w:val="20"/>
          <w:szCs w:val="20"/>
          <w:color w:val="auto"/>
        </w:rPr>
        <w:tab/>
      </w:r>
      <w:r>
        <w:rPr>
          <w:rFonts w:ascii="Arial" w:cs="Arial" w:eastAsia="Arial" w:hAnsi="Arial"/>
          <w:sz w:val="16"/>
          <w:szCs w:val="16"/>
          <w:color w:val="auto"/>
        </w:rPr>
        <w:t>9:00 a.m. (Local Time)</w:t>
      </w:r>
    </w:p>
    <w:p>
      <w:pPr>
        <w:spacing w:after="0" w:line="5" w:lineRule="exact"/>
        <w:rPr>
          <w:sz w:val="20"/>
          <w:szCs w:val="20"/>
          <w:color w:val="auto"/>
        </w:rPr>
      </w:pPr>
    </w:p>
    <w:p>
      <w:pPr>
        <w:ind w:left="4080"/>
        <w:spacing w:after="0"/>
        <w:tabs>
          <w:tab w:leader="none" w:pos="5520" w:val="left"/>
        </w:tabs>
        <w:rPr>
          <w:sz w:val="20"/>
          <w:szCs w:val="20"/>
          <w:color w:val="auto"/>
        </w:rPr>
      </w:pPr>
      <w:r>
        <w:rPr>
          <w:rFonts w:ascii="Arial" w:cs="Arial" w:eastAsia="Arial" w:hAnsi="Arial"/>
          <w:sz w:val="16"/>
          <w:szCs w:val="16"/>
          <w:color w:val="auto"/>
        </w:rPr>
        <w:t>Place:</w:t>
      </w:r>
      <w:r>
        <w:rPr>
          <w:sz w:val="20"/>
          <w:szCs w:val="20"/>
          <w:color w:val="auto"/>
        </w:rPr>
        <w:tab/>
      </w:r>
      <w:r>
        <w:rPr>
          <w:rFonts w:ascii="Arial" w:cs="Arial" w:eastAsia="Arial" w:hAnsi="Arial"/>
          <w:sz w:val="16"/>
          <w:szCs w:val="16"/>
          <w:color w:val="auto"/>
        </w:rPr>
        <w:t>Annual Meeting to be held live via the Internet - please visit</w:t>
      </w:r>
    </w:p>
    <w:p>
      <w:pPr>
        <w:spacing w:after="0" w:line="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www.proxydocs.com/FULC for more details.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The Board of Directors Recommends a Vote FOR each of the director nominees listed in proposal 1 and FOR proposal 2.</w:t>
      </w:r>
    </w:p>
    <w:p>
      <w:pPr>
        <w:spacing w:after="0" w:line="99"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200" w:type="dxa"/>
            <w:vAlign w:val="bottom"/>
          </w:tcPr>
          <w:p>
            <w:pPr>
              <w:jc w:val="right"/>
              <w:ind w:right="4"/>
              <w:spacing w:after="0"/>
              <w:rPr>
                <w:sz w:val="20"/>
                <w:szCs w:val="20"/>
                <w:color w:val="auto"/>
              </w:rPr>
            </w:pPr>
            <w:r>
              <w:rPr>
                <w:rFonts w:ascii="Arial" w:cs="Arial" w:eastAsia="Arial" w:hAnsi="Arial"/>
                <w:sz w:val="15"/>
                <w:szCs w:val="15"/>
                <w:color w:val="auto"/>
                <w:w w:val="79"/>
              </w:rPr>
              <w:t>1.</w:t>
            </w:r>
          </w:p>
        </w:tc>
        <w:tc>
          <w:tcPr>
            <w:tcW w:w="10060" w:type="dxa"/>
            <w:vAlign w:val="bottom"/>
            <w:gridSpan w:val="3"/>
          </w:tcPr>
          <w:p>
            <w:pPr>
              <w:ind w:left="60"/>
              <w:spacing w:after="0"/>
              <w:rPr>
                <w:sz w:val="20"/>
                <w:szCs w:val="20"/>
                <w:color w:val="auto"/>
              </w:rPr>
            </w:pPr>
            <w:r>
              <w:rPr>
                <w:rFonts w:ascii="Arial" w:cs="Arial" w:eastAsia="Arial" w:hAnsi="Arial"/>
                <w:sz w:val="15"/>
                <w:szCs w:val="15"/>
                <w:color w:val="auto"/>
              </w:rPr>
              <w:t>To elect each of the two Class I director nominees for a 3-year term expiring at the 2023 annual meeting of stockholders:</w:t>
            </w:r>
          </w:p>
        </w:tc>
      </w:tr>
      <w:tr>
        <w:trPr>
          <w:trHeight w:val="180"/>
        </w:trPr>
        <w:tc>
          <w:tcPr>
            <w:tcW w:w="20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5"/>
                <w:szCs w:val="15"/>
                <w:b w:val="1"/>
                <w:bCs w:val="1"/>
                <w:color w:val="auto"/>
              </w:rPr>
              <w:t>Nominees:</w:t>
            </w:r>
          </w:p>
        </w:tc>
        <w:tc>
          <w:tcPr>
            <w:tcW w:w="500" w:type="dxa"/>
            <w:vAlign w:val="bottom"/>
          </w:tcPr>
          <w:p>
            <w:pPr>
              <w:jc w:val="right"/>
              <w:spacing w:after="0"/>
              <w:rPr>
                <w:sz w:val="20"/>
                <w:szCs w:val="20"/>
                <w:color w:val="auto"/>
              </w:rPr>
            </w:pPr>
            <w:r>
              <w:rPr>
                <w:rFonts w:ascii="Arial" w:cs="Arial" w:eastAsia="Arial" w:hAnsi="Arial"/>
                <w:sz w:val="15"/>
                <w:szCs w:val="15"/>
                <w:color w:val="auto"/>
              </w:rPr>
              <w:t>(01)</w:t>
            </w:r>
          </w:p>
        </w:tc>
        <w:tc>
          <w:tcPr>
            <w:tcW w:w="8440" w:type="dxa"/>
            <w:vAlign w:val="bottom"/>
          </w:tcPr>
          <w:p>
            <w:pPr>
              <w:ind w:left="20"/>
              <w:spacing w:after="0"/>
              <w:rPr>
                <w:sz w:val="20"/>
                <w:szCs w:val="20"/>
                <w:color w:val="auto"/>
              </w:rPr>
            </w:pPr>
            <w:r>
              <w:rPr>
                <w:rFonts w:ascii="Arial" w:cs="Arial" w:eastAsia="Arial" w:hAnsi="Arial"/>
                <w:sz w:val="15"/>
                <w:szCs w:val="15"/>
                <w:color w:val="auto"/>
              </w:rPr>
              <w:t>Mark Levin</w:t>
            </w:r>
          </w:p>
        </w:tc>
      </w:tr>
      <w:tr>
        <w:trPr>
          <w:trHeight w:val="184"/>
        </w:trPr>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(02)</w:t>
            </w:r>
          </w:p>
        </w:tc>
        <w:tc>
          <w:tcPr>
            <w:tcW w:w="8440" w:type="dxa"/>
            <w:vAlign w:val="bottom"/>
          </w:tcPr>
          <w:p>
            <w:pPr>
              <w:ind w:left="20"/>
              <w:spacing w:after="0"/>
              <w:rPr>
                <w:sz w:val="20"/>
                <w:szCs w:val="20"/>
                <w:color w:val="auto"/>
              </w:rPr>
            </w:pPr>
            <w:r>
              <w:rPr>
                <w:rFonts w:ascii="Arial" w:cs="Arial" w:eastAsia="Arial" w:hAnsi="Arial"/>
                <w:sz w:val="15"/>
                <w:szCs w:val="15"/>
                <w:color w:val="auto"/>
              </w:rPr>
              <w:t>Alan Ezekowitz</w:t>
            </w:r>
          </w:p>
        </w:tc>
      </w:tr>
      <w:tr>
        <w:trPr>
          <w:trHeight w:val="180"/>
        </w:trPr>
        <w:tc>
          <w:tcPr>
            <w:tcW w:w="200" w:type="dxa"/>
            <w:vAlign w:val="bottom"/>
          </w:tcPr>
          <w:p>
            <w:pPr>
              <w:jc w:val="right"/>
              <w:ind w:right="4"/>
              <w:spacing w:after="0"/>
              <w:rPr>
                <w:sz w:val="20"/>
                <w:szCs w:val="20"/>
                <w:color w:val="auto"/>
              </w:rPr>
            </w:pPr>
            <w:r>
              <w:rPr>
                <w:rFonts w:ascii="Arial" w:cs="Arial" w:eastAsia="Arial" w:hAnsi="Arial"/>
                <w:sz w:val="15"/>
                <w:szCs w:val="15"/>
                <w:color w:val="auto"/>
                <w:w w:val="79"/>
              </w:rPr>
              <w:t>2.</w:t>
            </w:r>
          </w:p>
        </w:tc>
        <w:tc>
          <w:tcPr>
            <w:tcW w:w="10060" w:type="dxa"/>
            <w:vAlign w:val="bottom"/>
            <w:gridSpan w:val="3"/>
          </w:tcPr>
          <w:p>
            <w:pPr>
              <w:ind w:left="140"/>
              <w:spacing w:after="0"/>
              <w:rPr>
                <w:sz w:val="20"/>
                <w:szCs w:val="20"/>
                <w:color w:val="auto"/>
              </w:rPr>
            </w:pPr>
            <w:r>
              <w:rPr>
                <w:rFonts w:ascii="Arial" w:cs="Arial" w:eastAsia="Arial" w:hAnsi="Arial"/>
                <w:sz w:val="15"/>
                <w:szCs w:val="15"/>
                <w:color w:val="auto"/>
              </w:rPr>
              <w:t>To ratify the appointment of Ernst &amp; Young as the independent registered public accounting firm for the Company for the fiscal year ending</w:t>
            </w:r>
          </w:p>
        </w:tc>
      </w:tr>
      <w:tr>
        <w:trPr>
          <w:trHeight w:val="184"/>
        </w:trPr>
        <w:tc>
          <w:tcPr>
            <w:tcW w:w="20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color w:val="auto"/>
              </w:rPr>
              <w:t>December 31, 2020.</w:t>
            </w:r>
          </w:p>
        </w:tc>
        <w:tc>
          <w:tcPr>
            <w:tcW w:w="8440" w:type="dxa"/>
            <w:vAlign w:val="bottom"/>
          </w:tcPr>
          <w:p>
            <w:pPr>
              <w:spacing w:after="0"/>
              <w:rPr>
                <w:sz w:val="16"/>
                <w:szCs w:val="16"/>
                <w:color w:val="auto"/>
              </w:rPr>
            </w:pPr>
          </w:p>
        </w:tc>
      </w:tr>
    </w:tbl>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Note: To consider and act upon such other business as may properly come before the meeting or any adjournment thereof.</w:t>
      </w:r>
    </w:p>
    <w:p>
      <w:pPr>
        <w:spacing w:after="0" w:line="135" w:lineRule="exact"/>
        <w:rPr>
          <w:sz w:val="20"/>
          <w:szCs w:val="20"/>
          <w:color w:val="auto"/>
        </w:rPr>
      </w:pPr>
    </w:p>
    <w:p>
      <w:pPr>
        <w:jc w:val="both"/>
        <w:ind w:left="440"/>
        <w:spacing w:after="0" w:line="223" w:lineRule="auto"/>
        <w:rPr>
          <w:sz w:val="20"/>
          <w:szCs w:val="20"/>
          <w:color w:val="auto"/>
        </w:rPr>
      </w:pPr>
      <w:r>
        <w:rPr>
          <w:rFonts w:ascii="Arial" w:cs="Arial" w:eastAsia="Arial" w:hAnsi="Arial"/>
          <w:sz w:val="13"/>
          <w:szCs w:val="13"/>
          <w:color w:val="auto"/>
        </w:rPr>
        <w:t>In order to attend the virtual meeting and vote online during the annual meeting, you must register in advance at www.proxydocs.com/FULC prior to the deadline of June 9, 2020 at 5:00 pm Eastern Time. Upon completing your registration, you will receive further instructions via email, including your unique links that will allow you access to the meeting, vote online during the meeting and will also permit you to submit questions during the meeting. Please be sure to follow instructions found on your Proxy Card and/or Voting Authorization Form and subsequent instructions that will be delivered to you via email.</w:t>
      </w:r>
    </w:p>
    <w:sectPr>
      <w:pgSz w:w="11900" w:h="16838" w:orient="portrait"/>
      <w:cols w:equalWidth="0" w:num="1">
        <w:col w:w="11020"/>
      </w:cols>
      <w:pgMar w:left="440" w:top="10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2020-04-29T08:25:59Z</dcterms:created>
  <dcterms:modified xsi:type="dcterms:W3CDTF">2020-04-29T08:25:59Z</dcterms:modified>
</cp:coreProperties>
</file>