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333-244136</w:t>
      </w:r>
    </w:p>
    <w:p>
      <w:pPr>
        <w:spacing w:after="0" w:line="139" w:lineRule="exact"/>
        <w:rPr>
          <w:sz w:val="24"/>
          <w:szCs w:val="24"/>
          <w:color w:val="auto"/>
        </w:rPr>
      </w:pPr>
    </w:p>
    <w:p>
      <w:pPr>
        <w:ind w:left="120" w:right="220"/>
        <w:spacing w:after="0" w:line="289" w:lineRule="auto"/>
        <w:rPr>
          <w:sz w:val="20"/>
          <w:szCs w:val="20"/>
          <w:color w:val="auto"/>
        </w:rPr>
      </w:pPr>
      <w:r>
        <w:rPr>
          <w:rFonts w:ascii="Arial" w:cs="Arial" w:eastAsia="Arial" w:hAnsi="Arial"/>
          <w:sz w:val="17"/>
          <w:szCs w:val="17"/>
          <w:b w:val="1"/>
          <w:bCs w:val="1"/>
          <w:color w:val="FF4338"/>
        </w:rPr>
        <w:t>The information in this preliminary prospectus supplement is not complete and may be changed. A registration statement has been filed with the Securities and Exchange Commission and is effective. This prospectus supplement is not an offer to sell these securities and it is not soliciting an offer to buy these securities in any jurisdiction where the offer or sale is not permitted.</w:t>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AUGUST 10, 2021</w:t>
      </w:r>
    </w:p>
    <w:p>
      <w:pPr>
        <w:spacing w:after="0" w:line="11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17, 2020)</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$100,000,000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711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$100 million of shares of our common stock in this offering.</w:t>
      </w:r>
    </w:p>
    <w:p>
      <w:pPr>
        <w:spacing w:after="0" w:line="225" w:lineRule="exact"/>
        <w:rPr>
          <w:sz w:val="24"/>
          <w:szCs w:val="24"/>
          <w:color w:val="auto"/>
        </w:rPr>
      </w:pPr>
    </w:p>
    <w:p>
      <w:pPr>
        <w:ind w:left="120" w:right="1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“FULC.” The last reported sales price of our common stock on the Nasdaq Global Market on August 10, 2021 was $18.77 per share.</w:t>
      </w:r>
    </w:p>
    <w:p>
      <w:pPr>
        <w:spacing w:after="0" w:line="176"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30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to Fulcrum, before expenses</w:t>
            </w:r>
          </w:p>
        </w:tc>
        <w:tc>
          <w:tcPr>
            <w:tcW w:w="230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4"/>
          <w:szCs w:val="24"/>
          <w:color w:val="auto"/>
        </w:rPr>
      </w:pPr>
    </w:p>
    <w:p>
      <w:pPr>
        <w:ind w:left="540" w:right="220" w:hanging="424"/>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See “Underwriting” for additional information regarding the compensation payable to the underwriters.</w:t>
      </w:r>
    </w:p>
    <w:p>
      <w:pPr>
        <w:spacing w:after="0" w:line="170" w:lineRule="exact"/>
        <w:rPr>
          <w:sz w:val="24"/>
          <w:szCs w:val="24"/>
          <w:color w:val="auto"/>
        </w:rPr>
      </w:pPr>
    </w:p>
    <w:p>
      <w:pPr>
        <w:ind w:left="120"/>
        <w:spacing w:after="0"/>
        <w:rPr>
          <w:sz w:val="20"/>
          <w:szCs w:val="20"/>
          <w:color w:val="auto"/>
        </w:rPr>
      </w:pPr>
      <w:r>
        <w:rPr>
          <w:rFonts w:ascii="Arial" w:cs="Arial" w:eastAsia="Arial" w:hAnsi="Arial"/>
          <w:sz w:val="17"/>
          <w:szCs w:val="17"/>
          <w:color w:val="auto"/>
        </w:rPr>
        <w:t>We have granted the underwriters an option for a period of 30 days to purchase up to an additional $15 million of shares of our common stock.</w:t>
      </w:r>
    </w:p>
    <w:p>
      <w:pPr>
        <w:spacing w:after="0" w:line="223" w:lineRule="exact"/>
        <w:rPr>
          <w:sz w:val="24"/>
          <w:szCs w:val="24"/>
          <w:color w:val="auto"/>
        </w:rPr>
      </w:pPr>
    </w:p>
    <w:p>
      <w:pPr>
        <w:ind w:left="120" w:right="40"/>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14">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S-11 of this prospectus supplement and in the documents incorporated by reference into this prospectus supplement.</w:t>
      </w:r>
    </w:p>
    <w:p>
      <w:pPr>
        <w:spacing w:after="0" w:line="148" w:lineRule="exact"/>
        <w:rPr>
          <w:sz w:val="24"/>
          <w:szCs w:val="24"/>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8"/>
              </w:rPr>
              <w:t>The underwriters expect to deliver the shares of common stock to purchasers on or about</w:t>
            </w:r>
          </w:p>
        </w:tc>
        <w:tc>
          <w:tcPr>
            <w:tcW w:w="3960" w:type="dxa"/>
            <w:vAlign w:val="bottom"/>
          </w:tcPr>
          <w:p>
            <w:pPr>
              <w:jc w:val="right"/>
              <w:ind w:right="3212"/>
              <w:spacing w:after="0"/>
              <w:rPr>
                <w:sz w:val="20"/>
                <w:szCs w:val="20"/>
                <w:color w:val="auto"/>
              </w:rPr>
            </w:pPr>
            <w:r>
              <w:rPr>
                <w:rFonts w:ascii="Arial" w:cs="Arial" w:eastAsia="Arial" w:hAnsi="Arial"/>
                <w:sz w:val="18"/>
                <w:szCs w:val="18"/>
                <w:color w:val="auto"/>
              </w:rPr>
              <w:t>, 2021.</w:t>
            </w:r>
          </w:p>
        </w:tc>
      </w:tr>
      <w:tr>
        <w:trPr>
          <w:trHeight w:val="432"/>
        </w:trPr>
        <w:tc>
          <w:tcPr>
            <w:tcW w:w="2380" w:type="dxa"/>
            <w:vAlign w:val="bottom"/>
          </w:tcPr>
          <w:p>
            <w:pPr>
              <w:spacing w:after="0"/>
              <w:rPr>
                <w:sz w:val="24"/>
                <w:szCs w:val="24"/>
                <w:color w:val="auto"/>
              </w:rPr>
            </w:pPr>
          </w:p>
        </w:tc>
        <w:tc>
          <w:tcPr>
            <w:tcW w:w="4680" w:type="dxa"/>
            <w:vAlign w:val="bottom"/>
          </w:tcPr>
          <w:p>
            <w:pPr>
              <w:ind w:left="2020"/>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3960" w:type="dxa"/>
            <w:vAlign w:val="bottom"/>
          </w:tcPr>
          <w:p>
            <w:pPr>
              <w:spacing w:after="0"/>
              <w:rPr>
                <w:sz w:val="24"/>
                <w:szCs w:val="24"/>
                <w:color w:val="auto"/>
              </w:rPr>
            </w:pPr>
          </w:p>
        </w:tc>
      </w:tr>
      <w:tr>
        <w:trPr>
          <w:trHeight w:val="586"/>
        </w:trPr>
        <w:tc>
          <w:tcPr>
            <w:tcW w:w="2380" w:type="dxa"/>
            <w:vAlign w:val="bottom"/>
          </w:tcPr>
          <w:p>
            <w:pPr>
              <w:spacing w:after="0"/>
              <w:rPr>
                <w:sz w:val="20"/>
                <w:szCs w:val="20"/>
                <w:color w:val="auto"/>
              </w:rPr>
            </w:pPr>
            <w:r>
              <w:rPr>
                <w:rFonts w:ascii="Arial" w:cs="Arial" w:eastAsia="Arial" w:hAnsi="Arial"/>
                <w:sz w:val="29"/>
                <w:szCs w:val="29"/>
                <w:b w:val="1"/>
                <w:bCs w:val="1"/>
                <w:color w:val="auto"/>
              </w:rPr>
              <w:t>SVB Leerink</w:t>
            </w:r>
          </w:p>
        </w:tc>
        <w:tc>
          <w:tcPr>
            <w:tcW w:w="4680" w:type="dxa"/>
            <w:vAlign w:val="bottom"/>
          </w:tcPr>
          <w:p>
            <w:pPr>
              <w:ind w:left="2340"/>
              <w:spacing w:after="0"/>
              <w:rPr>
                <w:sz w:val="20"/>
                <w:szCs w:val="20"/>
                <w:color w:val="auto"/>
              </w:rPr>
            </w:pPr>
            <w:r>
              <w:rPr>
                <w:rFonts w:ascii="Arial" w:cs="Arial" w:eastAsia="Arial" w:hAnsi="Arial"/>
                <w:sz w:val="29"/>
                <w:szCs w:val="29"/>
                <w:b w:val="1"/>
                <w:bCs w:val="1"/>
                <w:color w:val="auto"/>
              </w:rPr>
              <w:t>Piper Sandler</w:t>
            </w:r>
          </w:p>
        </w:tc>
        <w:tc>
          <w:tcPr>
            <w:tcW w:w="3960" w:type="dxa"/>
            <w:vAlign w:val="bottom"/>
          </w:tcPr>
          <w:p>
            <w:pPr>
              <w:jc w:val="right"/>
              <w:spacing w:after="0"/>
              <w:rPr>
                <w:sz w:val="20"/>
                <w:szCs w:val="20"/>
                <w:color w:val="auto"/>
              </w:rPr>
            </w:pPr>
            <w:r>
              <w:rPr>
                <w:rFonts w:ascii="Arial" w:cs="Arial" w:eastAsia="Arial" w:hAnsi="Arial"/>
                <w:sz w:val="29"/>
                <w:szCs w:val="29"/>
                <w:b w:val="1"/>
                <w:bCs w:val="1"/>
                <w:color w:val="auto"/>
              </w:rPr>
              <w:t>Stifel</w:t>
            </w:r>
          </w:p>
        </w:tc>
      </w:tr>
      <w:tr>
        <w:trPr>
          <w:trHeight w:val="427"/>
        </w:trPr>
        <w:tc>
          <w:tcPr>
            <w:tcW w:w="2380" w:type="dxa"/>
            <w:vAlign w:val="bottom"/>
          </w:tcPr>
          <w:p>
            <w:pPr>
              <w:spacing w:after="0"/>
              <w:rPr>
                <w:sz w:val="24"/>
                <w:szCs w:val="24"/>
                <w:color w:val="auto"/>
              </w:rPr>
            </w:pPr>
          </w:p>
        </w:tc>
        <w:tc>
          <w:tcPr>
            <w:tcW w:w="4680" w:type="dxa"/>
            <w:vAlign w:val="bottom"/>
          </w:tcPr>
          <w:p>
            <w:pPr>
              <w:ind w:left="800"/>
              <w:spacing w:after="0"/>
              <w:rPr>
                <w:sz w:val="20"/>
                <w:szCs w:val="20"/>
                <w:color w:val="auto"/>
              </w:rPr>
            </w:pPr>
            <w:r>
              <w:rPr>
                <w:rFonts w:ascii="Arial" w:cs="Arial" w:eastAsia="Arial" w:hAnsi="Arial"/>
                <w:sz w:val="18"/>
                <w:szCs w:val="18"/>
                <w:b w:val="1"/>
                <w:bCs w:val="1"/>
                <w:color w:val="auto"/>
                <w:w w:val="90"/>
              </w:rPr>
              <w:t>The date of this prospectus supplement is August</w:t>
            </w:r>
          </w:p>
        </w:tc>
        <w:tc>
          <w:tcPr>
            <w:tcW w:w="3960" w:type="dxa"/>
            <w:vAlign w:val="bottom"/>
          </w:tcPr>
          <w:p>
            <w:pPr>
              <w:jc w:val="right"/>
              <w:ind w:right="3072"/>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8"/>
        </w:trPr>
        <w:tc>
          <w:tcPr>
            <w:tcW w:w="344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6780" w:type="dxa"/>
            <w:vAlign w:val="bottom"/>
            <w:gridSpan w:val="6"/>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3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94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CAUTIONARY NOTE REGARDING FORWARD-LOOKING STATEMENTS AND INDUSTRY DATA</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USE OF PROCEEDS</w:t>
              </w:r>
            </w:hyperlink>
          </w:p>
        </w:tc>
        <w:tc>
          <w:tcPr>
            <w:tcW w:w="6080" w:type="dxa"/>
            <w:vAlign w:val="bottom"/>
            <w:tcBorders>
              <w:top w:val="single" w:sz="8" w:color="0000EE"/>
            </w:tcBorders>
            <w:gridSpan w:val="15"/>
          </w:tcPr>
          <w:p>
            <w:pPr>
              <w:spacing w:after="0"/>
              <w:rPr>
                <w:sz w:val="17"/>
                <w:szCs w:val="17"/>
                <w:color w:val="auto"/>
              </w:rPr>
            </w:pPr>
          </w:p>
        </w:tc>
        <w:tc>
          <w:tcPr>
            <w:tcW w:w="256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DIVIDEND POLICY</w:t>
              </w:r>
            </w:hyperlink>
          </w:p>
        </w:tc>
        <w:tc>
          <w:tcPr>
            <w:tcW w:w="864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DILUTION</w:t>
              </w:r>
            </w:hyperlink>
          </w:p>
        </w:tc>
        <w:tc>
          <w:tcPr>
            <w:tcW w:w="936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10220" w:type="dxa"/>
            <w:vAlign w:val="bottom"/>
            <w:gridSpan w:val="23"/>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MATERIAL U.S. FEDERAL INCOME AND ESTATE TAX CONSIDERATIONS FOR NON-U.S. HOLDERS OF COMMON STOCK</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r>
      <w:tr>
        <w:trPr>
          <w:trHeight w:val="196"/>
        </w:trPr>
        <w:tc>
          <w:tcPr>
            <w:tcW w:w="98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w:t>
              </w:r>
            </w:hyperlink>
          </w:p>
        </w:tc>
        <w:tc>
          <w:tcPr>
            <w:tcW w:w="3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LEGAL MATTERS</w:t>
              </w:r>
            </w:hyperlink>
          </w:p>
        </w:tc>
        <w:tc>
          <w:tcPr>
            <w:tcW w:w="8760" w:type="dxa"/>
            <w:vAlign w:val="bottom"/>
            <w:gridSpan w:val="1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S-28</w:t>
            </w: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S-28</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INCORPORATION OF CERTAIN INFORMATION BY REFERENCE</w:t>
              </w:r>
            </w:hyperlink>
          </w:p>
        </w:tc>
        <w:tc>
          <w:tcPr>
            <w:tcW w:w="50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S-29</w:t>
            </w:r>
          </w:p>
        </w:tc>
      </w:tr>
      <w:tr>
        <w:trPr>
          <w:trHeight w:val="66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5"/>
          </w:tcPr>
          <w:p>
            <w:pPr>
              <w:ind w:left="1100"/>
              <w:spacing w:after="0"/>
              <w:rPr>
                <w:sz w:val="20"/>
                <w:szCs w:val="20"/>
                <w:color w:val="auto"/>
              </w:rPr>
            </w:pPr>
            <w:r>
              <w:rPr>
                <w:rFonts w:ascii="Arial" w:cs="Arial" w:eastAsia="Arial" w:hAnsi="Arial"/>
                <w:sz w:val="18"/>
                <w:szCs w:val="18"/>
                <w:b w:val="1"/>
                <w:bCs w:val="1"/>
                <w:color w:val="auto"/>
              </w:rPr>
              <w:t>PROSPECTUS</w:t>
            </w:r>
          </w:p>
        </w:tc>
        <w:tc>
          <w:tcPr>
            <w:tcW w:w="740" w:type="dxa"/>
            <w:vAlign w:val="bottom"/>
          </w:tcPr>
          <w:p>
            <w:pPr>
              <w:spacing w:after="0"/>
              <w:rPr>
                <w:sz w:val="24"/>
                <w:szCs w:val="24"/>
                <w:color w:val="auto"/>
              </w:rPr>
            </w:pPr>
          </w:p>
        </w:tc>
      </w:tr>
      <w:tr>
        <w:trPr>
          <w:trHeight w:val="418"/>
        </w:trPr>
        <w:tc>
          <w:tcPr>
            <w:tcW w:w="1022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58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INCORPORATION OF CERTAIN DOCUMENTS BY REFERENCE</w:t>
              </w:r>
            </w:hyperlink>
          </w:p>
        </w:tc>
        <w:tc>
          <w:tcPr>
            <w:tcW w:w="516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CAUTIONARY NOTE REGARDING FORWARD-LOOKING STATEMENTS AND INDUSTRY DATA</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6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ABOUT FULCRUM THERAPEUTICS, INC</w:t>
              </w:r>
            </w:hyperlink>
          </w:p>
        </w:tc>
        <w:tc>
          <w:tcPr>
            <w:tcW w:w="256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6920" w:type="dxa"/>
            <w:vAlign w:val="bottom"/>
            <w:gridSpan w:val="8"/>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USE OF PROCEEDS</w:t>
              </w:r>
            </w:hyperlink>
          </w:p>
        </w:tc>
        <w:tc>
          <w:tcPr>
            <w:tcW w:w="864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0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DESCRIPTION OF DEBT SECURITIES</w:t>
              </w:r>
            </w:hyperlink>
          </w:p>
        </w:tc>
        <w:tc>
          <w:tcPr>
            <w:tcW w:w="7200" w:type="dxa"/>
            <w:vAlign w:val="bottom"/>
            <w:gridSpan w:val="10"/>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CAPITAL STOCK</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94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DESCRIPTION OF DEPOSITARY SHARES</w:t>
              </w:r>
            </w:hyperlink>
          </w:p>
        </w:tc>
        <w:tc>
          <w:tcPr>
            <w:tcW w:w="690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2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DESCRIPTION OF UNITS</w:t>
              </w:r>
            </w:hyperlink>
          </w:p>
        </w:tc>
        <w:tc>
          <w:tcPr>
            <w:tcW w:w="820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DESCRIPTION OF WARRANTS</w:t>
              </w:r>
            </w:hyperlink>
          </w:p>
        </w:tc>
        <w:tc>
          <w:tcPr>
            <w:tcW w:w="7740" w:type="dxa"/>
            <w:vAlign w:val="bottom"/>
            <w:gridSpan w:val="1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FORMS OF SECURITIES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94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18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PLAN OF DISTRIBUTION</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7"/>
                <w:szCs w:val="17"/>
                <w:color w:val="auto"/>
              </w:rPr>
            </w:pPr>
          </w:p>
        </w:tc>
        <w:tc>
          <w:tcPr>
            <w:tcW w:w="8180" w:type="dxa"/>
            <w:vAlign w:val="bottom"/>
            <w:gridSpan w:val="1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220" w:type="dxa"/>
            <w:vAlign w:val="bottom"/>
            <w:gridSpan w:val="2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78"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7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60"/>
        <w:spacing w:after="0" w:line="25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You should read this entire prospectus supplement and accompanying prospectus carefully, especially the risks of investing in our common stock discussed under “Risk Factors” beginning on page S-11 of this prospectus supplement and in our Quarterly Report on Form 10-Q for the period ended June 30, 2021, along with our consolidated financial statements and notes to those consolidated financial statements and the other information incorporated by reference into this prospectus supplement and the accompanying prospectus, before making an investment decision.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or the ReDUX4 trial, and a Phase 2 open label clinical trial of losmapimod, our product candidate for FSHD, to evaluate the efficacy and safety of losmapimod in addressing the underlying cause of FSHD. We completed the ReDUX4 trial in January 2021 and presented full data from the trial at the FSHD International Research Congress on June 24, 2021. Approximately 99% of eligible participants elected to continue in the open label extension of our ReDUX4 trial for the treatment of FSHD. We plan to meet with health authorities, including the U.S. Food and Drug Administration, or FDA, in the second half of 2021 to determine the regulatory path for losmapimod in FSHD.</w:t>
      </w:r>
    </w:p>
    <w:p>
      <w:pPr>
        <w:spacing w:after="0" w:line="182"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color w:val="auto"/>
        </w:rPr>
        <w:t>In the fourth quarter of 2020, we initiated a Phase 1 clinical trial of FTX-6058, our product candidate for certain hemoglobinopathies and a novel upregulator of fetal hemoglobin, to evaluate the safety, tolerability and pharmacokinetics of FTX-6058 in healthy adult volunteers. In August 2021, we presented data from the Phase 1 clinical trial. We anticipate initiating enrollment in a Phase 1b clinical trial of FTX-6058 in patients with SCD by the end of 2021. This Phase 1b clinical trial will be used to help inform a potential Phase 2/3 clinical trial, which we anticipate initiating in 2023. We also plan to submit an investigational new drug application, or IND, for FTX-6058 for the treatment of patients with non-SCD hemoglobinopathies (e.g., beta-thalassemia) by year-end 2021. We anticipate initiating a clinical trial in non-SCD hemoglobinopathies in 2022.</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FTX-6058 for SCD and ß-thalassemia</w:t>
      </w:r>
    </w:p>
    <w:p>
      <w:pPr>
        <w:spacing w:after="0" w:line="117" w:lineRule="exact"/>
        <w:rPr>
          <w:sz w:val="20"/>
          <w:szCs w:val="20"/>
          <w:color w:val="auto"/>
        </w:rPr>
      </w:pPr>
    </w:p>
    <w:p>
      <w:pPr>
        <w:ind w:left="300" w:right="40"/>
        <w:spacing w:after="0" w:line="255" w:lineRule="auto"/>
        <w:rPr>
          <w:sz w:val="20"/>
          <w:szCs w:val="20"/>
          <w:color w:val="auto"/>
        </w:rPr>
      </w:pPr>
      <w:r>
        <w:rPr>
          <w:rFonts w:ascii="Arial" w:cs="Arial" w:eastAsia="Arial" w:hAnsi="Arial"/>
          <w:sz w:val="18"/>
          <w:szCs w:val="18"/>
          <w:color w:val="auto"/>
        </w:rPr>
        <w:t>FTX-6058 is our novel small molecule designed to bind embryonic ectoderm development, or EED, and inhibit the transcriptional silencing activity of the polycomb repressive complex 2, or PRC2. FTX-6058 is a small molecule designed to upregulate fetal hemoglobin in patients with SCD and ß-thalassemia. SCD is a genetic blood disorder caused by a mutation in the ß-subunit gene, or HBB gene. This mutation results in the formation of abnormal hemoglobin, which causes red blood cells, or RBCs, to change from a round shape into a sickle shape that significantly impairs their function. ß-thalassemia is a rare blood disorder caused by various genetic mutations in the HBB gene that can significantly impair the production of RBCs.</w:t>
      </w:r>
    </w:p>
    <w:p>
      <w:pPr>
        <w:spacing w:after="0" w:line="192" w:lineRule="exact"/>
        <w:rPr>
          <w:sz w:val="20"/>
          <w:szCs w:val="20"/>
          <w:color w:val="auto"/>
        </w:rPr>
      </w:pPr>
    </w:p>
    <w:p>
      <w:pPr>
        <w:ind w:left="300" w:right="240"/>
        <w:spacing w:after="0" w:line="275" w:lineRule="auto"/>
        <w:rPr>
          <w:sz w:val="20"/>
          <w:szCs w:val="20"/>
          <w:color w:val="auto"/>
        </w:rPr>
      </w:pPr>
      <w:r>
        <w:rPr>
          <w:rFonts w:ascii="Arial" w:cs="Arial" w:eastAsia="Arial" w:hAnsi="Arial"/>
          <w:sz w:val="17"/>
          <w:szCs w:val="17"/>
          <w:color w:val="auto"/>
        </w:rPr>
        <w:t xml:space="preserve">We designed FTX-6058 to compensate for the root cause of these hemoglobinopathies by inducing the expression of the two g-globin genes, HBG1/2, whose expression is normally silenced shortly after birth. The HBG1/2 genes encode for g-globin, a component of fetal hemoglobin, which is known to compensate for the presence of abnormal hemoglobin in SCD and ß-thalassemia. We have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activation of the HBG1/2 genes in preclinical studies with FTX-6058. We have also observed in preclinical studies that FTX-6058 demonstrated robust levels of fetal hemoglobin elevation with no adverse effect on important cellular</w:t>
      </w: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80"/>
        <w:spacing w:after="0" w:line="311" w:lineRule="auto"/>
        <w:rPr>
          <w:sz w:val="20"/>
          <w:szCs w:val="20"/>
          <w:color w:val="auto"/>
        </w:rPr>
      </w:pPr>
      <w:r>
        <w:rPr>
          <w:rFonts w:ascii="Arial" w:cs="Arial" w:eastAsia="Arial" w:hAnsi="Arial"/>
          <w:sz w:val="16"/>
          <w:szCs w:val="16"/>
          <w:color w:val="auto"/>
        </w:rPr>
        <w:t>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w:t>
      </w:r>
    </w:p>
    <w:p>
      <w:pPr>
        <w:spacing w:after="0" w:line="149" w:lineRule="exact"/>
        <w:rPr>
          <w:sz w:val="20"/>
          <w:szCs w:val="20"/>
          <w:color w:val="auto"/>
        </w:rPr>
      </w:pPr>
    </w:p>
    <w:p>
      <w:pPr>
        <w:ind w:left="300" w:right="60"/>
        <w:spacing w:after="0" w:line="255" w:lineRule="auto"/>
        <w:rPr>
          <w:sz w:val="20"/>
          <w:szCs w:val="20"/>
          <w:color w:val="auto"/>
        </w:rPr>
      </w:pPr>
      <w:r>
        <w:rPr>
          <w:rFonts w:ascii="Arial" w:cs="Arial" w:eastAsia="Arial" w:hAnsi="Arial"/>
          <w:sz w:val="18"/>
          <w:szCs w:val="18"/>
          <w:color w:val="auto"/>
        </w:rPr>
        <w:t>In the fourth quarter of 2020, we initiated our Phase 1 clinical trial of FTX-6058 in healthy adult volunteers. In this trial, we are evaluating the safety, tolerability and pharmacokinetics of FTX-6058. The trial is comprised of four parts. Part A is a randomized, double-blind, placebo-controlled, single ascending dose, or SAD, study in up to six cohorts. Part B is a randomized, double-blind, placebo-controlled, multiple ascending dose, or MAD, study in up to four cohorts dosed once daily for 14 days. Part C is an open label pilot food effect study in subjects randomized to take FTX-6058 with and without a high-fat meal, and Part D is an open label study to evaluate the potential of FTX-6058 to induce a liver enzyme known as CYP3A, which is involved in drug metabolism.</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Interim Data from Phase 1 Clinical Trial of FTX-6058 in Healthy Adult Volunteers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August 2021, we reported interim data from the cohorts completed to date in the SAD portion of the trial and the MAD portion of the trial.</w:t>
      </w:r>
    </w:p>
    <w:p>
      <w:pPr>
        <w:spacing w:after="0" w:line="237" w:lineRule="exact"/>
        <w:rPr>
          <w:sz w:val="20"/>
          <w:szCs w:val="20"/>
          <w:color w:val="auto"/>
        </w:rPr>
      </w:pPr>
    </w:p>
    <w:p>
      <w:pPr>
        <w:ind w:left="300" w:right="240"/>
        <w:spacing w:after="0" w:line="259" w:lineRule="auto"/>
        <w:rPr>
          <w:sz w:val="20"/>
          <w:szCs w:val="20"/>
          <w:color w:val="auto"/>
        </w:rPr>
      </w:pPr>
      <w:r>
        <w:rPr>
          <w:rFonts w:ascii="Arial" w:cs="Arial" w:eastAsia="Arial" w:hAnsi="Arial"/>
          <w:sz w:val="18"/>
          <w:szCs w:val="18"/>
          <w:color w:val="auto"/>
        </w:rPr>
        <w:t>In the SAD portion of the trial, healthy volunteers received a single oral dose of either placebo or 2, 4, 10, 20, 30 or 40 mg of FTX-6058. In the MAD portion of the trial, healthy volunteers received an oral dose of placebo or 2, 6, or 10 mg of FTX-6058 daily for 14 consecutive days. Subjects were seen 7 to 10 days after the conclusion of study drug or placebo for a safety follow-up. Safety assessments are performed regularly throughout the trial. The primary endpoint of this trial is safety and tolerability.</w:t>
      </w:r>
    </w:p>
    <w:p>
      <w:pPr>
        <w:spacing w:after="0" w:line="187" w:lineRule="exact"/>
        <w:rPr>
          <w:sz w:val="20"/>
          <w:szCs w:val="20"/>
          <w:color w:val="auto"/>
        </w:rPr>
      </w:pPr>
    </w:p>
    <w:p>
      <w:pPr>
        <w:ind w:left="300" w:right="220"/>
        <w:spacing w:after="0" w:line="257" w:lineRule="auto"/>
        <w:rPr>
          <w:sz w:val="20"/>
          <w:szCs w:val="20"/>
          <w:color w:val="auto"/>
        </w:rPr>
      </w:pPr>
      <w:r>
        <w:rPr>
          <w:rFonts w:ascii="Arial" w:cs="Arial" w:eastAsia="Arial" w:hAnsi="Arial"/>
          <w:sz w:val="18"/>
          <w:szCs w:val="18"/>
          <w:color w:val="auto"/>
        </w:rPr>
        <w:t>The trial is also collecting secondary pharmacokinetic measurements, including bioavailability and half-life assessments. Exploratory measures were included to assess target engagement, HBG mRNA changes and F-reticulocyte changes. We assessed target engagement of FTX-6058 as a change from baseline in the ratio of lysine 27 on histone H3, or H3K27me3, to total histone H3 in circulating monocytes. H3K27me3 is a downstream target of PRC2. FTX-6058 is designed to bind embryonic ectoderm development and inhibit the transcriptional silencing activity of PRC2.</w:t>
      </w:r>
    </w:p>
    <w:p>
      <w:pPr>
        <w:spacing w:after="0" w:line="188" w:lineRule="exact"/>
        <w:rPr>
          <w:sz w:val="20"/>
          <w:szCs w:val="20"/>
          <w:color w:val="auto"/>
        </w:rPr>
      </w:pPr>
    </w:p>
    <w:p>
      <w:pPr>
        <w:ind w:left="300" w:right="380"/>
        <w:spacing w:after="0" w:line="308" w:lineRule="auto"/>
        <w:rPr>
          <w:sz w:val="20"/>
          <w:szCs w:val="20"/>
          <w:color w:val="auto"/>
        </w:rPr>
      </w:pPr>
      <w:r>
        <w:rPr>
          <w:rFonts w:ascii="Arial" w:cs="Arial" w:eastAsia="Arial" w:hAnsi="Arial"/>
          <w:sz w:val="17"/>
          <w:szCs w:val="17"/>
          <w:color w:val="auto"/>
        </w:rPr>
        <w:t xml:space="preserve">Pharmacodynamic parameters assessed include changes in HBG mRNA, or HBG1/2 mRNA which encodes for </w:t>
      </w:r>
      <w:r>
        <w:rPr>
          <w:rFonts w:ascii="Arial" w:cs="Arial" w:eastAsia="Arial" w:hAnsi="Arial"/>
          <w:sz w:val="17"/>
          <w:szCs w:val="17"/>
          <w:i w:val="1"/>
          <w:iCs w:val="1"/>
          <w:color w:val="auto"/>
        </w:rPr>
        <w:t>y</w:t>
      </w:r>
      <w:r>
        <w:rPr>
          <w:rFonts w:ascii="Arial" w:cs="Arial" w:eastAsia="Arial" w:hAnsi="Arial"/>
          <w:sz w:val="17"/>
          <w:szCs w:val="17"/>
          <w:color w:val="auto"/>
        </w:rPr>
        <w:t>-globin, a component of fetal hemoglobin, and changes in F-reticulocytes, which are immature red blood cells that contain fetal hemoglobin, or HbF.</w:t>
      </w:r>
    </w:p>
    <w:p>
      <w:pPr>
        <w:spacing w:after="0" w:line="146"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FTX-6058 has been generally well tolerated in all cohorts completed to date. There were no serious adverse events reported and no discontinuations. All treatment-emergent adverse events, or TEAEs, deemed at least possibly related were mild (Grade 1 or 2) in both the SAD and MAD cohorts. There was one Grade 4 TEAE in the 10 mg MAD cohort, which was determined to be unrelated to FTX-6058. No clinically significant changes in safety-related laboratory tests were reported during treatment periods for any of the FTX-6058 dose cohorts included in the analysis.</w:t>
      </w:r>
    </w:p>
    <w:p>
      <w:pPr>
        <w:spacing w:after="0" w:line="18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Results from the MAD cohorts showed maximal target engagement as evidenced by 70% – 80% reduction in baseline H3K27me3 levels, which we believe represents proof of mechanism. The 10 mg dose showed a mean 4.5-fold induction in HBG mRNA at day 14 and mean 4.2-fold increases in F-reticulocytes at the safety follow-up, indicating increased HbF protein expression, which we believe represents proof of biology. The kinetics observed across the target engagement and pharmacodynamic endpoints are consistent with the process of erythropoiesis in healthy individuals. These results demonstrated a time- and dose-dependent relationship between target engagement, mRNA induction and F-reticulocyte increases. The increases in F-reticulocytes indicate that the HBG mRNA increases observed with FTX-6058 treatment are translating to HbF protein production.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0"/>
        <w:spacing w:after="0" w:line="263" w:lineRule="auto"/>
        <w:rPr>
          <w:sz w:val="20"/>
          <w:szCs w:val="20"/>
          <w:color w:val="auto"/>
        </w:rPr>
      </w:pPr>
      <w:r>
        <w:rPr>
          <w:rFonts w:ascii="Arial" w:cs="Arial" w:eastAsia="Arial" w:hAnsi="Arial"/>
          <w:sz w:val="18"/>
          <w:szCs w:val="18"/>
          <w:color w:val="auto"/>
        </w:rPr>
        <w:t>The table below presents the mean fold induction in HBG mRNA and increases in F-reticulocytes in subjects in the MAD portion of the trial at day 7, day 14 and at a safety follow-up 7 to 10 days after the 14-day treatment period. A total of six subjects were dosed with FTX-6058 in each cohort and two subjects were dosed with placebo in each cohort.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HBG mRNA Mean Fold Induction for FTX-6058 versus Placebo</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 mg</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6 mg</w:t>
            </w:r>
          </w:p>
        </w:tc>
        <w:tc>
          <w:tcPr>
            <w:tcW w:w="600" w:type="dxa"/>
            <w:vAlign w:val="bottom"/>
          </w:tcPr>
          <w:p>
            <w:pPr>
              <w:spacing w:after="0"/>
              <w:rPr>
                <w:sz w:val="14"/>
                <w:szCs w:val="14"/>
                <w:color w:val="auto"/>
              </w:rPr>
            </w:pPr>
          </w:p>
        </w:tc>
        <w:tc>
          <w:tcPr>
            <w:tcW w:w="10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10 mg</w:t>
            </w: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Mean</w:t>
            </w: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Mean</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Mean</w:t>
            </w:r>
          </w:p>
        </w:tc>
        <w:tc>
          <w:tcPr>
            <w:tcW w:w="3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Fold</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P-value</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Fold</w:t>
            </w:r>
          </w:p>
        </w:tc>
        <w:tc>
          <w:tcPr>
            <w:tcW w:w="32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P-value</w:t>
            </w:r>
          </w:p>
        </w:tc>
        <w:tc>
          <w:tcPr>
            <w:tcW w:w="60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Fold</w:t>
            </w:r>
          </w:p>
        </w:tc>
        <w:tc>
          <w:tcPr>
            <w:tcW w:w="34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Induction</w:t>
            </w:r>
          </w:p>
        </w:tc>
        <w:tc>
          <w:tcPr>
            <w:tcW w:w="880" w:type="dxa"/>
            <w:vAlign w:val="bottom"/>
            <w:gridSpan w:val="2"/>
            <w:vMerge w:val="continue"/>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Induction</w:t>
            </w:r>
          </w:p>
        </w:tc>
        <w:tc>
          <w:tcPr>
            <w:tcW w:w="3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1"/>
              </w:rPr>
              <w:t>Induction</w:t>
            </w:r>
          </w:p>
        </w:tc>
        <w:tc>
          <w:tcPr>
            <w:tcW w:w="3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 7</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0.1873</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0.0179</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Day 14</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1.67</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0.1120</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3.28</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0.0008</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&lt;0.0001</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 Follow-up (Day 21-24)</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1.44</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0.1214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3.25</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&lt;0.0001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&lt;0.0001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F-Reticulocyte Mean Fold Increase for FTX-6058 versus Placebo</w:t>
      </w:r>
    </w:p>
    <w:p>
      <w:pPr>
        <w:spacing w:after="0" w:line="369"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2 mg</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6 mg</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10 mg</w:t>
            </w: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56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Mean</w:t>
            </w: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Mean</w:t>
            </w:r>
          </w:p>
        </w:tc>
        <w:tc>
          <w:tcPr>
            <w:tcW w:w="3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Mean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Fold</w:t>
            </w:r>
          </w:p>
        </w:tc>
        <w:tc>
          <w:tcPr>
            <w:tcW w:w="30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P-value</w:t>
            </w:r>
          </w:p>
        </w:tc>
        <w:tc>
          <w:tcPr>
            <w:tcW w:w="5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Fold</w:t>
            </w:r>
          </w:p>
        </w:tc>
        <w:tc>
          <w:tcPr>
            <w:tcW w:w="30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P-value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Fold</w:t>
            </w:r>
          </w:p>
        </w:tc>
        <w:tc>
          <w:tcPr>
            <w:tcW w:w="3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Day 7</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0.4836</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3"/>
              </w:rPr>
              <w:t>0.2168</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Day 14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0.74</w:t>
            </w:r>
          </w:p>
        </w:tc>
        <w:tc>
          <w:tcPr>
            <w:tcW w:w="1180" w:type="dxa"/>
            <w:vAlign w:val="bottom"/>
            <w:gridSpan w:val="3"/>
          </w:tcPr>
          <w:p>
            <w:pPr>
              <w:ind w:left="360"/>
              <w:spacing w:after="0"/>
              <w:rPr>
                <w:sz w:val="20"/>
                <w:szCs w:val="20"/>
                <w:color w:val="auto"/>
              </w:rPr>
            </w:pPr>
            <w:r>
              <w:rPr>
                <w:rFonts w:ascii="Arial" w:cs="Arial" w:eastAsia="Arial" w:hAnsi="Arial"/>
                <w:sz w:val="18"/>
                <w:szCs w:val="18"/>
                <w:color w:val="auto"/>
              </w:rPr>
              <w:t>0.4793</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w:t>
            </w:r>
          </w:p>
        </w:tc>
        <w:tc>
          <w:tcPr>
            <w:tcW w:w="1180" w:type="dxa"/>
            <w:vAlign w:val="bottom"/>
            <w:gridSpan w:val="3"/>
          </w:tcPr>
          <w:p>
            <w:pPr>
              <w:ind w:left="380"/>
              <w:spacing w:after="0"/>
              <w:rPr>
                <w:sz w:val="20"/>
                <w:szCs w:val="20"/>
                <w:color w:val="auto"/>
              </w:rPr>
            </w:pPr>
            <w:r>
              <w:rPr>
                <w:rFonts w:ascii="Arial" w:cs="Arial" w:eastAsia="Arial" w:hAnsi="Arial"/>
                <w:sz w:val="18"/>
                <w:szCs w:val="18"/>
                <w:color w:val="auto"/>
              </w:rPr>
              <w:t>0.8086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1.98</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0.1076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Safety Follow-up (Day 21-24)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0.63</w:t>
            </w:r>
          </w:p>
        </w:tc>
        <w:tc>
          <w:tcPr>
            <w:tcW w:w="11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0.1253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0.0320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4.23</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&lt;0.0001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right="440"/>
        <w:spacing w:after="0" w:line="277" w:lineRule="auto"/>
        <w:rPr>
          <w:sz w:val="20"/>
          <w:szCs w:val="20"/>
          <w:color w:val="auto"/>
        </w:rPr>
      </w:pPr>
      <w:r>
        <w:rPr>
          <w:rFonts w:ascii="Arial" w:cs="Arial" w:eastAsia="Arial" w:hAnsi="Arial"/>
          <w:sz w:val="18"/>
          <w:szCs w:val="18"/>
          <w:color w:val="auto"/>
        </w:rPr>
        <w:t>We anticipate presenting additional data from all Phase 1 dose cohorts at an upcoming medical meeting in the fourth quarter of 2021, pending abstract acceptance.</w:t>
      </w:r>
    </w:p>
    <w:p>
      <w:pPr>
        <w:spacing w:after="0" w:line="170"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Based on the interim data, we anticipate initiating enrollment in a Phase 1b clinical trial in SCD patients in the fourth quarter of 2021. The trial will be an open-label, multi-dose trial starting at 6 mg once-daily dosing and will include a treatment period of up to three months. This trial will aim to demonstrate the safety, tolerability and pharmacokinetics/pharmacodynamic effects of FTX-6058 in people living with SCD (including induction of HbF protein). This trial could provide the opportunity to demonstrate HbF protein induction in people living with SCD and will be used to help inform a potential Phase 2/3 trial, which we anticipate initiating in 2023. These interim data also support the initiation of a clinical trial in non-SCD hemoglobinopathies (e.g., beta-thalassemia) for which we plan to submit an IND by year-end 2021. We anticipate initiating a clinical trial in non-SCD hemoglobinopathies in 2022.</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Losmapimod for FSHD</w:t>
      </w:r>
    </w:p>
    <w:p>
      <w:pPr>
        <w:spacing w:after="0" w:line="117" w:lineRule="exact"/>
        <w:rPr>
          <w:sz w:val="20"/>
          <w:szCs w:val="20"/>
          <w:color w:val="auto"/>
        </w:rPr>
      </w:pPr>
    </w:p>
    <w:p>
      <w:pPr>
        <w:ind w:left="300" w:right="60"/>
        <w:spacing w:after="0" w:line="254" w:lineRule="auto"/>
        <w:rPr>
          <w:sz w:val="20"/>
          <w:szCs w:val="20"/>
          <w:color w:val="auto"/>
        </w:rPr>
      </w:pPr>
      <w:r>
        <w:rPr>
          <w:rFonts w:ascii="Arial" w:cs="Arial" w:eastAsia="Arial" w:hAnsi="Arial"/>
          <w:sz w:val="18"/>
          <w:szCs w:val="18"/>
          <w:color w:val="auto"/>
        </w:rPr>
        <w:t>Losmapimod is a small molecule that we are developing for the treatment of FSHD, a rare, progressive and disabling muscle wasting disorder that leads to significant physical impairments and disability. Losmapimod selectively targets p38α/ß mitogen activated protein kinase, or p38α/ß. We utilized our product engine to discover that inhibition of p38α/ß reduced expression of the DUX4 gene in muscle cells derived from patients with FSHD. The mis-expression of the DUX4 gene is the known root cause of FSHD. There are no approved therapies for FSHD, one of the most common forms of muscular dystrophy, with an estimated patient population of 16,000 to 38,000 in the United States. In January 2020, the FDA granted orphan drug designation to losmapimod for the treatment of FSHD, and, in March 2020, the European Medicines Agency granted orphan drug designation to losmapimod for the treatment of FSHD. In April 2021, the FDA granted fast track designation to losmapimod for the treatment of FSHD.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We conducted the ReDUX4 trial, which was a randomized, double-blind, placebo-controlled, multicenter, international Phase 2b clinical trial, to investigate whether treatment with losmapimod reduces DUX4-driven gene expression in affected skeletal muscles. As a result of the COVID-19 pandemic, we announced in May 2020 that the ReDUX4 trial had been extended from 24 to 48 weeks to ensure the safety of participants during the pandemic. This extension also enabled the collection of safety and efficacy data, including structural, functional and patient reported data, over a longer time period.</w:t>
      </w:r>
    </w:p>
    <w:p>
      <w:pPr>
        <w:spacing w:after="0" w:line="80"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The primary endpoint of the ReDUX4 trial was the change in DUX4-driven gene expression in affected skeletal muscle over 16 or 36 weeks, which was included as an experimental biomarker. The ReDUX4 trial was also designed to capture a wide range of data relating to FSHD progression in addition to safety, target engagement and pharmacokinetic data. The secondary endpoints were evaluation of safety and tolerability in FSHD patients, pharmacokinetics in blood, losmapimod concentration in skeletal muscle biopsies, target engagement in blood and in muscle biopsies, and efficacy based on the whole-body skeletal muscle MRI biomarker. The whole-body MRI scans evaluated changes in muscle fat infiltration,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reachable workspace, timed up and go (TUG) test, an optimized timed up and go test for FSHD (FSHD TUG), muscle function measures and patient reported outcomes. We are conducting a multi-center open label extension Phase 2 clinical trial to investigate the safety and tolerability of chronic treatment with losmapimod in patients with FSHD who participated in the ReDUX4 trial. Secondary objectives of this open label extension include evaluation of whole-body skeletal muscle MRI and plasma concentrations of losmapimod.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ReDUX4 Data</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presented full data from the ReDUX4 trial at the FSHD International Research Congress on June 24, 2021.</w:t>
      </w:r>
    </w:p>
    <w:p>
      <w:pPr>
        <w:spacing w:after="0" w:line="225" w:lineRule="exact"/>
        <w:rPr>
          <w:sz w:val="20"/>
          <w:szCs w:val="20"/>
          <w:color w:val="auto"/>
        </w:rPr>
      </w:pPr>
    </w:p>
    <w:p>
      <w:pPr>
        <w:ind w:left="300" w:right="40"/>
        <w:spacing w:after="0" w:line="255" w:lineRule="auto"/>
        <w:rPr>
          <w:sz w:val="20"/>
          <w:szCs w:val="20"/>
          <w:color w:val="auto"/>
        </w:rPr>
      </w:pPr>
      <w:r>
        <w:rPr>
          <w:rFonts w:ascii="Arial" w:cs="Arial" w:eastAsia="Arial" w:hAnsi="Arial"/>
          <w:sz w:val="18"/>
          <w:szCs w:val="18"/>
          <w:color w:val="auto"/>
        </w:rPr>
        <w:t>The trial did not meet the primary endpoint. The data from certain of the secondary and exploratory endpoints showed clinically relevant and nominally statistically significant benefits in the losmapimod treated group versus placebo on multiple measures of structural and functional FSHD progression and patient reported outcomes at 48 weeks. In order to provide context for the results observed with respect to the secondary and exploratory endpoints, we are presenting p-values for these endpoints to show nominal statistical significance regardless of the specific testing procedure in the statistical analysis plan. These p-values do not take into account any statistical adjustments to account for the fact that the primary endpoint was not met.</w:t>
      </w:r>
    </w:p>
    <w:p>
      <w:pPr>
        <w:spacing w:after="0" w:line="192" w:lineRule="exact"/>
        <w:rPr>
          <w:sz w:val="20"/>
          <w:szCs w:val="20"/>
          <w:color w:val="auto"/>
        </w:rPr>
      </w:pPr>
    </w:p>
    <w:p>
      <w:pPr>
        <w:jc w:val="both"/>
        <w:ind w:left="300" w:right="140"/>
        <w:spacing w:after="0" w:line="311" w:lineRule="auto"/>
        <w:rPr>
          <w:sz w:val="20"/>
          <w:szCs w:val="20"/>
          <w:color w:val="auto"/>
        </w:rPr>
      </w:pPr>
      <w:r>
        <w:rPr>
          <w:rFonts w:ascii="Arial" w:cs="Arial" w:eastAsia="Arial" w:hAnsi="Arial"/>
          <w:sz w:val="16"/>
          <w:szCs w:val="16"/>
          <w:color w:val="auto"/>
        </w:rPr>
        <w:t>Losmapimod was generally well-tolerated in the trial, with no drug-related serious adverse events reported. Over the course of the trial there were three discontinuations, none of which were assessed to be related to losmapimod, and 99% of eligible participants elected to continue in the open label extension of our ReDUX4 trial. We will continue to analyze data from each endpoint to determine their viability for future trials.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DUX4-Driven Gene Expression</w:t>
      </w:r>
    </w:p>
    <w:p>
      <w:pPr>
        <w:spacing w:after="0" w:line="117" w:lineRule="exact"/>
        <w:rPr>
          <w:sz w:val="20"/>
          <w:szCs w:val="20"/>
          <w:color w:val="auto"/>
        </w:rPr>
      </w:pPr>
    </w:p>
    <w:p>
      <w:pPr>
        <w:jc w:val="both"/>
        <w:ind w:left="300" w:right="380"/>
        <w:spacing w:after="0" w:line="263" w:lineRule="auto"/>
        <w:rPr>
          <w:sz w:val="20"/>
          <w:szCs w:val="20"/>
          <w:color w:val="auto"/>
        </w:rPr>
      </w:pPr>
      <w:r>
        <w:rPr>
          <w:rFonts w:ascii="Arial" w:cs="Arial" w:eastAsia="Arial" w:hAnsi="Arial"/>
          <w:sz w:val="18"/>
          <w:szCs w:val="18"/>
          <w:color w:val="auto"/>
        </w:rPr>
        <w:t>The primary endpoint, change from baseline in DUX4-driven gene expression in affected skeletal muscle at week 16 or week 36, was not met. Reduction in DUX4-driven gene expression was included as an experimental biomarker endpoint because we believed it would correlate with downstream clinical improvements in patients with FSHD.</w:t>
      </w:r>
    </w:p>
    <w:p>
      <w:pPr>
        <w:spacing w:after="0" w:line="184" w:lineRule="exact"/>
        <w:rPr>
          <w:sz w:val="20"/>
          <w:szCs w:val="20"/>
          <w:color w:val="auto"/>
        </w:rPr>
      </w:pPr>
    </w:p>
    <w:p>
      <w:pPr>
        <w:ind w:left="300" w:right="220"/>
        <w:spacing w:after="0" w:line="257" w:lineRule="auto"/>
        <w:rPr>
          <w:sz w:val="20"/>
          <w:szCs w:val="20"/>
          <w:color w:val="auto"/>
        </w:rPr>
      </w:pPr>
      <w:r>
        <w:rPr>
          <w:rFonts w:ascii="Arial" w:cs="Arial" w:eastAsia="Arial" w:hAnsi="Arial"/>
          <w:sz w:val="18"/>
          <w:szCs w:val="18"/>
          <w:color w:val="auto"/>
        </w:rPr>
        <w:t xml:space="preserve">Losmapimod reduced DUX4-driven gene expression in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ReDUX4 was the first interventional clinical trial to test whether changes in intramuscular DUX4-driven gene expression could be assessed in patients with FSHD. FSHD is a highly heterogenous disease, and DUX4 expression in each patient’s muscle is heterogeneous and stochastic. In the losmapimod treatment arm, repeat muscle needle biopsies at week 16 or week 36 did not demonstrate a difference in DUX4 activity, including from the prespecified subgroup analyses by DUX4-expressing</w:t>
      </w: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93" w:lineRule="auto"/>
        <w:rPr>
          <w:sz w:val="20"/>
          <w:szCs w:val="20"/>
          <w:color w:val="auto"/>
        </w:rPr>
      </w:pPr>
      <w:r>
        <w:rPr>
          <w:rFonts w:ascii="Arial" w:cs="Arial" w:eastAsia="Arial" w:hAnsi="Arial"/>
          <w:sz w:val="16"/>
          <w:szCs w:val="16"/>
          <w:color w:val="auto"/>
        </w:rPr>
        <w:t>quartiles. The ability to detect changes in DUX4-driven gene expression was confounded by significant variability across biopsies at baseline and upon repeat biopsy in both the placebo and losmapimod groups. We believe the sources of the variability include the stochastic nature of DUX4 expression in which biopsy samples showed a dynamic state of expression (over 1,000-fold variation), the scarcity of DUX4 positive myonuclei (~1/1000), as well as the relative imprecision in the needle biopsy procedure across multiple clinical trial sites. While a reduction in the molecular biomarker of DUX4-driven gene expression was not observed, we believe that the benefits observed in the losmapimod treated group on muscle health and function and patient reported improvement were consistent with a reduction of DUX4-driven gene expression.</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MRI biomarkers: Muscle Fat Infiltration, Muscle Fat Fraction and Lean Muscle Volume</w:t>
      </w:r>
    </w:p>
    <w:p>
      <w:pPr>
        <w:spacing w:after="0" w:line="117" w:lineRule="exact"/>
        <w:rPr>
          <w:sz w:val="20"/>
          <w:szCs w:val="20"/>
          <w:color w:val="auto"/>
        </w:rPr>
      </w:pPr>
    </w:p>
    <w:p>
      <w:pPr>
        <w:ind w:left="300" w:right="340"/>
        <w:spacing w:after="0" w:line="263" w:lineRule="auto"/>
        <w:rPr>
          <w:sz w:val="20"/>
          <w:szCs w:val="20"/>
          <w:color w:val="auto"/>
        </w:rPr>
      </w:pPr>
      <w:r>
        <w:rPr>
          <w:rFonts w:ascii="Arial" w:cs="Arial" w:eastAsia="Arial" w:hAnsi="Arial"/>
          <w:sz w:val="18"/>
          <w:szCs w:val="18"/>
          <w:color w:val="auto"/>
        </w:rPr>
        <w:t>Losmapimod-treated participants showed decreased progression of muscle fat infiltration (MFI) versus placebo as measured in intermediate muscles, which are the muscles most likely to change (p=0.01). Normal-appearing muscles appeared to be preserved in the losmapimod group versus placebo based on a post-hoc analysis.</w:t>
      </w:r>
    </w:p>
    <w:p>
      <w:pPr>
        <w:spacing w:after="0" w:line="184"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Muscle fat infiltration is a measure of diffuse fatty infiltration in lean muscle tissue that is correlated with disease severity in FSHD. Participants in the ReDUX4 trial were assessed with a quantitative whole body musculoskeletal magnetic resonance imaging (WB-MSK-MRI) which provides a holistic evaluation of skeletal musculature with the ability to volumetrically measure fat replacement of skeletal muscle in FSHD. Prior clinical trials, not involving losmapimod, have demonstrated that the amount of muscle fat replacement correlates with muscle function in many neuromuscular diseases, including FSHD. Furthermore, changes in fat content are correlated with changes in function. Taken together, ReDUX4 demonstrated that this MRI technology has sufficient sensitivity to detect FSHD progression.</w:t>
      </w:r>
    </w:p>
    <w:p>
      <w:pPr>
        <w:spacing w:after="0" w:line="178" w:lineRule="exact"/>
        <w:rPr>
          <w:sz w:val="20"/>
          <w:szCs w:val="20"/>
          <w:color w:val="auto"/>
        </w:rPr>
      </w:pPr>
    </w:p>
    <w:p>
      <w:pPr>
        <w:ind w:left="300" w:right="500"/>
        <w:spacing w:after="0" w:line="342" w:lineRule="auto"/>
        <w:rPr>
          <w:sz w:val="20"/>
          <w:szCs w:val="20"/>
          <w:color w:val="auto"/>
        </w:rPr>
      </w:pPr>
      <w:r>
        <w:rPr>
          <w:rFonts w:ascii="Arial" w:cs="Arial" w:eastAsia="Arial" w:hAnsi="Arial"/>
          <w:sz w:val="16"/>
          <w:szCs w:val="16"/>
          <w:color w:val="auto"/>
        </w:rPr>
        <w:t>There was no meaningful difference in change in muscle fat fraction or lean muscle volume between the losmapimod and placebo groups in intermediate muscles at 48 weeks. We believe that we may observe meaningful differences in these measures with more time.</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Reachable Workspace</w:t>
      </w:r>
    </w:p>
    <w:p>
      <w:pPr>
        <w:spacing w:after="0" w:line="117" w:lineRule="exact"/>
        <w:rPr>
          <w:sz w:val="20"/>
          <w:szCs w:val="20"/>
          <w:color w:val="auto"/>
        </w:rPr>
      </w:pPr>
    </w:p>
    <w:p>
      <w:pPr>
        <w:ind w:left="300" w:right="160"/>
        <w:spacing w:after="0" w:line="277" w:lineRule="auto"/>
        <w:rPr>
          <w:sz w:val="20"/>
          <w:szCs w:val="20"/>
          <w:color w:val="auto"/>
        </w:rPr>
      </w:pPr>
      <w:r>
        <w:rPr>
          <w:rFonts w:ascii="Arial" w:cs="Arial" w:eastAsia="Arial" w:hAnsi="Arial"/>
          <w:sz w:val="18"/>
          <w:szCs w:val="18"/>
          <w:color w:val="auto"/>
        </w:rPr>
        <w:t>Losmapimod-treated participants showed a slower rate of decline and improved accessible surface area in reachable workspace (RWS) measures when patients were challenged with 500g weights (p&lt;0.05).</w:t>
      </w:r>
    </w:p>
    <w:p>
      <w:pPr>
        <w:spacing w:after="0" w:line="170"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RWS provides an objective measure of upper extremity range of motion and function by measuring arm and shoulder mobility with and without weights. Prior studies have shown that RWS correlates with changes in the ability of patients to independently perform activities of daily living. FSHD tends to progress from the upper body down, and loss of shoulder movement leads to loss of mobility. Participants in the losmapimod group showed improvements of up to 1.5% from baseline in the accessible surface area when using a 500g weight on their wrist compared to placebo. Participants in the placebo group were able to access 2 to 4% less total surface area from baseline (with and without 500g weights) measured by RWS after 48 weeks.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Dynamometry</w:t>
      </w:r>
    </w:p>
    <w:p>
      <w:pPr>
        <w:spacing w:after="0" w:line="117"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In a post-hoc analysis, dynamometry, which measures muscle strength, demonstrated that participants in the losmapimod group showed non-statistically significant trends of slower progression (less than 4% decline), as well as meaningful improvements (12 to 27%) in the strength of non-dominant shoulder abductors and right ankle dorsiflexors compared to the placebo group, two muscle groups particularly affected in FSHD, compared to placebo. The participants in the placebo group lost about 15% of shoulder and ankle dorsiflexor strength after 48 weeks. The dynamometry data is reported as percent change from baseline rather than the pre-specified plan to report as mean change from baseline in kilograms. The mean change from baseline in kilograms did not show changes.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96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896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Timed Up and Go</w:t>
      </w:r>
    </w:p>
    <w:p>
      <w:pPr>
        <w:spacing w:after="0" w:line="11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Losmapimod-treated participants showed a trend in decreased slowing in the TUG test completion time versus placebo (p=0.30). Participants in the placebo group showed an increase of approximately three fourths of a second versus an increase of less than one fourth of a second in the losmapimod group. This difference of approximately one half second has been shown to be clinically meaningful in other muscular dystrophy studies not involving losmapimod. The TUG test measures the time that it takes to rise from a chair, walk three meters, turn round, walk back to the chair and sit down.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Patient Global Impression of Change</w:t>
      </w:r>
    </w:p>
    <w:p>
      <w:pPr>
        <w:spacing w:after="0" w:line="117" w:lineRule="exact"/>
        <w:rPr>
          <w:sz w:val="20"/>
          <w:szCs w:val="20"/>
          <w:color w:val="auto"/>
        </w:rPr>
      </w:pPr>
    </w:p>
    <w:p>
      <w:pPr>
        <w:ind w:left="300" w:right="180"/>
        <w:spacing w:after="0" w:line="277" w:lineRule="auto"/>
        <w:rPr>
          <w:sz w:val="20"/>
          <w:szCs w:val="20"/>
          <w:color w:val="auto"/>
        </w:rPr>
      </w:pPr>
      <w:r>
        <w:rPr>
          <w:rFonts w:ascii="Arial" w:cs="Arial" w:eastAsia="Arial" w:hAnsi="Arial"/>
          <w:sz w:val="18"/>
          <w:szCs w:val="18"/>
          <w:color w:val="auto"/>
        </w:rPr>
        <w:t>Participants reported feeling better when treated with losmapimod compared to placebo through the Patient Global Impression of Change (PGIC) assessment (p=0.02).</w:t>
      </w:r>
    </w:p>
    <w:p>
      <w:pPr>
        <w:spacing w:after="0" w:line="170" w:lineRule="exact"/>
        <w:rPr>
          <w:sz w:val="20"/>
          <w:szCs w:val="20"/>
          <w:color w:val="auto"/>
        </w:rPr>
      </w:pPr>
    </w:p>
    <w:p>
      <w:pPr>
        <w:ind w:left="300" w:right="140"/>
        <w:spacing w:after="0" w:line="301" w:lineRule="auto"/>
        <w:rPr>
          <w:sz w:val="20"/>
          <w:szCs w:val="20"/>
          <w:color w:val="auto"/>
        </w:rPr>
      </w:pPr>
      <w:r>
        <w:rPr>
          <w:rFonts w:ascii="Arial" w:cs="Arial" w:eastAsia="Arial" w:hAnsi="Arial"/>
          <w:sz w:val="16"/>
          <w:szCs w:val="16"/>
          <w:color w:val="auto"/>
        </w:rPr>
        <w:t>PGIC, a measure of self-reported change in how a patient feels and functions, showed that participants were able to recognize improvements after 48 weeks of treatment. Four times more losmapimod participants reported improvement at 48 weeks as compared to participants treated with placebo. Importantly, fewer losmapimod participants reported worsening as compared to placebo, and no losmapimod participants reported being “much worse” as compared to more than 13% of placebo participants who reported that their disease had become “much worse” after 48 weeks.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FSHD TUG. Motor Function Measure and FSHD Health Index</w:t>
      </w:r>
    </w:p>
    <w:p>
      <w:pPr>
        <w:spacing w:after="0" w:line="117" w:lineRule="exact"/>
        <w:rPr>
          <w:sz w:val="20"/>
          <w:szCs w:val="20"/>
          <w:color w:val="auto"/>
        </w:rPr>
      </w:pPr>
    </w:p>
    <w:p>
      <w:pPr>
        <w:ind w:left="300" w:right="140"/>
        <w:spacing w:after="0" w:line="263" w:lineRule="auto"/>
        <w:rPr>
          <w:sz w:val="20"/>
          <w:szCs w:val="20"/>
          <w:color w:val="auto"/>
        </w:rPr>
      </w:pPr>
      <w:r>
        <w:rPr>
          <w:rFonts w:ascii="Arial" w:cs="Arial" w:eastAsia="Arial" w:hAnsi="Arial"/>
          <w:sz w:val="18"/>
          <w:szCs w:val="18"/>
          <w:color w:val="auto"/>
        </w:rPr>
        <w:t>Two other exploratory endpoints (FSHD TUG, and FSHD Health Index) did not demonstrate changes from baseline in either group or differences between losmapimod and placebo groups, suggesting that these tests are not sensitive to change over the 48-week time period. Motor function measure also showed no changes in either group or differences between the groups over 48 weeks.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Pharmacokinetics and Target Engagement</w:t>
      </w:r>
    </w:p>
    <w:p>
      <w:pPr>
        <w:spacing w:after="0" w:line="117"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Blood concentrations and target engagement in muscle were consistent with previous studies and were within the expected range for clinical efficacy.</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Safety and Tolerability</w:t>
      </w:r>
    </w:p>
    <w:p>
      <w:pPr>
        <w:spacing w:after="0" w:line="117" w:lineRule="exact"/>
        <w:rPr>
          <w:sz w:val="20"/>
          <w:szCs w:val="20"/>
          <w:color w:val="auto"/>
        </w:rPr>
      </w:pPr>
    </w:p>
    <w:p>
      <w:pPr>
        <w:ind w:left="300" w:right="40"/>
        <w:spacing w:after="0" w:line="296" w:lineRule="auto"/>
        <w:rPr>
          <w:sz w:val="20"/>
          <w:szCs w:val="20"/>
          <w:color w:val="auto"/>
        </w:rPr>
      </w:pPr>
      <w:r>
        <w:rPr>
          <w:rFonts w:ascii="Arial" w:cs="Arial" w:eastAsia="Arial" w:hAnsi="Arial"/>
          <w:sz w:val="16"/>
          <w:szCs w:val="16"/>
          <w:color w:val="auto"/>
        </w:rPr>
        <w:t>Safety and tolerability data were consistent with previously reported results with no drug-related serious adverse events reported. Losmapimod was generally well-tolerated and the majority of treatment emergent adverse events were deemed unlikely related or not related to study drug by the investigator. There were three serious adverse events (post-op wound infection, alcohol poisoning and a suicide attempt) reported in two participants in the losmapimod group, each was assessed as unrelated to losmapimod. There were no deaths or discontinuations due to adverse events. Losmapimod has now been evaluated in more than 3,600 subjects in clinical trials across multiple indications, including FSHD.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Engine</w:t>
      </w:r>
    </w:p>
    <w:p>
      <w:pPr>
        <w:spacing w:after="0" w:line="117" w:lineRule="exact"/>
        <w:rPr>
          <w:sz w:val="20"/>
          <w:szCs w:val="20"/>
          <w:color w:val="auto"/>
        </w:rPr>
      </w:pPr>
    </w:p>
    <w:p>
      <w:pPr>
        <w:ind w:left="300" w:right="80"/>
        <w:spacing w:after="0" w:line="271" w:lineRule="auto"/>
        <w:rPr>
          <w:sz w:val="20"/>
          <w:szCs w:val="20"/>
          <w:color w:val="auto"/>
        </w:rPr>
      </w:pPr>
      <w:r>
        <w:rPr>
          <w:rFonts w:ascii="Arial" w:cs="Arial" w:eastAsia="Arial" w:hAnsi="Arial"/>
          <w:sz w:val="17"/>
          <w:szCs w:val="17"/>
          <w:color w:val="auto"/>
        </w:rPr>
        <w:t>According to the National Institutes of Health, there are approximately 7,000 rare, genetically defined human diseases, many of which have inadequate or no approved treatments. Our current drug target identification and development efforts are focused on rare neuromuscular, muscular, hematologic and central nervous system disorders. We also anticipate utilizing our product engine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utilizing our product engine to discover drug targets within a targeted indication in the pulmonary disease space under our collaboration and license agreement with Acceleron Pharma Inc., or Acceleron, and for the potential treatment of certain genetically defined cardiomyopathies under our collaboration and license agreement with MyoKardia, Inc., or MyoKardia, a wholly owned subsidiary of Bristol-Myers Squibb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supplement immediately following this prospectus supplement summary and in our Quarterly Report on Form 10-Q for the period ended June 30, 2021, which are incorporated by reference herein. These risks include, but are not limited to, the following:</w:t>
      </w:r>
    </w:p>
    <w:p>
      <w:pPr>
        <w:spacing w:after="0" w:line="92" w:lineRule="exact"/>
        <w:rPr>
          <w:sz w:val="20"/>
          <w:szCs w:val="20"/>
          <w:color w:val="auto"/>
        </w:rPr>
      </w:pPr>
    </w:p>
    <w:p>
      <w:pPr>
        <w:ind w:left="1240" w:right="560" w:hanging="415"/>
        <w:spacing w:after="0" w:line="286"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Our net loss was $70.8 million for the year ended December 31, 2020 and $36.6 million for the six months ended June 30, 2021. We expect to incur losses over the next several years and may never achieve or maintain profitability. As of June 30, 2021, we had an accumulated deficit of $258.3 million.</w:t>
      </w:r>
    </w:p>
    <w:p>
      <w:pPr>
        <w:spacing w:after="0" w:line="70" w:lineRule="exact"/>
        <w:rPr>
          <w:rFonts w:ascii="Arial" w:cs="Arial" w:eastAsia="Arial" w:hAnsi="Arial"/>
          <w:sz w:val="17"/>
          <w:szCs w:val="17"/>
          <w:color w:val="auto"/>
        </w:rPr>
      </w:pPr>
    </w:p>
    <w:p>
      <w:pPr>
        <w:ind w:left="1240" w:hanging="415"/>
        <w:spacing w:after="0" w:line="254"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including our open label extension of our Phase 2b clinical trial for the treatment of FSHD and our Phase 2 open label clinical trial for the treatment of FSHD, continue our Phase 1 clinical trial of FTX-6058 in healthy adult volunteers, prepare for our planned Phase 1b clinical trial of FTX-6058 in patients with SCD, and continue research and development and initiate additional clinical trials of, and seek regulatory approval for, these and other product candidates.</w:t>
      </w:r>
    </w:p>
    <w:p>
      <w:pPr>
        <w:spacing w:after="0" w:line="100" w:lineRule="exact"/>
        <w:rPr>
          <w:rFonts w:ascii="Arial" w:cs="Arial" w:eastAsia="Arial" w:hAnsi="Arial"/>
          <w:sz w:val="18"/>
          <w:szCs w:val="18"/>
          <w:color w:val="auto"/>
        </w:rPr>
      </w:pPr>
    </w:p>
    <w:p>
      <w:pPr>
        <w:ind w:left="1240" w:right="340" w:hanging="415"/>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92" w:lineRule="exact"/>
        <w:rPr>
          <w:rFonts w:ascii="Arial" w:cs="Arial" w:eastAsia="Arial" w:hAnsi="Arial"/>
          <w:sz w:val="18"/>
          <w:szCs w:val="18"/>
          <w:color w:val="auto"/>
        </w:rPr>
      </w:pPr>
    </w:p>
    <w:p>
      <w:pPr>
        <w:ind w:left="1240" w:right="60" w:hanging="415"/>
        <w:spacing w:after="0" w:line="308"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1" w:lineRule="exact"/>
        <w:rPr>
          <w:rFonts w:ascii="Arial" w:cs="Arial" w:eastAsia="Arial" w:hAnsi="Arial"/>
          <w:sz w:val="17"/>
          <w:szCs w:val="17"/>
          <w:color w:val="auto"/>
        </w:rPr>
      </w:pPr>
    </w:p>
    <w:p>
      <w:pPr>
        <w:ind w:left="1240" w:right="380" w:hanging="415"/>
        <w:spacing w:after="0" w:line="259"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product engine to build a pipeline of product candidates. 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w:t>
      </w:r>
    </w:p>
    <w:p>
      <w:pPr>
        <w:spacing w:after="0" w:line="92" w:lineRule="exact"/>
        <w:rPr>
          <w:rFonts w:ascii="Arial" w:cs="Arial" w:eastAsia="Arial" w:hAnsi="Arial"/>
          <w:sz w:val="18"/>
          <w:szCs w:val="18"/>
          <w:color w:val="auto"/>
        </w:rPr>
      </w:pPr>
    </w:p>
    <w:p>
      <w:pPr>
        <w:ind w:left="1240" w:right="20" w:hanging="415"/>
        <w:spacing w:after="0" w:line="286"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0" w:lineRule="exact"/>
        <w:rPr>
          <w:rFonts w:ascii="Arial" w:cs="Arial" w:eastAsia="Arial" w:hAnsi="Arial"/>
          <w:sz w:val="17"/>
          <w:szCs w:val="17"/>
          <w:color w:val="auto"/>
        </w:rPr>
      </w:pPr>
    </w:p>
    <w:p>
      <w:pPr>
        <w:ind w:left="1240" w:right="80" w:hanging="415"/>
        <w:spacing w:after="0" w:line="263"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89"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75"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89" w:lineRule="exact"/>
        <w:rPr>
          <w:rFonts w:ascii="Arial" w:cs="Arial" w:eastAsia="Arial" w:hAnsi="Arial"/>
          <w:sz w:val="18"/>
          <w:szCs w:val="18"/>
          <w:color w:val="auto"/>
        </w:rPr>
      </w:pPr>
    </w:p>
    <w:p>
      <w:pPr>
        <w:ind w:left="1240" w:right="740" w:hanging="415"/>
        <w:spacing w:after="0" w:line="342"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9" w:lineRule="exact"/>
        <w:rPr>
          <w:rFonts w:ascii="Arial" w:cs="Arial" w:eastAsia="Arial" w:hAnsi="Arial"/>
          <w:sz w:val="16"/>
          <w:szCs w:val="16"/>
          <w:color w:val="auto"/>
        </w:rPr>
      </w:pPr>
    </w:p>
    <w:p>
      <w:pPr>
        <w:ind w:left="1240" w:right="180" w:hanging="415"/>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and may in the future enter into, collaborations with third parties for the discovery, development or commercialization of product candidates, including our collaborations with Acceleron and MyoKardia. If our collaborations are not successful, we may not be able to capitalize on the market potential of these product candidates and our business could be adversely affected.</w:t>
      </w:r>
    </w:p>
    <w:p>
      <w:pPr>
        <w:spacing w:after="0" w:line="92" w:lineRule="exact"/>
        <w:rPr>
          <w:rFonts w:ascii="Arial" w:cs="Arial" w:eastAsia="Arial" w:hAnsi="Arial"/>
          <w:sz w:val="18"/>
          <w:szCs w:val="18"/>
          <w:color w:val="auto"/>
        </w:rPr>
      </w:pPr>
    </w:p>
    <w:p>
      <w:pPr>
        <w:ind w:left="1240" w:right="40" w:hanging="415"/>
        <w:spacing w:after="0" w:line="259"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92"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left="300" w:right="460"/>
        <w:spacing w:after="0" w:line="301" w:lineRule="auto"/>
        <w:rPr>
          <w:sz w:val="20"/>
          <w:szCs w:val="20"/>
          <w:color w:val="auto"/>
        </w:rPr>
      </w:pPr>
      <w:r>
        <w:rPr>
          <w:rFonts w:ascii="Arial" w:cs="Arial" w:eastAsia="Arial" w:hAnsi="Arial"/>
          <w:sz w:val="16"/>
          <w:szCs w:val="16"/>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5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 xml:space="preserve">We own or have rights, or have applied for rights,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w:t>
      </w:r>
    </w:p>
    <w:p>
      <w:pPr>
        <w:spacing w:after="0" w:line="2" w:lineRule="exact"/>
        <w:rPr>
          <w:sz w:val="20"/>
          <w:szCs w:val="20"/>
          <w:color w:val="auto"/>
        </w:rPr>
      </w:pPr>
    </w:p>
    <w:p>
      <w:pPr>
        <w:jc w:val="both"/>
        <w:ind w:left="300" w:right="320"/>
        <w:spacing w:after="0" w:line="255" w:lineRule="auto"/>
        <w:rPr>
          <w:sz w:val="20"/>
          <w:szCs w:val="20"/>
          <w:color w:val="auto"/>
        </w:rPr>
      </w:pPr>
      <w:r>
        <w:rPr>
          <w:rFonts w:ascii="Arial" w:cs="Arial" w:eastAsia="Arial" w:hAnsi="Arial"/>
          <w:sz w:val="18"/>
          <w:szCs w:val="18"/>
          <w:color w:val="auto"/>
        </w:rPr>
        <w:t>$700 million as of our most recently completed second fiscal quarter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247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1247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86"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w:t>
      </w:r>
    </w:p>
    <w:p>
      <w:pPr>
        <w:spacing w:after="0" w:line="1"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w:t>
      </w: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60"/>
          </w:cols>
          <w:pgMar w:left="320" w:top="459" w:right="71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$100 million of shares.</w:t>
      </w:r>
    </w:p>
    <w:p>
      <w:pPr>
        <w:spacing w:after="0" w:line="163" w:lineRule="exact"/>
        <w:rPr>
          <w:sz w:val="20"/>
          <w:szCs w:val="20"/>
          <w:color w:val="auto"/>
        </w:rPr>
      </w:pPr>
    </w:p>
    <w:p>
      <w:pPr>
        <w:sectPr>
          <w:pgSz w:w="11900" w:h="16838" w:orient="portrait"/>
          <w:cols w:equalWidth="0" w:num="2">
            <w:col w:w="3620" w:space="720"/>
            <w:col w:w="6520"/>
          </w:cols>
          <w:pgMar w:left="320" w:top="459" w:right="71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Common Stock to be Outstanding Immediately</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Following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390" w:lineRule="exact"/>
        <w:rPr>
          <w:sz w:val="20"/>
          <w:szCs w:val="20"/>
          <w:color w:val="auto"/>
        </w:rPr>
      </w:pPr>
    </w:p>
    <w:p>
      <w:pPr>
        <w:sectPr>
          <w:pgSz w:w="11900" w:h="16838" w:orient="portrait"/>
          <w:cols w:equalWidth="0" w:num="2">
            <w:col w:w="4380" w:space="720"/>
            <w:col w:w="5760"/>
          </w:cols>
          <w:pgMar w:left="320" w:top="459" w:right="71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We have granted the underwriters an option for a period of 30 days to purchase from us up to an additional $15 million of shares of our common stock.</w:t>
      </w:r>
    </w:p>
    <w:p>
      <w:pPr>
        <w:spacing w:after="0" w:line="72" w:lineRule="exact"/>
        <w:rPr>
          <w:sz w:val="20"/>
          <w:szCs w:val="20"/>
          <w:color w:val="auto"/>
        </w:rPr>
      </w:pPr>
    </w:p>
    <w:p>
      <w:pPr>
        <w:sectPr>
          <w:pgSz w:w="11900" w:h="16838" w:orient="portrait"/>
          <w:cols w:equalWidth="0" w:num="2">
            <w:col w:w="3620" w:space="720"/>
            <w:col w:w="6520"/>
          </w:cols>
          <w:pgMar w:left="320" w:top="459" w:right="719" w:bottom="1440" w:gutter="0" w:footer="0" w:header="0"/>
          <w:type w:val="continuous"/>
        </w:sect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estimate that the net proceeds to us from this offering will be approximately</w:t>
      </w:r>
    </w:p>
    <w:p>
      <w:pPr>
        <w:spacing w:after="0" w:line="23" w:lineRule="exact"/>
        <w:rPr>
          <w:sz w:val="20"/>
          <w:szCs w:val="20"/>
          <w:color w:val="auto"/>
        </w:rPr>
      </w:pPr>
    </w:p>
    <w:p>
      <w:pPr>
        <w:spacing w:after="0"/>
        <w:tabs>
          <w:tab w:leader="none" w:pos="820" w:val="left"/>
          <w:tab w:leader="none" w:pos="3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their</w:t>
      </w:r>
    </w:p>
    <w:p>
      <w:pPr>
        <w:spacing w:after="0" w:line="9" w:lineRule="exact"/>
        <w:rPr>
          <w:sz w:val="20"/>
          <w:szCs w:val="20"/>
          <w:color w:val="auto"/>
        </w:rPr>
      </w:pPr>
    </w:p>
    <w:p>
      <w:pPr>
        <w:sectPr>
          <w:pgSz w:w="11900" w:h="16838" w:orient="portrait"/>
          <w:cols w:equalWidth="0" w:num="2">
            <w:col w:w="3620" w:space="720"/>
            <w:col w:w="6520"/>
          </w:cols>
          <w:pgMar w:left="320" w:top="459" w:right="719" w:bottom="1440" w:gutter="0" w:footer="0" w:header="0"/>
          <w:type w:val="continuous"/>
        </w:sectPr>
      </w:pPr>
    </w:p>
    <w:p>
      <w:pPr>
        <w:ind w:left="4340" w:right="400"/>
        <w:spacing w:after="0" w:line="323" w:lineRule="auto"/>
        <w:rPr>
          <w:sz w:val="20"/>
          <w:szCs w:val="20"/>
          <w:color w:val="auto"/>
        </w:rPr>
      </w:pPr>
      <w:r>
        <w:rPr>
          <w:rFonts w:ascii="Arial" w:cs="Arial" w:eastAsia="Arial" w:hAnsi="Arial"/>
          <w:sz w:val="16"/>
          <w:szCs w:val="16"/>
          <w:color w:val="auto"/>
        </w:rPr>
        <w:t>option to purchase additional shares in full, in each case after deducting underwriting discounts and commissions and estimated offering expenses payable by us.</w:t>
      </w:r>
    </w:p>
    <w:p>
      <w:pPr>
        <w:spacing w:after="0" w:line="44" w:lineRule="exact"/>
        <w:rPr>
          <w:sz w:val="20"/>
          <w:szCs w:val="20"/>
          <w:color w:val="auto"/>
        </w:rPr>
      </w:pPr>
    </w:p>
    <w:p>
      <w:pPr>
        <w:ind w:left="4340" w:right="80"/>
        <w:spacing w:after="0" w:line="275" w:lineRule="auto"/>
        <w:rPr>
          <w:sz w:val="20"/>
          <w:szCs w:val="20"/>
          <w:color w:val="auto"/>
        </w:rPr>
      </w:pPr>
      <w:r>
        <w:rPr>
          <w:rFonts w:ascii="Arial" w:cs="Arial" w:eastAsia="Arial" w:hAnsi="Arial"/>
          <w:sz w:val="17"/>
          <w:szCs w:val="17"/>
          <w:color w:val="auto"/>
        </w:rPr>
        <w:t>We intend to use the net proceeds from this offering, together with our existing cash, cash equivalents and marketable securities, to advance FTX-6058 for the treatment of certain hemoglobinopathies, to advance losmapimod for the treatment of FSHD, to fund our ongoing product engine and discovery efforts and for working capital and other general corporate purposes. See “Use of Proceeds.”</w:t>
      </w:r>
    </w:p>
    <w:p>
      <w:pPr>
        <w:sectPr>
          <w:pgSz w:w="11900" w:h="16838" w:orient="portrait"/>
          <w:cols w:equalWidth="0" w:num="1">
            <w:col w:w="10860"/>
          </w:cols>
          <w:pgMar w:left="320" w:top="459" w:right="719" w:bottom="1440" w:gutter="0" w:footer="0" w:header="0"/>
          <w:type w:val="continuous"/>
        </w:sectPr>
      </w:pPr>
    </w:p>
    <w:p>
      <w:pPr>
        <w:spacing w:after="0" w:line="7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You should read the “Risk Factors” section of this prospectus supplement beginning on page S-11 and in our Quarterly Report on Form 10-Q for the period ended June 30, 2021 for a discussion of factors to consider carefully before deciding to invest in shares of our common stock.</w:t>
      </w:r>
    </w:p>
    <w:p>
      <w:pPr>
        <w:spacing w:after="0" w:line="88" w:lineRule="exact"/>
        <w:rPr>
          <w:sz w:val="20"/>
          <w:szCs w:val="20"/>
          <w:color w:val="auto"/>
        </w:rPr>
      </w:pPr>
    </w:p>
    <w:p>
      <w:pPr>
        <w:sectPr>
          <w:pgSz w:w="11900" w:h="16838" w:orient="portrait"/>
          <w:cols w:equalWidth="0" w:num="2">
            <w:col w:w="3620" w:space="720"/>
            <w:col w:w="6520"/>
          </w:cols>
          <w:pgMar w:left="320" w:top="459" w:right="71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“FULC”</w:t>
      </w:r>
    </w:p>
    <w:p>
      <w:pPr>
        <w:spacing w:after="0" w:line="200" w:lineRule="exact"/>
        <w:rPr>
          <w:sz w:val="20"/>
          <w:szCs w:val="20"/>
          <w:color w:val="auto"/>
        </w:rPr>
      </w:pPr>
    </w:p>
    <w:p>
      <w:pPr>
        <w:sectPr>
          <w:pgSz w:w="11900" w:h="16838" w:orient="portrait"/>
          <w:cols w:equalWidth="0" w:num="2">
            <w:col w:w="3620" w:space="720"/>
            <w:col w:w="6520"/>
          </w:cols>
          <w:pgMar w:left="320" w:top="459" w:right="719" w:bottom="1440" w:gutter="0" w:footer="0" w:header="0"/>
          <w:type w:val="continuous"/>
        </w:sectPr>
      </w:pPr>
    </w:p>
    <w:p>
      <w:pPr>
        <w:spacing w:after="0" w:line="39"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The number of shares of our common stock to be outstanding immediately after this offering is based on 32,708,425 shares of our common stock outstanding as of July 31, 2021, including 24,760 shares of unvested restricted stock subject to repurchase by us. The number of shares of our common stock to be outstanding after this offering excludes:</w:t>
      </w:r>
    </w:p>
    <w:p>
      <w:pPr>
        <w:spacing w:after="0" w:line="89" w:lineRule="exact"/>
        <w:rPr>
          <w:sz w:val="20"/>
          <w:szCs w:val="20"/>
          <w:color w:val="auto"/>
        </w:rPr>
      </w:pPr>
    </w:p>
    <w:p>
      <w:pPr>
        <w:ind w:left="1240" w:right="3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4,824,469 shares of common stock issuable upon exercise of stock options outstanding as of July 31, 2021, at a weighted average exercise price of $11.61 per share; and</w:t>
      </w:r>
    </w:p>
    <w:p>
      <w:pPr>
        <w:spacing w:after="0" w:line="75" w:lineRule="exact"/>
        <w:rPr>
          <w:rFonts w:ascii="Arial" w:cs="Arial" w:eastAsia="Arial" w:hAnsi="Arial"/>
          <w:sz w:val="18"/>
          <w:szCs w:val="18"/>
          <w:color w:val="auto"/>
        </w:rPr>
      </w:pPr>
    </w:p>
    <w:p>
      <w:pPr>
        <w:ind w:left="1240" w:right="62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964,940 and 729,900 shares of common stock reserved for future issuance under our 2019 Stock Incentive Plan and our 2019 Employee Stock Purchase Plan, respectively, as of July 31, 2021.</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31"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described above;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and</w:t>
      </w:r>
    </w:p>
    <w:p>
      <w:pPr>
        <w:spacing w:after="0" w:line="130" w:lineRule="exact"/>
        <w:rPr>
          <w:rFonts w:ascii="Arial" w:cs="Arial" w:eastAsia="Arial" w:hAnsi="Arial"/>
          <w:sz w:val="18"/>
          <w:szCs w:val="18"/>
          <w:color w:val="auto"/>
        </w:rPr>
      </w:pPr>
    </w:p>
    <w:p>
      <w:pPr>
        <w:ind w:left="1240" w:right="80" w:hanging="415"/>
        <w:spacing w:after="0" w:line="311"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w:t>
      </w:r>
    </w:p>
    <w:p>
      <w:pPr>
        <w:spacing w:after="0" w:line="3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860"/>
          </w:cols>
          <w:pgMar w:left="320" w:top="459" w:right="7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our common stock, you should carefully consider the risks and uncertainties described below and in our Quarterly Report on Form 10-Q for the period ended June 30, 2021, together with all other information contained in this prospectus supplement, the accompanying prospectus and in our filings with the Securities and Exchange Commission, or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w:t>
      </w:r>
    </w:p>
    <w:p>
      <w:pPr>
        <w:ind w:left="120" w:right="60"/>
        <w:spacing w:after="0" w:line="265" w:lineRule="auto"/>
        <w:rPr>
          <w:sz w:val="20"/>
          <w:szCs w:val="20"/>
          <w:color w:val="auto"/>
        </w:rPr>
      </w:pPr>
      <w:r>
        <w:rPr>
          <w:rFonts w:ascii="Arial" w:cs="Arial" w:eastAsia="Arial" w:hAnsi="Arial"/>
          <w:sz w:val="17"/>
          <w:szCs w:val="17"/>
          <w:color w:val="auto"/>
        </w:rPr>
        <w:t>value per share after this offering. Based on the public offering price of $ per share, you will experience immediate dilution of $ per share, representing the difference between our as adjusted net tangible book value per share, after giving effect to the sale by us of shares in this</w:t>
      </w:r>
    </w:p>
    <w:p>
      <w:pPr>
        <w:ind w:left="120" w:right="40"/>
        <w:spacing w:after="0" w:line="260" w:lineRule="auto"/>
        <w:rPr>
          <w:sz w:val="20"/>
          <w:szCs w:val="20"/>
          <w:color w:val="auto"/>
        </w:rPr>
      </w:pPr>
      <w:r>
        <w:rPr>
          <w:rFonts w:ascii="Arial" w:cs="Arial" w:eastAsia="Arial" w:hAnsi="Arial"/>
          <w:sz w:val="18"/>
          <w:szCs w:val="18"/>
          <w:color w:val="auto"/>
        </w:rPr>
        <w:t>offering, and the public offering price. For additional information on the dilution that you will experience immediately after this offering, see the section titled “Dilution” in this prospectus supplement.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price of our common stock may be volatile and fluctuate substantially, which could result in substantial losses for our stockholders.</w:t>
      </w:r>
    </w:p>
    <w:p>
      <w:pPr>
        <w:spacing w:after="0" w:line="24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trading price of our common stock has been, and is likely to continue to be, volatile and could be subject to wide fluctuations in response to various factors, some of which are beyond our control. During the period from July 18, 2019 to August 10, 2021, the closing price of our common stock ranged from a high of $22.06 per share to a low of $4.46 per share. The stock market in general and the market for smaller biopharmaceutical companies in particular have experienced extreme volatility that has often been unrelated to the operating performance of particular companies.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Although we currently intend to use the net proceeds from this offering, together with our existing cash, cash equivalents and marketable securities, in the manner described in the section titled “Use of Proceeds” in this prospectus supplement, 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operation and development of our business. As a result, capital appreciation, if any, of our common stock will be your sole source of gain for the foreseeable future.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This prospectus supplement, the accompanying prospectus and the information incorporated by reference herein and therein contain forward-looking statements within the meaning of Section 27A of the Securities Act and Section 21E of the Securities Exchange Act of 1934, as amended, that involve substantial risks and uncertainties. All statements, other than statements of historical facts,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“outlook,” “plan,” “potential,” “predict,” “project,” “should,” “target,” “would” and similar expressions are intended to identify forward-looking statements, although not all forward-looking statements contain these identifying words.</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76" w:lineRule="exact"/>
        <w:rPr>
          <w:sz w:val="20"/>
          <w:szCs w:val="20"/>
          <w:color w:val="auto"/>
        </w:rPr>
      </w:pPr>
    </w:p>
    <w:p>
      <w:pPr>
        <w:ind w:left="1080" w:right="30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ongoing clinical trials of losmapimod, including our ongoing open label extension of our Phase 2b clinical trial for the treatment of facioscapulohumeral muscular dystrophy, or FSHD, and our ongoing Phase 2 open label clinical trial for the treatment of FSHD;</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ongoing Phase 1 clinical trial of FTX-6058 in healthy adult volunteers and our planned Phase 1b clinical trial of FTX-6058 in patients with sickle cell disease;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obtain and maintain regulatory approvals for losmapimod, FTX-6058 and any other product candidates;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 and proceeds of this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and MyoKardia, Inc., a wholly owned subsidiary of Bristol-Myers Squibb Company;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particularly in the “Risk Factors” section in this prospectus supplement and in our Quarterly Report on Form 10-Q for the period ended June 30, 2021, which are incorporated by reference herein,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9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4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0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0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533"/>
        </w:trPr>
        <w:tc>
          <w:tcPr>
            <w:tcW w:w="50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7640" w:type="dxa"/>
            <w:vAlign w:val="bottom"/>
            <w:gridSpan w:val="2"/>
          </w:tcPr>
          <w:p>
            <w:pPr>
              <w:ind w:left="172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360" w:type="dxa"/>
            <w:vAlign w:val="bottom"/>
            <w:gridSpan w:val="4"/>
          </w:tcPr>
          <w:p>
            <w:pPr>
              <w:ind w:left="120"/>
              <w:spacing w:after="0"/>
              <w:rPr>
                <w:sz w:val="20"/>
                <w:szCs w:val="20"/>
                <w:color w:val="auto"/>
              </w:rPr>
            </w:pPr>
            <w:r>
              <w:rPr>
                <w:rFonts w:ascii="Arial" w:cs="Arial" w:eastAsia="Arial" w:hAnsi="Arial"/>
                <w:sz w:val="18"/>
                <w:szCs w:val="18"/>
                <w:color w:val="auto"/>
                <w:w w:val="93"/>
              </w:rPr>
              <w:t>We estimate that the net proceeds to us from the issuance and sale of</w:t>
            </w:r>
          </w:p>
        </w:tc>
        <w:tc>
          <w:tcPr>
            <w:tcW w:w="5340" w:type="dxa"/>
            <w:vAlign w:val="bottom"/>
          </w:tcPr>
          <w:p>
            <w:pPr>
              <w:ind w:left="320"/>
              <w:spacing w:after="0"/>
              <w:rPr>
                <w:sz w:val="20"/>
                <w:szCs w:val="20"/>
                <w:color w:val="auto"/>
              </w:rPr>
            </w:pPr>
            <w:r>
              <w:rPr>
                <w:rFonts w:ascii="Arial" w:cs="Arial" w:eastAsia="Arial" w:hAnsi="Arial"/>
                <w:sz w:val="18"/>
                <w:szCs w:val="18"/>
                <w:color w:val="auto"/>
              </w:rPr>
              <w:t>shares of common stock in this offering will be approximately</w:t>
            </w:r>
          </w:p>
        </w:tc>
      </w:tr>
      <w:tr>
        <w:trPr>
          <w:trHeight w:val="230"/>
        </w:trPr>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560" w:type="dxa"/>
            <w:vAlign w:val="bottom"/>
            <w:gridSpan w:val="2"/>
          </w:tcPr>
          <w:p>
            <w:pPr>
              <w:ind w:left="300"/>
              <w:spacing w:after="0"/>
              <w:rPr>
                <w:sz w:val="20"/>
                <w:szCs w:val="20"/>
                <w:color w:val="auto"/>
              </w:rPr>
            </w:pPr>
            <w:r>
              <w:rPr>
                <w:rFonts w:ascii="Arial" w:cs="Arial" w:eastAsia="Arial" w:hAnsi="Arial"/>
                <w:sz w:val="18"/>
                <w:szCs w:val="18"/>
                <w:color w:val="auto"/>
              </w:rPr>
              <w:t>million, or approximately $</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w w:val="91"/>
              </w:rPr>
              <w:t>million if the underwriters exercise their option to purchase additional shares in full, in each case after</w:t>
            </w: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deducting underwriting discounts and commissions and estimated offering expenses payable by us.</w:t>
      </w:r>
    </w:p>
    <w:p>
      <w:pPr>
        <w:spacing w:after="0" w:line="21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expect to use the net proceeds from this offering, together with our existing cash, cash equivalents and marketable securities, to advance FTX-6058 for the treatment of certain hemoglobinopathies, to advance losmapimod for the treatment of FSHD, to fund our ongoing product engine and discovery efforts and for working capital and other general corporate purposes.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June 30, 2021, we had cash, cash equivalents and marketable securities of $125.6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believe that the net proceeds from this offering, together with our existing cash, cash equivalents and marketable securities will enable us to fund our</w:t>
      </w:r>
    </w:p>
    <w:p>
      <w:pPr>
        <w:spacing w:after="0" w:line="46"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operating expenses and capital expenditure requirements into . We have based this estimate on assumptions that may prove to be wrong, and we could use our available capital resources sooner than we currently expect.</w:t>
      </w:r>
    </w:p>
    <w:p>
      <w:pPr>
        <w:spacing w:after="0" w:line="18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We will require additional capital to complete clinical development of each of our product candidates and to commercialize any of our product candidates, if we receive regulatory approval.</w:t>
      </w:r>
    </w:p>
    <w:p>
      <w:pPr>
        <w:spacing w:after="0" w:line="17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This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w:t>
      </w:r>
    </w:p>
    <w:p>
      <w:pPr>
        <w:spacing w:after="0" w:line="19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4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historical net tangible book value as of June 30, 2021 was $110.9 million, or $3.39 per share of common stock. Our historical net tangible book value is the amount of our total tangible assets less our total liabilities. Historical net tangible book value per share represents our historical net tangible book value divided by the 32,706,863 shares of common stock outstanding as of June 30, 2021, including 47,123 shares of unvested restricted stock subject to repurchase by us.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After giving effect to the issuance and sale of shares of common stock that we are offering at the public offering price of $ per share, and after deducting the underwriting discounts and commissions and estimated offering expenses payable by us, our as adjusted net tangible book value as of</w:t>
      </w:r>
    </w:p>
    <w:p>
      <w:pPr>
        <w:ind w:left="120" w:right="280"/>
        <w:spacing w:after="0" w:line="250" w:lineRule="auto"/>
        <w:rPr>
          <w:sz w:val="20"/>
          <w:szCs w:val="20"/>
          <w:color w:val="auto"/>
        </w:rPr>
      </w:pPr>
      <w:r>
        <w:rPr>
          <w:rFonts w:ascii="Arial" w:cs="Arial" w:eastAsia="Arial" w:hAnsi="Arial"/>
          <w:sz w:val="18"/>
          <w:szCs w:val="18"/>
          <w:color w:val="auto"/>
        </w:rPr>
        <w:t>June 30, 2021 would have been $ million, or $ per share. This represents an immediate increase of $ in as adjusted net tangible book value per share to existing stockholders and immediate dilution of $ in as adjusted net tangible book value per share to new investors</w:t>
      </w:r>
    </w:p>
    <w:p>
      <w:pPr>
        <w:spacing w:after="0" w:line="1" w:lineRule="exact"/>
        <w:rPr>
          <w:sz w:val="20"/>
          <w:szCs w:val="20"/>
          <w:color w:val="auto"/>
        </w:rPr>
      </w:pPr>
    </w:p>
    <w:p>
      <w:pPr>
        <w:ind w:left="120" w:right="220"/>
        <w:spacing w:after="0" w:line="323" w:lineRule="auto"/>
        <w:rPr>
          <w:sz w:val="20"/>
          <w:szCs w:val="20"/>
          <w:color w:val="auto"/>
        </w:rPr>
      </w:pPr>
      <w:r>
        <w:rPr>
          <w:rFonts w:ascii="Arial" w:cs="Arial" w:eastAsia="Arial" w:hAnsi="Arial"/>
          <w:sz w:val="16"/>
          <w:szCs w:val="16"/>
          <w:color w:val="auto"/>
        </w:rPr>
        <w:t>purchasing shares of our common stock in this offering. Dilution per share to new investors is determined by subtracting as adjusted net tangible book value per share after this offering from the public offering price per share paid by new investors. The following table illustrates this dilution:</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Historical net tangible book value per share as of June 30, 2021</w:t>
            </w: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$3.39</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6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as adjusted net tangible book value per share attributable to new</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investors purchasing shares of common stock in this offering</w:t>
            </w:r>
          </w:p>
        </w:tc>
        <w:tc>
          <w:tcPr>
            <w:tcW w:w="2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As adjusted net tangible book value per share immediately after this offering</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Dilution per share to new investors purchasing shares of common stock in this offering</w:t>
            </w:r>
          </w:p>
        </w:tc>
        <w:tc>
          <w:tcPr>
            <w:tcW w:w="18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underwriters exercise their option to purchase additional shares in full the immediate dilution in as adjusted net tangible book value per share to</w:t>
      </w:r>
    </w:p>
    <w:p>
      <w:pPr>
        <w:spacing w:after="0" w:line="46" w:lineRule="exact"/>
        <w:rPr>
          <w:sz w:val="20"/>
          <w:szCs w:val="20"/>
          <w:color w:val="auto"/>
        </w:rPr>
      </w:pPr>
    </w:p>
    <w:p>
      <w:pPr>
        <w:ind w:left="120"/>
        <w:spacing w:after="0"/>
        <w:tabs>
          <w:tab w:leader="none" w:pos="3280" w:val="left"/>
        </w:tabs>
        <w:rPr>
          <w:sz w:val="20"/>
          <w:szCs w:val="20"/>
          <w:color w:val="auto"/>
        </w:rPr>
      </w:pPr>
      <w:r>
        <w:rPr>
          <w:rFonts w:ascii="Arial" w:cs="Arial" w:eastAsia="Arial" w:hAnsi="Arial"/>
          <w:sz w:val="18"/>
          <w:szCs w:val="18"/>
          <w:color w:val="auto"/>
        </w:rPr>
        <w:t>investors in this offering would be $</w:t>
      </w:r>
      <w:r>
        <w:rPr>
          <w:sz w:val="20"/>
          <w:szCs w:val="20"/>
          <w:color w:val="auto"/>
        </w:rPr>
        <w:tab/>
      </w:r>
      <w:r>
        <w:rPr>
          <w:rFonts w:ascii="Arial" w:cs="Arial" w:eastAsia="Arial" w:hAnsi="Arial"/>
          <w:sz w:val="15"/>
          <w:szCs w:val="15"/>
          <w:color w:val="auto"/>
        </w:rPr>
        <w:t>per share.</w:t>
      </w:r>
    </w:p>
    <w:p>
      <w:pPr>
        <w:spacing w:after="0" w:line="21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table and discussion above are based on the number of shares of our common stock outstanding as of June 30, 2021, including 47,123 shares of unvested restricted stock subject to repurchase by us, and exclude:</w:t>
      </w:r>
    </w:p>
    <w:p>
      <w:pPr>
        <w:spacing w:after="0" w:line="76" w:lineRule="exact"/>
        <w:rPr>
          <w:sz w:val="20"/>
          <w:szCs w:val="20"/>
          <w:color w:val="auto"/>
        </w:rPr>
      </w:pPr>
    </w:p>
    <w:p>
      <w:pPr>
        <w:ind w:left="1080" w:right="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4,674,037 shares of common stock issuable upon exercise of stock options outstanding as of June 30, 2021, at a weighted average exercise price of $11.67 per share;</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310,580 shares of common stock issuable upon exercise of stock options granted after June 30, 2021, at a weighted average exercise price of $9.89 per share;</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1,116,934 and 729,900 shares of common stock reserved for future issuance as of June 30, 2021 under our 2019 Stock Incentive Plan and our 2019 Employee Stock Purchase Plan, respectively; and</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issuance of shares of common stock that 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as adjusted information discussed above will be based on the actual number of shares, the offering price and other terms determined at pricing of this offering.</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860"/>
          </w:cols>
          <w:pgMar w:left="320" w:top="459" w:right="7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MATERIAL U.S. FEDERAL INCOME AND ESTATE TAX CONSIDERATIONS FOR NON-U.S. HOLDERS OF COMMON STOCK</w:t>
      </w:r>
    </w:p>
    <w:p>
      <w:pPr>
        <w:spacing w:after="0" w:line="229"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7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9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161" w:lineRule="exact"/>
        <w:rPr>
          <w:sz w:val="20"/>
          <w:szCs w:val="20"/>
          <w:color w:val="auto"/>
        </w:rPr>
      </w:pPr>
    </w:p>
    <w:p>
      <w:pPr>
        <w:ind w:left="120" w:right="300"/>
        <w:spacing w:after="0" w:line="296" w:lineRule="auto"/>
        <w:rPr>
          <w:sz w:val="20"/>
          <w:szCs w:val="20"/>
          <w:color w:val="auto"/>
        </w:rPr>
      </w:pPr>
      <w:r>
        <w:rPr>
          <w:rFonts w:ascii="Arial" w:cs="Arial" w:eastAsia="Arial" w:hAnsi="Arial"/>
          <w:sz w:val="16"/>
          <w:szCs w:val="16"/>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67"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non-U.S. governments;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1" w:lineRule="exact"/>
        <w:rPr>
          <w:sz w:val="20"/>
          <w:szCs w:val="20"/>
          <w:color w:val="auto"/>
        </w:rPr>
      </w:pPr>
    </w:p>
    <w:p>
      <w:pPr>
        <w:ind w:left="120" w:right="160"/>
        <w:spacing w:after="0" w:line="261"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7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89" w:lineRule="exact"/>
        <w:rPr>
          <w:sz w:val="20"/>
          <w:szCs w:val="20"/>
          <w:color w:val="auto"/>
        </w:rPr>
      </w:pPr>
    </w:p>
    <w:p>
      <w:pPr>
        <w:ind w:left="1080" w:right="20" w:hanging="424"/>
        <w:spacing w:after="0" w:line="255"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97"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76" w:lineRule="exact"/>
        <w:rPr>
          <w:rFonts w:ascii="Arial" w:cs="Arial" w:eastAsia="Arial" w:hAnsi="Arial"/>
          <w:sz w:val="17"/>
          <w:szCs w:val="17"/>
          <w:color w:val="auto"/>
        </w:rPr>
      </w:pPr>
    </w:p>
    <w:p>
      <w:pPr>
        <w:ind w:left="1080" w:right="80" w:hanging="424"/>
        <w:spacing w:after="0" w:line="269"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70"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also apply to payments of gross proceeds from a sale or other 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84" w:lineRule="exact"/>
        <w:rPr>
          <w:sz w:val="20"/>
          <w:szCs w:val="20"/>
          <w:color w:val="auto"/>
        </w:rPr>
      </w:pPr>
    </w:p>
    <w:p>
      <w:pPr>
        <w:ind w:left="120" w:right="420"/>
        <w:spacing w:after="0" w:line="261" w:lineRule="auto"/>
        <w:rPr>
          <w:sz w:val="20"/>
          <w:szCs w:val="20"/>
          <w:color w:val="auto"/>
        </w:rPr>
      </w:pPr>
      <w:r>
        <w:rPr>
          <w:rFonts w:ascii="Arial" w:cs="Arial" w:eastAsia="Arial" w:hAnsi="Arial"/>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SVB Leerink LLC, Piper Sandler &amp; Co. and Stifel, Nicolaus &amp; Company, Incorporated are acting as the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05" w:lineRule="exact"/>
        <w:rPr>
          <w:sz w:val="20"/>
          <w:szCs w:val="20"/>
          <w:color w:val="auto"/>
        </w:rPr>
      </w:pPr>
    </w:p>
    <w:p>
      <w:pPr>
        <w:ind w:left="1880"/>
        <w:spacing w:after="0"/>
        <w:tabs>
          <w:tab w:leader="none" w:pos="818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SVB Leerink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5715</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711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2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31750</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Discounts and Commissions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46"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cover page of this prospectus supplement and to dealers at that price less a concession not in excess of $ per share. After the initial offering of the shares, the public offering price, concession or any other term of this offering may be changed by the representatives.</w:t>
      </w:r>
    </w:p>
    <w:p>
      <w:pPr>
        <w:spacing w:after="0" w:line="185"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Per</w:t>
            </w:r>
          </w:p>
        </w:tc>
        <w:tc>
          <w:tcPr>
            <w:tcW w:w="5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5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Without</w:t>
            </w:r>
          </w:p>
        </w:tc>
        <w:tc>
          <w:tcPr>
            <w:tcW w:w="4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46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82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8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estimate expenses payable by us in connection with this offering, other than the underwriting discounts and commissions referred to above, will be</w:t>
      </w:r>
    </w:p>
    <w:p>
      <w:pPr>
        <w:spacing w:after="0" w:line="46"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approximately $ . We also have agreed to reimburse the underwriters for up to $10,000 for their FINRA counsel fee. In accordance with FINRA Rule 5110, this reimbursed fee is deemed underwriting compensation for this offering.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w:t>
      </w:r>
    </w:p>
    <w:p>
      <w:pPr>
        <w:spacing w:after="0" w:line="23" w:lineRule="exact"/>
        <w:rPr>
          <w:sz w:val="20"/>
          <w:szCs w:val="20"/>
          <w:color w:val="auto"/>
        </w:rPr>
      </w:pPr>
    </w:p>
    <w:p>
      <w:pPr>
        <w:jc w:val="both"/>
        <w:ind w:left="120" w:right="300"/>
        <w:spacing w:after="0" w:line="255" w:lineRule="auto"/>
        <w:rPr>
          <w:sz w:val="20"/>
          <w:szCs w:val="20"/>
          <w:color w:val="auto"/>
        </w:rPr>
      </w:pPr>
      <w:r>
        <w:rPr>
          <w:rFonts w:ascii="Arial" w:cs="Arial" w:eastAsia="Arial" w:hAnsi="Arial"/>
          <w:sz w:val="18"/>
          <w:szCs w:val="18"/>
          <w:color w:val="auto"/>
        </w:rPr>
        <w:t>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We, our executive officers and directors and certain of our other existing security holders have agreed not to sell or transfer any common stock or securities convertible into or exchangeable or exercisable for common stock, for 60 days after the date of this prospectus supplement without first obtaining the written consent of SVB Leerink LLC, Piper Sandler &amp; Co. and Stifel, Nicolaus &amp; Company, Incorporated on behalf of the underwriters. Specifically, we and these other persons have agreed, with certain limited exceptions, not to directly or indirectly:</w:t>
      </w:r>
    </w:p>
    <w:p>
      <w:pPr>
        <w:spacing w:after="0" w:line="77" w:lineRule="exact"/>
        <w:rPr>
          <w:sz w:val="20"/>
          <w:szCs w:val="20"/>
          <w:color w:val="auto"/>
        </w:rPr>
      </w:pPr>
    </w:p>
    <w:p>
      <w:pPr>
        <w:ind w:left="1080" w:right="2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 or demand filing of,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restrictions on transfers or other dispositions by holders of our outstanding securities described in the immediately preceding paragraph do not apply to:</w:t>
      </w:r>
    </w:p>
    <w:p>
      <w:pPr>
        <w:spacing w:after="0" w:line="76" w:lineRule="exact"/>
        <w:rPr>
          <w:sz w:val="20"/>
          <w:szCs w:val="20"/>
          <w:color w:val="auto"/>
        </w:rPr>
      </w:pPr>
    </w:p>
    <w:p>
      <w:pPr>
        <w:ind w:left="1080" w:right="100" w:hanging="424"/>
        <w:spacing w:after="0" w:line="286"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70" w:lineRule="exact"/>
        <w:rPr>
          <w:rFonts w:ascii="Arial" w:cs="Arial" w:eastAsia="Arial" w:hAnsi="Arial"/>
          <w:sz w:val="17"/>
          <w:szCs w:val="17"/>
          <w:color w:val="auto"/>
        </w:rPr>
      </w:pPr>
    </w:p>
    <w:p>
      <w:pPr>
        <w:ind w:left="1080" w:right="18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of the signatory or (ii) solely by operation of law pursuant to a qualified domestic order or in connection with a divorce settlement;</w:t>
      </w:r>
    </w:p>
    <w:p>
      <w:pPr>
        <w:spacing w:after="0" w:line="142" w:lineRule="exact"/>
        <w:rPr>
          <w:sz w:val="20"/>
          <w:szCs w:val="20"/>
          <w:color w:val="auto"/>
        </w:rPr>
      </w:pPr>
    </w:p>
    <w:p>
      <w:pPr>
        <w:ind w:left="1080" w:right="2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89"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97"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93" w:lineRule="exact"/>
        <w:rPr>
          <w:rFonts w:ascii="Arial" w:cs="Arial" w:eastAsia="Arial" w:hAnsi="Arial"/>
          <w:sz w:val="18"/>
          <w:szCs w:val="18"/>
          <w:color w:val="auto"/>
        </w:rPr>
      </w:pPr>
    </w:p>
    <w:p>
      <w:pPr>
        <w:ind w:left="1080" w:right="16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w:t>
      </w:r>
    </w:p>
    <w:p>
      <w:pPr>
        <w:spacing w:after="0" w:line="93" w:lineRule="exact"/>
        <w:rPr>
          <w:rFonts w:ascii="Arial" w:cs="Arial" w:eastAsia="Arial" w:hAnsi="Arial"/>
          <w:sz w:val="18"/>
          <w:szCs w:val="18"/>
          <w:color w:val="auto"/>
        </w:rPr>
      </w:pPr>
    </w:p>
    <w:p>
      <w:pPr>
        <w:jc w:val="both"/>
        <w:ind w:left="1080" w:right="28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transfers of shares of common stock pursuant to a trading plan established pursuant to Rule 10b5-1 under the Exchange Act prior to the date hereof, which trading plan shall not be amended during the restricted period but may be terminated during the restricted period; or</w:t>
      </w:r>
    </w:p>
    <w:p>
      <w:pPr>
        <w:spacing w:after="0" w:line="29" w:lineRule="exact"/>
        <w:rPr>
          <w:rFonts w:ascii="Arial" w:cs="Arial" w:eastAsia="Arial" w:hAnsi="Arial"/>
          <w:sz w:val="16"/>
          <w:szCs w:val="16"/>
          <w:color w:val="auto"/>
        </w:rPr>
      </w:pPr>
    </w:p>
    <w:p>
      <w:pPr>
        <w:ind w:left="1080" w:right="4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88"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on transfers or other dispositions by us described in the paragraph above do not apply to:</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by us of shares of common stock upon the exercise of an option or a warrant or the conversion of a security outstanding on the date of this prospectus pursuant to stock plans disclosed in this prospectus;</w:t>
      </w:r>
    </w:p>
    <w:p>
      <w:pPr>
        <w:spacing w:after="0" w:line="75" w:lineRule="exact"/>
        <w:rPr>
          <w:rFonts w:ascii="Arial" w:cs="Arial" w:eastAsia="Arial" w:hAnsi="Arial"/>
          <w:sz w:val="18"/>
          <w:szCs w:val="18"/>
          <w:color w:val="auto"/>
        </w:rPr>
      </w:pPr>
    </w:p>
    <w:p>
      <w:pPr>
        <w:jc w:val="both"/>
        <w:ind w:left="1080" w:right="80" w:hanging="424"/>
        <w:spacing w:after="0" w:line="31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w:t>
      </w:r>
    </w:p>
    <w:p>
      <w:pPr>
        <w:spacing w:after="0" w:line="54" w:lineRule="exact"/>
        <w:rPr>
          <w:rFonts w:ascii="Arial" w:cs="Arial" w:eastAsia="Arial" w:hAnsi="Arial"/>
          <w:sz w:val="16"/>
          <w:szCs w:val="16"/>
          <w:color w:val="auto"/>
        </w:rPr>
      </w:pPr>
    </w:p>
    <w:p>
      <w:pPr>
        <w:ind w:left="1080" w:right="48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filing by us of any registration statement on Form S-8 or a successor form thereto relating to the shares of common stock granted pursuant to or reserved for issuance under a stock incentive plan or stock purchase plan described in this prospectus; or</w:t>
      </w:r>
    </w:p>
    <w:p>
      <w:pPr>
        <w:spacing w:after="0" w:line="29" w:lineRule="exact"/>
        <w:rPr>
          <w:rFonts w:ascii="Arial" w:cs="Arial" w:eastAsia="Arial" w:hAnsi="Arial"/>
          <w:sz w:val="16"/>
          <w:szCs w:val="16"/>
          <w:color w:val="auto"/>
        </w:rPr>
      </w:pPr>
    </w:p>
    <w:p>
      <w:pPr>
        <w:ind w:left="1080" w:right="20" w:hanging="424"/>
        <w:spacing w:after="0" w:line="275"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72"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46"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this offering, certain of the underwriters or securities dealers may distribute prospectuses by electronic means, such as e-mail.</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w:t>
      </w:r>
    </w:p>
    <w:p>
      <w:pPr>
        <w:spacing w:after="0" w:line="6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Articles 2 of the Prospectus Regulation;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of the representatives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(the “FSMA”),</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the shares shall require us or any representative to publish a prospectus pursuant to Section 85 of the FSMA or supplement</w:t>
      </w:r>
      <w:r>
        <w:rPr>
          <w:rFonts w:ascii="Arial" w:cs="Arial" w:eastAsia="Arial" w:hAnsi="Arial"/>
          <w:sz w:val="16"/>
          <w:szCs w:val="16"/>
          <w:i w:val="1"/>
          <w:iCs w:val="1"/>
          <w:color w:val="auto"/>
        </w:rPr>
        <w:t xml:space="preserve"> </w:t>
      </w:r>
      <w:r>
        <w:rPr>
          <w:rFonts w:ascii="Arial" w:cs="Arial" w:eastAsia="Arial" w:hAnsi="Arial"/>
          <w:sz w:val="16"/>
          <w:szCs w:val="16"/>
          <w:color w:val="auto"/>
        </w:rPr>
        <w:t>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is not incorporated by reference in this prospectus supplement.</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internet site.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The SEC allows us to incorporate by reference into this prospectus supplement and the accompanying prospectus much of the information we file with the SEC, which means that we can disclose important information to you by referring you to those publicly available documents. The information that we incorporate by reference into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001-38978) and any future filings we make with the SEC under Sections 13(a), 13(c), 14 or 15(d) of the Securities Exchange Act of 1934, as amended (in each case, other than those documents or the portions of those documents not deemed to be filed), until the offering of the securities under the registration statement is terminated or completed:</w:t>
      </w:r>
    </w:p>
    <w:p>
      <w:pPr>
        <w:spacing w:after="0" w:line="77" w:lineRule="exact"/>
        <w:rPr>
          <w:sz w:val="20"/>
          <w:szCs w:val="20"/>
          <w:color w:val="auto"/>
        </w:rPr>
      </w:pPr>
    </w:p>
    <w:p>
      <w:pPr>
        <w:ind w:left="540" w:right="18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5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2020, including the information specifically incorporated by reference into the Annual Report on Form 10-K from our </w:t>
      </w:r>
      <w:hyperlink r:id="rId59">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2021 Annual Meeting of Stockholders;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 ended </w:t>
      </w:r>
      <w:hyperlink r:id="rId60">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for the fiscal quarter ended </w:t>
      </w:r>
      <w:hyperlink r:id="rId61">
        <w:r>
          <w:rPr>
            <w:rFonts w:ascii="Arial" w:cs="Arial" w:eastAsia="Arial" w:hAnsi="Arial"/>
            <w:sz w:val="18"/>
            <w:szCs w:val="18"/>
            <w:u w:val="single" w:color="auto"/>
            <w:color w:val="0000EE"/>
          </w:rPr>
          <w:t>June 30,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20"/>
        </w:numPr>
        <w:rPr>
          <w:rFonts w:ascii="Arial" w:cs="Arial" w:eastAsia="Arial" w:hAnsi="Arial"/>
          <w:sz w:val="18"/>
          <w:szCs w:val="18"/>
          <w:color w:val="0000EE"/>
        </w:rPr>
      </w:pPr>
      <w:hyperlink r:id="rId62">
        <w:r>
          <w:rPr>
            <w:rFonts w:ascii="Arial" w:cs="Arial" w:eastAsia="Arial" w:hAnsi="Arial"/>
            <w:sz w:val="18"/>
            <w:szCs w:val="18"/>
            <w:color w:val="auto"/>
          </w:rPr>
          <w:t xml:space="preserve">Current Reports on Form 8-K filed on </w:t>
        </w:r>
        <w:r>
          <w:rPr>
            <w:rFonts w:ascii="Arial" w:cs="Arial" w:eastAsia="Arial" w:hAnsi="Arial"/>
            <w:sz w:val="18"/>
            <w:szCs w:val="18"/>
            <w:u w:val="single" w:color="auto"/>
            <w:color w:val="0000EE"/>
          </w:rPr>
          <w:t>January 19, 2021</w:t>
        </w:r>
        <w:r>
          <w:rPr>
            <w:rFonts w:ascii="Arial" w:cs="Arial" w:eastAsia="Arial" w:hAnsi="Arial"/>
            <w:sz w:val="18"/>
            <w:szCs w:val="18"/>
            <w:color w:val="auto"/>
          </w:rPr>
          <w:t xml:space="preserve"> (other than Item 2.02), </w:t>
        </w:r>
        <w:r>
          <w:rPr>
            <w:rFonts w:ascii="Arial" w:cs="Arial" w:eastAsia="Arial" w:hAnsi="Arial"/>
            <w:sz w:val="18"/>
            <w:szCs w:val="18"/>
            <w:u w:val="single" w:color="auto"/>
            <w:color w:val="0000EE"/>
          </w:rPr>
          <w:t>January 20,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4, 2021</w:t>
        </w:r>
        <w:r>
          <w:rPr>
            <w:rFonts w:ascii="Arial" w:cs="Arial" w:eastAsia="Arial" w:hAnsi="Arial"/>
            <w:sz w:val="18"/>
            <w:szCs w:val="18"/>
            <w:color w:val="auto"/>
          </w:rPr>
          <w:t xml:space="preserve"> (other than Item 2.02), </w:t>
        </w:r>
        <w:r>
          <w:rPr>
            <w:rFonts w:ascii="Arial" w:cs="Arial" w:eastAsia="Arial" w:hAnsi="Arial"/>
            <w:sz w:val="18"/>
            <w:szCs w:val="18"/>
            <w:u w:val="single" w:color="auto"/>
            <w:color w:val="0000EE"/>
          </w:rPr>
          <w:t>March</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24, 2021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 xml:space="preserve">June 11, 2021 </w:t>
        </w:r>
      </w:hyperlink>
      <w:hyperlink r:id="rId6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4">
        <w:r>
          <w:rPr>
            <w:rFonts w:ascii="Arial" w:cs="Arial" w:eastAsia="Arial" w:hAnsi="Arial"/>
            <w:sz w:val="18"/>
            <w:szCs w:val="18"/>
            <w:u w:val="single" w:color="auto"/>
            <w:color w:val="0000EE"/>
          </w:rPr>
          <w:t>June 24, 2021</w:t>
        </w:r>
      </w:hyperlink>
      <w:hyperlink r:id="rId62">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540" w:right="120" w:hanging="424"/>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July 12, 2019, including any amendments or reports filed for the purpose of updating such description.</w:t>
      </w:r>
    </w:p>
    <w:p>
      <w:pPr>
        <w:spacing w:after="0" w:line="170"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0000EE"/>
        </w:rPr>
      </w:pPr>
    </w:p>
    <w:p>
      <w:pPr>
        <w:ind w:left="5460" w:right="4960" w:hanging="398"/>
        <w:spacing w:after="0" w:line="517" w:lineRule="auto"/>
        <w:tabs>
          <w:tab w:leader="none" w:pos="5503" w:val="left"/>
        </w:tabs>
        <w:numPr>
          <w:ilvl w:val="0"/>
          <w:numId w:val="21"/>
        </w:numPr>
        <w:rPr>
          <w:rFonts w:ascii="Arial" w:cs="Arial" w:eastAsia="Arial" w:hAnsi="Arial"/>
          <w:sz w:val="16"/>
          <w:szCs w:val="16"/>
          <w:color w:val="auto"/>
        </w:rPr>
      </w:pPr>
      <w:r>
        <w:rPr>
          <w:rFonts w:ascii="Arial" w:cs="Arial" w:eastAsia="Arial" w:hAnsi="Arial"/>
          <w:sz w:val="16"/>
          <w:szCs w:val="16"/>
          <w:color w:val="auto"/>
        </w:rPr>
        <w:t>651-8851 S-29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711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left="120" w:right="100" w:firstLine="440"/>
        <w:spacing w:after="0" w:line="255" w:lineRule="auto"/>
        <w:rPr>
          <w:sz w:val="20"/>
          <w:szCs w:val="20"/>
          <w:color w:val="auto"/>
        </w:rPr>
      </w:pPr>
      <w:r>
        <w:rPr>
          <w:rFonts w:ascii="Arial" w:cs="Arial" w:eastAsia="Arial" w:hAnsi="Arial"/>
          <w:sz w:val="18"/>
          <w:szCs w:val="18"/>
          <w:color w:val="auto"/>
        </w:rPr>
        <w:t>We may offer and sell up to $250,000,000 in the aggregate of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60"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these securities involves significant risks. See “</w:t>
      </w:r>
      <w:hyperlink w:anchor="page3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69"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August 17, 2020</w:t>
      </w:r>
    </w:p>
    <w:p>
      <w:pPr>
        <w:sectPr>
          <w:pgSz w:w="11900" w:h="16838" w:orient="portrait"/>
          <w:cols w:equalWidth="0" w:num="1">
            <w:col w:w="11120"/>
          </w:cols>
          <w:pgMar w:left="320" w:top="459" w:right="4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780" w:type="dxa"/>
            <w:vAlign w:val="bottom"/>
            <w:gridSpan w:val="17"/>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ABOUT THIS PROSPECTUS</w:t>
              </w:r>
            </w:hyperlink>
          </w:p>
        </w:tc>
        <w:tc>
          <w:tcPr>
            <w:tcW w:w="33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66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w:t>
              </w:r>
            </w:hyperlink>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0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INCORPORATION OF CERTAIN DOCUMENTS BY REFERENCE</w:t>
              </w:r>
            </w:hyperlink>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6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CAUTIONARY NOTE REGARDING FORWARD-LOOKING STATEMENTS AND INDUSTRY DATA</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66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ABOUT FULCRUM THERAPEUTICS, INC.</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340" w:type="dxa"/>
            <w:vAlign w:val="bottom"/>
            <w:tcBorders>
              <w:top w:val="single" w:sz="8" w:color="0000EE"/>
            </w:tcBorders>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5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USE OF PROCEEDS</w:t>
              </w:r>
            </w:hyperlink>
          </w:p>
        </w:tc>
        <w:tc>
          <w:tcPr>
            <w:tcW w:w="6080" w:type="dxa"/>
            <w:vAlign w:val="bottom"/>
            <w:gridSpan w:val="12"/>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02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DESCRIPTION OF DEBT SECURITIES</w:t>
              </w:r>
            </w:hyperlink>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660" w:type="dxa"/>
            <w:vAlign w:val="bottom"/>
            <w:gridSpan w:val="1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CAPITAL STOCK</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DESCRIPTION OF DEPOSITARY SHARES</w:t>
              </w:r>
            </w:hyperlink>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DESCRIPTION OF UNITS</w:t>
              </w:r>
            </w:hyperlink>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48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DESCRIPTION OF WARRANTS</w:t>
              </w:r>
            </w:hyperlink>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66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FORMS OF SECURITIES</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660" w:type="dxa"/>
            <w:vAlign w:val="bottom"/>
            <w:gridSpan w:val="1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PLAN OF DISTRIBUTION</w:t>
              </w:r>
            </w:hyperlink>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4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660" w:type="dxa"/>
            <w:vAlign w:val="bottom"/>
            <w:gridSpan w:val="1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EXPERTS</w:t>
              </w:r>
            </w:hyperlink>
          </w:p>
        </w:tc>
        <w:tc>
          <w:tcPr>
            <w:tcW w:w="3300" w:type="dxa"/>
            <w:vAlign w:val="bottom"/>
          </w:tcPr>
          <w:p>
            <w:pPr>
              <w:jc w:val="right"/>
              <w:spacing w:after="0" w:line="209"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on page 2 of this prospectus.</w:t>
      </w:r>
    </w:p>
    <w:p>
      <w:pPr>
        <w:spacing w:after="0" w:line="17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the context otherwise indicates, references in this prospectus to “we,” “our” and “us” refer, collectively, to Fulcrum Therapeutics, Inc., a Delaware corporation, and its consolidated subsidiary.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212" w:lineRule="exact"/>
        <w:rPr>
          <w:sz w:val="20"/>
          <w:szCs w:val="20"/>
          <w:color w:val="auto"/>
        </w:rPr>
      </w:pPr>
    </w:p>
    <w:p>
      <w:pPr>
        <w:ind w:left="1080" w:right="56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74">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2019, including the information specifically incorporated by reference into the Annual Report on Form 10-K from our </w:t>
      </w:r>
      <w:hyperlink r:id="rId75">
        <w:r>
          <w:rPr>
            <w:rFonts w:ascii="Arial" w:cs="Arial" w:eastAsia="Arial" w:hAnsi="Arial"/>
            <w:sz w:val="16"/>
            <w:szCs w:val="16"/>
            <w:u w:val="single" w:color="auto"/>
            <w:color w:val="0000EE"/>
          </w:rPr>
          <w:t>definitive 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2020 Annual Meeting of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w:t>
      </w:r>
      <w:hyperlink r:id="rId76">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7">
        <w:r>
          <w:rPr>
            <w:rFonts w:ascii="Arial" w:cs="Arial" w:eastAsia="Arial" w:hAnsi="Arial"/>
            <w:sz w:val="18"/>
            <w:szCs w:val="18"/>
            <w:u w:val="single" w:color="auto"/>
            <w:color w:val="0000EE"/>
          </w:rPr>
          <w:t>June 30,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on </w:t>
      </w:r>
      <w:hyperlink r:id="rId78">
        <w:r>
          <w:rPr>
            <w:rFonts w:ascii="Arial" w:cs="Arial" w:eastAsia="Arial" w:hAnsi="Arial"/>
            <w:sz w:val="16"/>
            <w:szCs w:val="16"/>
            <w:u w:val="single" w:color="auto"/>
            <w:color w:val="0000EE"/>
          </w:rPr>
          <w:t>January 6, 2020</w:t>
        </w:r>
      </w:hyperlink>
      <w:r>
        <w:rPr>
          <w:rFonts w:ascii="Arial" w:cs="Arial" w:eastAsia="Arial" w:hAnsi="Arial"/>
          <w:sz w:val="16"/>
          <w:szCs w:val="16"/>
          <w:color w:val="auto"/>
        </w:rPr>
        <w:t xml:space="preserve">, </w:t>
      </w:r>
      <w:hyperlink r:id="rId79">
        <w:r>
          <w:rPr>
            <w:rFonts w:ascii="Arial" w:cs="Arial" w:eastAsia="Arial" w:hAnsi="Arial"/>
            <w:sz w:val="16"/>
            <w:szCs w:val="16"/>
            <w:u w:val="single" w:color="auto"/>
            <w:color w:val="0000EE"/>
          </w:rPr>
          <w:t>April 2, 2020</w:t>
        </w:r>
      </w:hyperlink>
      <w:r>
        <w:rPr>
          <w:rFonts w:ascii="Arial" w:cs="Arial" w:eastAsia="Arial" w:hAnsi="Arial"/>
          <w:sz w:val="16"/>
          <w:szCs w:val="16"/>
          <w:color w:val="auto"/>
        </w:rPr>
        <w:t xml:space="preserve">, </w:t>
      </w:r>
      <w:hyperlink r:id="rId80">
        <w:r>
          <w:rPr>
            <w:rFonts w:ascii="Arial" w:cs="Arial" w:eastAsia="Arial" w:hAnsi="Arial"/>
            <w:sz w:val="16"/>
            <w:szCs w:val="16"/>
            <w:u w:val="single" w:color="auto"/>
            <w:color w:val="0000EE"/>
          </w:rPr>
          <w:t>June 10, 2020</w:t>
        </w:r>
      </w:hyperlink>
      <w:r>
        <w:rPr>
          <w:rFonts w:ascii="Arial" w:cs="Arial" w:eastAsia="Arial" w:hAnsi="Arial"/>
          <w:sz w:val="16"/>
          <w:szCs w:val="16"/>
          <w:color w:val="auto"/>
        </w:rPr>
        <w:t xml:space="preserve">, </w:t>
      </w:r>
      <w:hyperlink r:id="rId81">
        <w:r>
          <w:rPr>
            <w:rFonts w:ascii="Arial" w:cs="Arial" w:eastAsia="Arial" w:hAnsi="Arial"/>
            <w:sz w:val="16"/>
            <w:szCs w:val="16"/>
            <w:u w:val="single" w:color="auto"/>
            <w:color w:val="0000EE"/>
          </w:rPr>
          <w:t xml:space="preserve">June 11, 2020, </w:t>
        </w:r>
      </w:hyperlink>
      <w:hyperlink r:id="rId82">
        <w:r>
          <w:rPr>
            <w:rFonts w:ascii="Arial" w:cs="Arial" w:eastAsia="Arial" w:hAnsi="Arial"/>
            <w:sz w:val="16"/>
            <w:szCs w:val="16"/>
            <w:u w:val="single" w:color="auto"/>
            <w:color w:val="auto"/>
          </w:rPr>
          <w:t xml:space="preserve">June </w:t>
        </w:r>
        <w:r>
          <w:rPr>
            <w:rFonts w:ascii="Arial" w:cs="Arial" w:eastAsia="Arial" w:hAnsi="Arial"/>
            <w:sz w:val="16"/>
            <w:szCs w:val="16"/>
            <w:u w:val="single" w:color="auto"/>
            <w:color w:val="0000EE"/>
          </w:rPr>
          <w:t>26, 2020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83">
        <w:r>
          <w:rPr>
            <w:rFonts w:ascii="Arial" w:cs="Arial" w:eastAsia="Arial" w:hAnsi="Arial"/>
            <w:sz w:val="16"/>
            <w:szCs w:val="16"/>
            <w:u w:val="single" w:color="auto"/>
            <w:color w:val="0000EE"/>
          </w:rPr>
          <w:t>July 23, 2020</w:t>
        </w:r>
      </w:hyperlink>
      <w:r>
        <w:rPr>
          <w:rFonts w:ascii="Arial" w:cs="Arial" w:eastAsia="Arial" w:hAnsi="Arial"/>
          <w:sz w:val="16"/>
          <w:szCs w:val="16"/>
          <w:color w:val="auto"/>
        </w:rPr>
        <w:t>; and</w:t>
      </w:r>
    </w:p>
    <w:p>
      <w:pPr>
        <w:spacing w:after="0" w:line="153"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July 12, 2019, including any amendments or reports filed for the purpose of updating such description.</w:t>
      </w:r>
    </w:p>
    <w:p>
      <w:pPr>
        <w:spacing w:after="0" w:line="170" w:lineRule="exact"/>
        <w:rPr>
          <w:rFonts w:ascii="Arial" w:cs="Arial" w:eastAsia="Arial" w:hAnsi="Arial"/>
          <w:sz w:val="16"/>
          <w:szCs w:val="16"/>
          <w:color w:val="auto"/>
        </w:rPr>
      </w:pPr>
    </w:p>
    <w:p>
      <w:pPr>
        <w:ind w:left="56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25"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23"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6"/>
          <w:szCs w:val="16"/>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6"/>
          <w:szCs w:val="16"/>
          <w:color w:val="auto"/>
        </w:rPr>
      </w:pPr>
    </w:p>
    <w:p>
      <w:pPr>
        <w:ind w:left="5500" w:hanging="438"/>
        <w:spacing w:after="0"/>
        <w:tabs>
          <w:tab w:leader="none" w:pos="5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651-8851</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7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7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net proceeds.</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320" w:top="459" w:right="7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8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or rates, if any,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the debt securities will be issued in definitive or global form or in definitive form only upon satisfaction of certain conditions;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events of defaults or covenants in addition to or in lieu of those set forth in the indenture;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Unless we indicate otherwise in a prospectus supplement with respect to a particular series of senior debt securities, the senior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Unless we indicate otherwise in a prospectus supplement with respect to a particular series of senior</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7"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7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i w:val="1"/>
          <w:iCs w:val="1"/>
          <w:color w:val="auto"/>
        </w:rPr>
        <w:t xml:space="preserve">No Protection in the Event of a Change in Control. </w:t>
      </w:r>
      <w:r>
        <w:rPr>
          <w:rFonts w:ascii="Arial" w:cs="Arial" w:eastAsia="Arial" w:hAnsi="Arial"/>
          <w:sz w:val="16"/>
          <w:szCs w:val="16"/>
          <w:color w:val="auto"/>
        </w:rPr>
        <w:t>Unless we indicate otherwise in a prospectus supplement with respect to a particular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indicate otherwise in a prospectus supplement with respect to a particular series of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under the senior indenture with respect to senior debt securities of each series:</w:t>
      </w:r>
    </w:p>
    <w:p>
      <w:pPr>
        <w:spacing w:after="0" w:line="76" w:lineRule="exact"/>
        <w:rPr>
          <w:sz w:val="20"/>
          <w:szCs w:val="20"/>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29"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event of default provided for in such series of senior debt securities as may be specified in the applicable prospectus supplement.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92"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84"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100"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7" w:lineRule="exact"/>
        <w:rPr>
          <w:sz w:val="20"/>
          <w:szCs w:val="20"/>
          <w:color w:val="auto"/>
        </w:rPr>
      </w:pPr>
    </w:p>
    <w:p>
      <w:pPr>
        <w:ind w:left="120" w:right="780" w:firstLine="440"/>
        <w:spacing w:after="0" w:line="342" w:lineRule="auto"/>
        <w:rPr>
          <w:sz w:val="20"/>
          <w:szCs w:val="20"/>
          <w:color w:val="auto"/>
        </w:rPr>
      </w:pPr>
      <w:r>
        <w:rPr>
          <w:rFonts w:ascii="Arial" w:cs="Arial" w:eastAsia="Arial" w:hAnsi="Arial"/>
          <w:sz w:val="16"/>
          <w:szCs w:val="16"/>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Satisfaction and Discharge</w:t>
      </w:r>
      <w:r>
        <w:rPr>
          <w:rFonts w:ascii="Arial" w:cs="Arial" w:eastAsia="Arial" w:hAnsi="Arial"/>
          <w:sz w:val="18"/>
          <w:szCs w:val="18"/>
          <w:color w:val="auto"/>
        </w:rPr>
        <w:t>. We can satisfy and discharge our obligations to holders of any series of debt securities if:</w:t>
      </w:r>
    </w:p>
    <w:p>
      <w:pPr>
        <w:spacing w:after="0" w:line="131" w:lineRule="exact"/>
        <w:rPr>
          <w:sz w:val="20"/>
          <w:szCs w:val="20"/>
          <w:color w:val="auto"/>
        </w:rPr>
      </w:pPr>
    </w:p>
    <w:p>
      <w:pPr>
        <w:ind w:left="1080" w:right="1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75"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Unless the applicable prospectus supplement provides otherwise, the following discussion of legal defeasance and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will apply to any series of debt securities issued under the indentures.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We can legally release ourselves from any payment or other obligations on the debt securities of any series (called “legal</w:t>
      </w:r>
      <w:r>
        <w:rPr>
          <w:rFonts w:ascii="Arial" w:cs="Arial" w:eastAsia="Arial" w:hAnsi="Arial"/>
          <w:sz w:val="18"/>
          <w:szCs w:val="18"/>
          <w:i w:val="1"/>
          <w:iCs w:val="1"/>
          <w:color w:val="auto"/>
        </w:rPr>
        <w:t xml:space="preserve"> </w:t>
      </w:r>
      <w:r>
        <w:rPr>
          <w:rFonts w:ascii="Arial" w:cs="Arial" w:eastAsia="Arial" w:hAnsi="Arial"/>
          <w:sz w:val="18"/>
          <w:szCs w:val="18"/>
          <w:color w:val="auto"/>
        </w:rPr>
        <w:t>defeasance”) if certain conditions are met, including the following:</w:t>
      </w:r>
    </w:p>
    <w:p>
      <w:pPr>
        <w:spacing w:after="0" w:line="76" w:lineRule="exact"/>
        <w:rPr>
          <w:sz w:val="20"/>
          <w:szCs w:val="20"/>
          <w:color w:val="auto"/>
        </w:rPr>
      </w:pPr>
    </w:p>
    <w:p>
      <w:pPr>
        <w:ind w:left="1080" w:right="20" w:hanging="424"/>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92" w:lineRule="exact"/>
        <w:rPr>
          <w:rFonts w:ascii="Arial" w:cs="Arial" w:eastAsia="Arial" w:hAnsi="Arial"/>
          <w:sz w:val="18"/>
          <w:szCs w:val="18"/>
          <w:color w:val="auto"/>
        </w:rPr>
      </w:pPr>
    </w:p>
    <w:p>
      <w:pPr>
        <w:ind w:left="1080" w:right="180" w:hanging="424"/>
        <w:spacing w:after="0" w:line="275"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Covenant Defeasance</w:t>
      </w:r>
      <w:r>
        <w:rPr>
          <w:rFonts w:ascii="Arial" w:cs="Arial" w:eastAsia="Arial" w:hAnsi="Arial"/>
          <w:sz w:val="18"/>
          <w:szCs w:val="18"/>
          <w:color w:val="auto"/>
        </w:rPr>
        <w:t>. Without any change in current U.S. federal tax law, we can make the same type of deposit described above and be released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92" w:lineRule="exact"/>
        <w:rPr>
          <w:sz w:val="20"/>
          <w:szCs w:val="20"/>
          <w:color w:val="auto"/>
        </w:rPr>
      </w:pPr>
    </w:p>
    <w:p>
      <w:pPr>
        <w:ind w:left="1080" w:hanging="424"/>
        <w:spacing w:after="0" w:line="279"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76"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Modification and Waiver. </w:t>
      </w:r>
      <w:r>
        <w:rPr>
          <w:rFonts w:ascii="Arial" w:cs="Arial" w:eastAsia="Arial" w:hAnsi="Arial"/>
          <w:sz w:val="18"/>
          <w:szCs w:val="18"/>
          <w:color w:val="auto"/>
        </w:rPr>
        <w:t>We and the trustee may amend or supplement the senior indenture or the senior debt securities of any series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any holder:</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convey, transfer, assign, mortgage or pledge any assets as security for the senior debt securities of one or more series;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9"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comply with the requirements of the SEC in order to effect or maintain the qualification of the senior indenture under the Trust Indenture Act of 1939, as amended (the “Trust Indenture Act”);</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provide for or add guarantors with respect to the senior debt securities of any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30"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29"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make any change to the senior debt securities of any series so long as no senior debt securities of such series are outstanding;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7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30" w:lineRule="exact"/>
        <w:rPr>
          <w:rFonts w:ascii="Arial" w:cs="Arial" w:eastAsia="Arial" w:hAnsi="Arial"/>
          <w:sz w:val="18"/>
          <w:szCs w:val="18"/>
          <w:color w:val="auto"/>
        </w:rPr>
      </w:pPr>
    </w:p>
    <w:p>
      <w:pPr>
        <w:ind w:left="5540" w:right="2640" w:hanging="4884"/>
        <w:spacing w:after="0" w:line="449" w:lineRule="auto"/>
        <w:tabs>
          <w:tab w:leader="none" w:pos="10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51"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common stock or other property in accordance with the terms of the senior debt securities; or</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 xml:space="preserve">No Personal Liability of Incorporators, Stockholders, Officers or Directors. </w:t>
      </w:r>
      <w:r>
        <w:rPr>
          <w:rFonts w:ascii="Arial" w:cs="Arial" w:eastAsia="Arial" w:hAnsi="Arial"/>
          <w:sz w:val="16"/>
          <w:szCs w:val="16"/>
          <w:color w:val="auto"/>
        </w:rPr>
        <w:t>The senior indenture provides that no recourse shall be had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6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i w:val="1"/>
          <w:iCs w:val="1"/>
          <w:color w:val="auto"/>
        </w:rPr>
        <w:t xml:space="preserve">Concerning the Trustee. </w:t>
      </w:r>
      <w:r>
        <w:rPr>
          <w:rFonts w:ascii="Arial" w:cs="Arial" w:eastAsia="Arial" w:hAnsi="Arial"/>
          <w:sz w:val="17"/>
          <w:szCs w:val="17"/>
          <w:color w:val="auto"/>
        </w:rPr>
        <w:t>The senior indenture provides that, except during the continuance of an event of default, the trustee will not be liable</w:t>
      </w:r>
      <w:r>
        <w:rPr>
          <w:rFonts w:ascii="Arial" w:cs="Arial" w:eastAsia="Arial" w:hAnsi="Arial"/>
          <w:sz w:val="17"/>
          <w:szCs w:val="17"/>
          <w:i w:val="1"/>
          <w:iCs w:val="1"/>
          <w:color w:val="auto"/>
        </w:rPr>
        <w:t xml:space="preserve"> </w:t>
      </w:r>
      <w:r>
        <w:rPr>
          <w:rFonts w:ascii="Arial" w:cs="Arial" w:eastAsia="Arial" w:hAnsi="Arial"/>
          <w:sz w:val="17"/>
          <w:szCs w:val="17"/>
          <w:color w:val="auto"/>
        </w:rPr>
        <w:t>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Unclaimed Funds. </w:t>
      </w:r>
      <w:r>
        <w:rPr>
          <w:rFonts w:ascii="Arial" w:cs="Arial" w:eastAsia="Arial" w:hAnsi="Arial"/>
          <w:sz w:val="18"/>
          <w:szCs w:val="18"/>
          <w:color w:val="auto"/>
        </w:rPr>
        <w:t>All funds deposited with the trustee or any paying agent for the payment of principal, premium, interest or additional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the senior debt securities that remain unclaimed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senior indenture and the senior debt securities will be governed by, and construed in accordance with, the internal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21"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or different subordination terms may be specified in the prospectus supplement applicable to a particular series.</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The indebtedness evidenced by the subordinated debt securities is subordinate to the prior payment in full of all of our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6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2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of the lease obligations that are capitalized on the books of that person in accordance with generally accepted accounting principles;</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June 30, 2020, we had issued and outstanding 27,452,872 shares of our common stock held by 75 stockholders of record (not including beneficial owners whose shares are held in “nominee” or “street” name), including 229,076 shares of unvested restricted stock subject to repurchase by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7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2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130" w:lineRule="exact"/>
        <w:rPr>
          <w:rFonts w:ascii="Arial" w:cs="Arial" w:eastAsia="Arial" w:hAnsi="Arial"/>
          <w:sz w:val="18"/>
          <w:szCs w:val="18"/>
          <w:color w:val="auto"/>
        </w:rPr>
      </w:pPr>
    </w:p>
    <w:p>
      <w:pPr>
        <w:ind w:left="1080" w:right="74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i w:val="1"/>
          <w:iCs w:val="1"/>
          <w:color w:val="auto"/>
        </w:rPr>
        <w:t>Rank</w:t>
      </w:r>
      <w:r>
        <w:rPr>
          <w:rFonts w:ascii="Arial" w:cs="Arial" w:eastAsia="Arial" w:hAnsi="Arial"/>
          <w:sz w:val="18"/>
          <w:szCs w:val="18"/>
          <w:color w:val="auto"/>
        </w:rPr>
        <w:t>. Unless otherwise specified in the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7" w:lineRule="exact"/>
        <w:rPr>
          <w:sz w:val="20"/>
          <w:szCs w:val="20"/>
          <w:color w:val="auto"/>
        </w:rPr>
      </w:pPr>
    </w:p>
    <w:p>
      <w:pPr>
        <w:ind w:left="1080" w:right="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197"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73"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preferred stock of each series will be entitled to receive, when, as and if declared by our board of directors,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at such rates and on such dates described in the prospectus supplement.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84"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Liquidation Preference</w:t>
      </w:r>
      <w:r>
        <w:rPr>
          <w:rFonts w:ascii="Arial" w:cs="Arial" w:eastAsia="Arial" w:hAnsi="Arial"/>
          <w:sz w:val="17"/>
          <w:szCs w:val="17"/>
          <w:color w:val="auto"/>
        </w:rPr>
        <w:t>. Upon any voluntary or involuntary liquidation, dissolution or winding up of our affairs, then, before we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7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8"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If so provided in the applicable prospectus supplement, the preferred stock will be subject to mandatory redemption or redemption at</w:t>
      </w:r>
      <w:r>
        <w:rPr>
          <w:rFonts w:ascii="Arial" w:cs="Arial" w:eastAsia="Arial" w:hAnsi="Arial"/>
          <w:sz w:val="16"/>
          <w:szCs w:val="16"/>
          <w:i w:val="1"/>
          <w:iCs w:val="1"/>
          <w:color w:val="auto"/>
        </w:rPr>
        <w:t xml:space="preserve"> </w:t>
      </w:r>
      <w:r>
        <w:rPr>
          <w:rFonts w:ascii="Arial" w:cs="Arial" w:eastAsia="Arial" w:hAnsi="Arial"/>
          <w:sz w:val="16"/>
          <w:szCs w:val="16"/>
          <w:color w:val="auto"/>
        </w:rPr>
        <w:t>our option, as a whole or in part, in each case upon the terms, at the times and at the redemption prices set forth in such prospectus supplement.</w:t>
      </w:r>
    </w:p>
    <w:p>
      <w:pPr>
        <w:spacing w:after="0" w:line="12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prospectus supplement relating to a series of preferred stock that is subject to mandatory redemption will specify the number of shares of preferred stock that shall be redeemed by us in each year commencing after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84" w:lineRule="exact"/>
        <w:rPr>
          <w:sz w:val="20"/>
          <w:szCs w:val="20"/>
          <w:color w:val="auto"/>
        </w:rPr>
      </w:pPr>
    </w:p>
    <w:p>
      <w:pPr>
        <w:ind w:left="1080" w:right="200" w:hanging="424"/>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131" w:lineRule="exact"/>
        <w:rPr>
          <w:sz w:val="20"/>
          <w:szCs w:val="20"/>
          <w:color w:val="auto"/>
        </w:rPr>
      </w:pPr>
    </w:p>
    <w:p>
      <w:pPr>
        <w:ind w:left="1080" w:right="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9"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4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2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specific number of shares to be redeemed from each such holder if fewer than all the shares of any series are to be redeemed.</w:t>
      </w:r>
    </w:p>
    <w:p>
      <w:pPr>
        <w:spacing w:after="0" w:line="23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preferred stock will not have any voting rights, except as required by law or as indicated in the applicable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The terms and conditions, if any, upon which any series of preferred stock is convertible into our common stock will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Transfer Agent and Registrar</w:t>
      </w:r>
      <w:r>
        <w:rPr>
          <w:rFonts w:ascii="Arial" w:cs="Arial" w:eastAsia="Arial" w:hAnsi="Arial"/>
          <w:sz w:val="16"/>
          <w:szCs w:val="16"/>
          <w:color w:val="auto"/>
        </w:rPr>
        <w:t>. The transfer agent and registrar for the preferred stock will be set forth in the applicable prospectus supplement.</w:t>
      </w:r>
    </w:p>
    <w:p>
      <w:pPr>
        <w:spacing w:after="0" w:line="352" w:lineRule="exact"/>
        <w:rPr>
          <w:sz w:val="20"/>
          <w:szCs w:val="20"/>
          <w:color w:val="auto"/>
        </w:rPr>
      </w:pPr>
    </w:p>
    <w:p>
      <w:pPr>
        <w:ind w:left="120" w:right="5360"/>
        <w:spacing w:after="0" w:line="378" w:lineRule="auto"/>
        <w:rPr>
          <w:sz w:val="20"/>
          <w:szCs w:val="20"/>
          <w:color w:val="auto"/>
        </w:rPr>
      </w:pPr>
      <w:r>
        <w:rPr>
          <w:rFonts w:ascii="Arial" w:cs="Arial" w:eastAsia="Arial" w:hAnsi="Arial"/>
          <w:sz w:val="18"/>
          <w:szCs w:val="18"/>
          <w:b w:val="1"/>
          <w:bCs w:val="1"/>
          <w:color w:val="auto"/>
        </w:rPr>
        <w:t xml:space="preserve">Delaware Anti-Takeover Law and Certain Charter and Bylaw Provisions </w:t>
      </w:r>
      <w:r>
        <w:rPr>
          <w:rFonts w:ascii="Arial" w:cs="Arial" w:eastAsia="Arial" w:hAnsi="Arial"/>
          <w:sz w:val="18"/>
          <w:szCs w:val="18"/>
          <w:b w:val="1"/>
          <w:bCs w:val="1"/>
          <w:i w:val="1"/>
          <w:iCs w:val="1"/>
          <w:color w:val="auto"/>
        </w:rPr>
        <w:t>Delaware Law</w:t>
      </w:r>
    </w:p>
    <w:p>
      <w:pPr>
        <w:ind w:left="120" w:right="20" w:firstLine="440"/>
        <w:spacing w:after="0" w:line="271" w:lineRule="auto"/>
        <w:rPr>
          <w:sz w:val="20"/>
          <w:szCs w:val="20"/>
          <w:color w:val="auto"/>
        </w:rPr>
      </w:pPr>
      <w:r>
        <w:rPr>
          <w:rFonts w:ascii="Arial" w:cs="Arial" w:eastAsia="Arial" w:hAnsi="Arial"/>
          <w:sz w:val="17"/>
          <w:szCs w:val="17"/>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14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w:t>
      </w:r>
    </w:p>
    <w:p>
      <w:pPr>
        <w:spacing w:after="0" w:line="2" w:lineRule="exact"/>
        <w:rPr>
          <w:sz w:val="20"/>
          <w:szCs w:val="20"/>
          <w:color w:val="auto"/>
        </w:rPr>
      </w:pPr>
    </w:p>
    <w:p>
      <w:pPr>
        <w:ind w:left="120" w:right="80" w:hanging="4"/>
        <w:spacing w:after="0" w:line="273" w:lineRule="auto"/>
        <w:tabs>
          <w:tab w:leader="none" w:pos="3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and Form S-3 Registration Rights</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7"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139"/>
          </w:cols>
          <w:pgMar w:left="32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2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Stock</w:t>
      </w:r>
    </w:p>
    <w:p>
      <w:pPr>
        <w:spacing w:after="0" w:line="121" w:lineRule="exact"/>
        <w:rPr>
          <w:sz w:val="20"/>
          <w:szCs w:val="20"/>
          <w:color w:val="auto"/>
        </w:rPr>
      </w:pPr>
    </w:p>
    <w:p>
      <w:pPr>
        <w:jc w:val="both"/>
        <w:ind w:left="120" w:right="340" w:firstLine="440"/>
        <w:spacing w:after="0" w:line="311"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the Preferred Stock</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Charges of Depositary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1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material provisions of the governing unit agreement that differ from those described above.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2"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30"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designation, aggregate principal amount, currency and terms of any debt securities that may be purchased upon exercise of the warrants;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designation and terms of the preferred stock or depositary shares with which the warrants are issued and the number of warrants issued with each security;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shares of common stock, preferred stock or depositary shares purchasable upon exercise of a warrant and the price at which those shares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may issue the debt securities,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57"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or through 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one or more purchasers in negotiated sales or competitively bid transactions;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public offering or purchase price and the proceeds we will receive from the sale of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the agent or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discounts and commissions to be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320" w:top="459" w:right="5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Wilmer Cutler Pickering Hale and Dorr LLP.</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8029575</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8081010</wp:posOffset>
            </wp:positionV>
            <wp:extent cx="699516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3820795</wp:posOffset>
            </wp:positionV>
            <wp:extent cx="2897505" cy="7112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2897505" cy="7112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upperLetter"/>
      <w:start w:val="1"/>
    </w:lvl>
  </w:abstractNum>
  <w:abstractNum w:abstractNumId="18">
    <w:nsid w:val="614FD4A1"/>
    <w:multiLevelType w:val="hybridMultilevel"/>
    <w:lvl w:ilvl="0">
      <w:lvlJc w:val="left"/>
      <w:lvlText w:val="%1."/>
      <w:numFmt w:val="upperLetter"/>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617"/>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617"/>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jpe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jpeg"/><Relationship Id="rId58" Type="http://schemas.openxmlformats.org/officeDocument/2006/relationships/hyperlink" Target="http://www.sec.gov/ix?doc=/Archives/edgar/data/1680581/000156459021010715/fulc-10k_20201231.htm" TargetMode="External"/><Relationship Id="rId59" Type="http://schemas.openxmlformats.org/officeDocument/2006/relationships/hyperlink" Target="http://www.sec.gov/Archives/edgar/data/1680581/000119312521138549/d41208ddef14a.htm" TargetMode="External"/><Relationship Id="rId60" Type="http://schemas.openxmlformats.org/officeDocument/2006/relationships/hyperlink" Target="http://www.sec.gov/ix?doc=/Archives/edgar/data/1680581/000156459021024505/fulc-10q_20210331.htm" TargetMode="External"/><Relationship Id="rId61" Type="http://schemas.openxmlformats.org/officeDocument/2006/relationships/hyperlink" Target="http://www.sec.gov/ix?doc=/Archives/edgar/data/1680581/000156459021042876/fulc-10q_20210630.htm" TargetMode="External"/><Relationship Id="rId62" Type="http://schemas.openxmlformats.org/officeDocument/2006/relationships/hyperlink" Target="http://www.sec.gov/Archives/edgar/data/0001680581/000119312521092672/d25784d8k.htm" TargetMode="External"/><Relationship Id="rId63" Type="http://schemas.openxmlformats.org/officeDocument/2006/relationships/hyperlink" Target="http://www.sec.gov/Archives/edgar/data/0001680581/000119312521188915/d163356d8k.htm" TargetMode="External"/><Relationship Id="rId64" Type="http://schemas.openxmlformats.org/officeDocument/2006/relationships/hyperlink" Target="http://www.sec.gov/Archives/edgar/data/1680581/000119312521198675/d190429d8k.htm" TargetMode="External"/><Relationship Id="rId65" Type="http://schemas.openxmlformats.org/officeDocument/2006/relationships/hyperlink" Target="http://www.sec.gov/Archives/edgar/data/1680581/000110465919040208/a19-3408_78a12b.htm" TargetMode="External"/><Relationship Id="rId74" Type="http://schemas.openxmlformats.org/officeDocument/2006/relationships/hyperlink" Target="http://www.sec.gov/Archives/edgar/data/1680581/000156459020008951/fulc-10k_20191231.htm" TargetMode="External"/><Relationship Id="rId75" Type="http://schemas.openxmlformats.org/officeDocument/2006/relationships/hyperlink" Target="http://www.sec.gov/Archives/edgar/data/1680581/000119312520124813/d895226ddef14a.htm" TargetMode="External"/><Relationship Id="rId76" Type="http://schemas.openxmlformats.org/officeDocument/2006/relationships/hyperlink" Target="http://www.sec.gov/Archives/edgar/data/1680581/000156459020024866/fulc-10q_20200331.htm" TargetMode="External"/><Relationship Id="rId77" Type="http://schemas.openxmlformats.org/officeDocument/2006/relationships/hyperlink" Target="http://www.sec.gov/Archives/edgar/data/1680581/000156459020039121/fulc-10q_20200630.htm" TargetMode="External"/><Relationship Id="rId78" Type="http://schemas.openxmlformats.org/officeDocument/2006/relationships/hyperlink" Target="http://www.sec.gov/Archives/edgar/data/1680581/000119312520001768/d831315d8k.htm" TargetMode="External"/><Relationship Id="rId79" Type="http://schemas.openxmlformats.org/officeDocument/2006/relationships/hyperlink" Target="http://www.sec.gov/Archives/edgar/data/1680581/000156459020014860/fulc-8k_20200331.htm" TargetMode="External"/><Relationship Id="rId80" Type="http://schemas.openxmlformats.org/officeDocument/2006/relationships/hyperlink" Target="http://www.sec.gov/Archives/edgar/data/1680581/000119312520165696/d857108d8k.htm" TargetMode="External"/><Relationship Id="rId81" Type="http://schemas.openxmlformats.org/officeDocument/2006/relationships/hyperlink" Target="http://www.sec.gov/Archives/edgar/data/1680581/000119312520166654/d941094d8k.htm" TargetMode="External"/><Relationship Id="rId82" Type="http://schemas.openxmlformats.org/officeDocument/2006/relationships/hyperlink" Target="http://www.sec.gov/Archives/edgar/data/1680581/000119312520181057/d944287d8k.htm" TargetMode="External"/><Relationship Id="rId83" Type="http://schemas.openxmlformats.org/officeDocument/2006/relationships/hyperlink" Target="http://www.sec.gov/Archives/edgar/data/1680581/000119312520197820/d77378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2021-08-11T05:23:40Z</dcterms:created>
  <dcterms:modified xsi:type="dcterms:W3CDTF">2021-08-11T05:23:40Z</dcterms:modified>
</cp:coreProperties>
</file>