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25,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8"/>
        </w:trPr>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40" w:type="dxa"/>
            <w:vAlign w:val="bottom"/>
          </w:tcPr>
          <w:p>
            <w:pPr>
              <w:jc w:val="center"/>
              <w:ind w:left="36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40" w:type="dxa"/>
            <w:vAlign w:val="bottom"/>
          </w:tcPr>
          <w:p>
            <w:pPr>
              <w:jc w:val="center"/>
              <w:ind w:left="36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4840" w:type="dxa"/>
            <w:vAlign w:val="bottom"/>
          </w:tcPr>
          <w:p>
            <w:pPr>
              <w:spacing w:after="0"/>
              <w:rPr>
                <w:sz w:val="24"/>
                <w:szCs w:val="24"/>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48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51"/>
        </w:trPr>
        <w:tc>
          <w:tcPr>
            <w:tcW w:w="25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jc w:val="center"/>
              <w:ind w:left="3639"/>
              <w:spacing w:after="0" w:line="151"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216"/>
        </w:trPr>
        <w:tc>
          <w:tcPr>
            <w:tcW w:w="2520" w:type="dxa"/>
            <w:vAlign w:val="bottom"/>
          </w:tcPr>
          <w:p>
            <w:pPr>
              <w:spacing w:after="0"/>
              <w:rPr>
                <w:sz w:val="18"/>
                <w:szCs w:val="18"/>
                <w:color w:val="auto"/>
              </w:rPr>
            </w:pPr>
          </w:p>
        </w:tc>
        <w:tc>
          <w:tcPr>
            <w:tcW w:w="484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2019 Stock Incentive Plan</w:t>
            </w:r>
          </w:p>
        </w:tc>
      </w:tr>
      <w:tr>
        <w:trPr>
          <w:trHeight w:val="214"/>
        </w:trPr>
        <w:tc>
          <w:tcPr>
            <w:tcW w:w="2520" w:type="dxa"/>
            <w:vAlign w:val="bottom"/>
          </w:tcPr>
          <w:p>
            <w:pPr>
              <w:spacing w:after="0"/>
              <w:rPr>
                <w:sz w:val="18"/>
                <w:szCs w:val="18"/>
                <w:color w:val="auto"/>
              </w:rPr>
            </w:pPr>
          </w:p>
        </w:tc>
        <w:tc>
          <w:tcPr>
            <w:tcW w:w="484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2019 Employee Stock Purchase Plan</w:t>
            </w:r>
          </w:p>
        </w:tc>
      </w:tr>
      <w:tr>
        <w:trPr>
          <w:trHeight w:val="190"/>
        </w:trPr>
        <w:tc>
          <w:tcPr>
            <w:tcW w:w="2520" w:type="dxa"/>
            <w:vAlign w:val="bottom"/>
          </w:tcPr>
          <w:p>
            <w:pPr>
              <w:spacing w:after="0"/>
              <w:rPr>
                <w:sz w:val="16"/>
                <w:szCs w:val="16"/>
                <w:color w:val="auto"/>
              </w:rPr>
            </w:pPr>
          </w:p>
        </w:tc>
        <w:tc>
          <w:tcPr>
            <w:tcW w:w="484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Alex C. Sapir</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651-8851</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82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52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Mitchell Bloom, Esq.</w:t>
            </w:r>
          </w:p>
        </w:tc>
        <w:tc>
          <w:tcPr>
            <w:tcW w:w="520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Curtis Oltmans, Esq.</w:t>
            </w:r>
          </w:p>
        </w:tc>
      </w:tr>
      <w:tr>
        <w:trPr>
          <w:trHeight w:val="216"/>
        </w:trPr>
        <w:tc>
          <w:tcPr>
            <w:tcW w:w="26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Marianne Sarrazin, Esq.</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Chief Legal Officer</w:t>
            </w:r>
          </w:p>
        </w:tc>
      </w:tr>
      <w:tr>
        <w:trPr>
          <w:trHeight w:val="216"/>
        </w:trPr>
        <w:tc>
          <w:tcPr>
            <w:tcW w:w="2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rPr>
              <w:t>Fulcrum Therapeutics, Inc.</w:t>
            </w:r>
          </w:p>
        </w:tc>
      </w:tr>
      <w:tr>
        <w:trPr>
          <w:trHeight w:val="216"/>
        </w:trPr>
        <w:tc>
          <w:tcPr>
            <w:tcW w:w="2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rPr>
              <w:t>26 Landsdowne Street</w:t>
            </w:r>
          </w:p>
        </w:tc>
      </w:tr>
      <w:tr>
        <w:trPr>
          <w:trHeight w:val="216"/>
        </w:trPr>
        <w:tc>
          <w:tcPr>
            <w:tcW w:w="26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02139</w:t>
            </w:r>
          </w:p>
        </w:tc>
      </w:tr>
      <w:tr>
        <w:trPr>
          <w:trHeight w:val="238"/>
        </w:trPr>
        <w:tc>
          <w:tcPr>
            <w:tcW w:w="2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52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8"/>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Fulcrum Therapeutics, Inc. (“Fulcrum”) is filing this 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purpose of registering an additional (i) 2,000,000 shares of its common stock, $0.001 par value per share (the “Common Stock”) under Fulcrum’s 2019 Stock Incentive Plan (the “2019 Plan”) and 428,571 shares of Common Stock under Fulcrum’s 2019 Employee Stock Purchase Plan (the “ESPP” and together with the 2019 Plan, the “Plans”), in each case pursuant to the provisions for each plan that provide for annual automatic increases in the number of shares of Common Stock reserved for issuance under each plan. In each case, the additional shares are of the same class as other securities for which a registration statement relating to the Plans has previously been filed and is effective. Accordingly, this registration statement incorporates by reference the contents of the registration statements on Form S-8 (File No. 333-233452) filed on August 26, 2019,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333-236910) filed on March 5, 2020,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w:t>
      </w:r>
    </w:p>
    <w:p>
      <w:pPr>
        <w:spacing w:after="0" w:line="3" w:lineRule="exact"/>
        <w:rPr>
          <w:rFonts w:ascii="Times New Roman" w:cs="Times New Roman" w:eastAsia="Times New Roman" w:hAnsi="Times New Roman"/>
          <w:sz w:val="18"/>
          <w:szCs w:val="18"/>
          <w:color w:val="auto"/>
        </w:rPr>
      </w:pPr>
    </w:p>
    <w:p>
      <w:pPr>
        <w:jc w:val="both"/>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333-253862) filed on March 4, 2021, </w:t>
      </w:r>
      <w:hyperlink r:id="rId22">
        <w:r>
          <w:rPr>
            <w:rFonts w:ascii="Times New Roman" w:cs="Times New Roman" w:eastAsia="Times New Roman" w:hAnsi="Times New Roman"/>
            <w:sz w:val="17"/>
            <w:szCs w:val="17"/>
            <w:u w:val="single" w:color="auto"/>
            <w:color w:val="0000EE"/>
          </w:rPr>
          <w:t>Form S-8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333-262356) filed on January 27, 2022, </w:t>
      </w:r>
      <w:hyperlink r:id="rId23">
        <w:r>
          <w:rPr>
            <w:rFonts w:ascii="Times New Roman" w:cs="Times New Roman" w:eastAsia="Times New Roman" w:hAnsi="Times New Roman"/>
            <w:sz w:val="17"/>
            <w:szCs w:val="17"/>
            <w:u w:val="single" w:color="auto"/>
            <w:color w:val="0000EE"/>
          </w:rPr>
          <w:t>Form S-8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333-270385) filed on March 9, 2023 and </w:t>
      </w:r>
      <w:hyperlink r:id="rId24">
        <w:r>
          <w:rPr>
            <w:rFonts w:ascii="Times New Roman" w:cs="Times New Roman" w:eastAsia="Times New Roman" w:hAnsi="Times New Roman"/>
            <w:sz w:val="17"/>
            <w:szCs w:val="17"/>
            <w:u w:val="single" w:color="auto"/>
            <w:color w:val="0000EE"/>
          </w:rPr>
          <w:t>Form S-8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333-277421) filed on February 27, 2024, pursuant to General Instruction E, except with respect to Item 8. Exhibits thereof.</w:t>
      </w:r>
    </w:p>
    <w:p>
      <w:pPr>
        <w:sectPr>
          <w:pgSz w:w="11900" w:h="16838" w:orient="portrait"/>
          <w:cols w:equalWidth="0" w:num="1">
            <w:col w:w="11000"/>
          </w:cols>
          <w:pgMar w:left="440" w:top="266" w:right="45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20" w:type="dxa"/>
            <w:vAlign w:val="bottom"/>
            <w:gridSpan w:val="1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Borders>
              <w:bottom w:val="single" w:sz="8" w:color="auto"/>
            </w:tcBorders>
            <w:gridSpan w:val="3"/>
            <w:vMerge w:val="continue"/>
          </w:tcPr>
          <w:p>
            <w:pPr>
              <w:spacing w:after="0"/>
              <w:rPr>
                <w:sz w:val="15"/>
                <w:szCs w:val="15"/>
                <w:color w:val="auto"/>
              </w:rPr>
            </w:pPr>
          </w:p>
        </w:tc>
        <w:tc>
          <w:tcPr>
            <w:tcW w:w="472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10140" w:type="dxa"/>
            <w:vAlign w:val="bottom"/>
            <w:gridSpan w:val="2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Restated Certificate of Incorporation of the registrant (incorporated by reference to Exhibit 3.1 to the registrant’s Current Report on Form</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8-K filed with the Securities and Exchange Commission on July 22, 2019)</w:t>
              </w:r>
            </w:hyperlink>
          </w:p>
        </w:tc>
        <w:tc>
          <w:tcPr>
            <w:tcW w:w="4520" w:type="dxa"/>
            <w:vAlign w:val="bottom"/>
            <w:tcBorders>
              <w:top w:val="single" w:sz="8" w:color="0000EE"/>
            </w:tcBorders>
            <w:gridSpan w:val="9"/>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2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Certificate of Amendment of the Restated Certificate of Incorporation of the registrant (incorporated by reference to Exhibit 3.1 to the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registrant’s Current Report on Form 8-K filed with the Securities and Exchange Commission on June 9, 2023)</w:t>
              </w:r>
            </w:hyperlink>
          </w:p>
        </w:tc>
        <w:tc>
          <w:tcPr>
            <w:tcW w:w="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140" w:type="dxa"/>
            <w:vAlign w:val="bottom"/>
            <w:gridSpan w:val="22"/>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filed with the Securities and Exchange Commission on July 22, 2019)</w:t>
              </w:r>
            </w:hyperlink>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50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51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24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c>
          <w:tcPr>
            <w:tcW w:w="77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42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(included in Exhibit 5.1)</w:t>
            </w:r>
          </w:p>
        </w:tc>
        <w:tc>
          <w:tcPr>
            <w:tcW w:w="59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3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67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2019 Stock Incentive Plan of the registrant (incorporated by reference to Exhibit 10.6 to Amendment No. 1 to the registrant’s Registration</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Statement on Form S-1 (File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100" w:type="dxa"/>
            <w:vAlign w:val="bottom"/>
            <w:gridSpan w:val="9"/>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40" w:type="dxa"/>
            <w:vAlign w:val="bottom"/>
            <w:gridSpan w:val="22"/>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Stock Option Agreement under the 2019 Stock Incentive Plan (incorporated by reference to Exhibit 10.7 to Amendment No. 1 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the registrant’s Registration Statement on Form S-1 (File No. 333-232260) filed with the Securities and Exchange Commission on July 8,</w:t>
              </w:r>
            </w:hyperlink>
          </w:p>
        </w:tc>
        <w:tc>
          <w:tcPr>
            <w:tcW w:w="4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40" w:type="dxa"/>
            <w:vAlign w:val="bottom"/>
            <w:gridSpan w:val="2"/>
          </w:tcPr>
          <w:p>
            <w:pPr>
              <w:ind w:left="420"/>
              <w:spacing w:after="0" w:line="196" w:lineRule="exact"/>
              <w:rPr>
                <w:rFonts w:ascii="Times New Roman" w:cs="Times New Roman" w:eastAsia="Times New Roman" w:hAnsi="Times New Roman"/>
                <w:sz w:val="18"/>
                <w:szCs w:val="18"/>
                <w:color w:val="0000EE"/>
                <w:w w:val="95"/>
              </w:rPr>
            </w:pPr>
            <w:hyperlink r:id="rId30">
              <w:r>
                <w:rPr>
                  <w:rFonts w:ascii="Times New Roman" w:cs="Times New Roman" w:eastAsia="Times New Roman" w:hAnsi="Times New Roman"/>
                  <w:sz w:val="18"/>
                  <w:szCs w:val="18"/>
                  <w:color w:val="0000EE"/>
                  <w:w w:val="95"/>
                </w:rPr>
                <w:t>2019)</w:t>
              </w:r>
            </w:hyperlink>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24"/>
                <w:szCs w:val="24"/>
                <w:color w:val="auto"/>
              </w:rPr>
            </w:pPr>
          </w:p>
        </w:tc>
        <w:tc>
          <w:tcPr>
            <w:tcW w:w="101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Form of Restricted Stock Unit Agreement under the 2019 Stock Incentive Plan (incorporated by reference to Exhibit 10.10 to the registrant’s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Annual Report on Form 10-K filed with the Securities and Exchange Commission on March 3, 2022)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100" w:type="dxa"/>
            <w:vAlign w:val="bottom"/>
            <w:gridSpan w:val="9"/>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420" w:type="dxa"/>
            <w:vAlign w:val="bottom"/>
          </w:tcPr>
          <w:p>
            <w:pPr>
              <w:spacing w:after="0"/>
              <w:rPr>
                <w:sz w:val="24"/>
                <w:szCs w:val="24"/>
                <w:color w:val="auto"/>
              </w:rPr>
            </w:pPr>
          </w:p>
        </w:tc>
        <w:tc>
          <w:tcPr>
            <w:tcW w:w="10140" w:type="dxa"/>
            <w:vAlign w:val="bottom"/>
            <w:gridSpan w:val="22"/>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2019 Employee Stock Purchase Plan of the registrant (incorporated by reference to Exhibit 10.8 to Amendment No. 1 to the registrant’s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Registration Statement on Form S-1 (File No. 333-232260) filed with the Securities and Exchange Commission on July 8, 2019)</w:t>
              </w:r>
            </w:hyperlink>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060" w:type="dxa"/>
            <w:vAlign w:val="bottom"/>
            <w:tcBorders>
              <w:top w:val="single" w:sz="8" w:color="0000EE"/>
            </w:tcBorders>
            <w:gridSpan w:val="12"/>
          </w:tcPr>
          <w:p>
            <w:pPr>
              <w:spacing w:after="0"/>
              <w:rPr>
                <w:sz w:val="24"/>
                <w:szCs w:val="24"/>
                <w:color w:val="auto"/>
              </w:rPr>
            </w:pPr>
          </w:p>
        </w:tc>
        <w:tc>
          <w:tcPr>
            <w:tcW w:w="9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25th day of February,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Alex C. Sapir and Alan Musso,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 C. Sapir</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Alex C. Sapir</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Musso</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Alan Musso</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Gregory Tourangeau</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Vice President, Finance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Gregory Tourangeau</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Kate Haviland</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Kate Haviland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Sonja L. Banks</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Sonja L. Banks</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Katina Dorton</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Katina Dorton</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Ezekowitz</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Alan Ezekowitz</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Geraghty</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Geraghty</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J. Gould</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Gould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Colin Hill</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Colin Hill</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Rachel King</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Rachel King</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80022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1800225" cy="531495"/>
                    </a:xfrm>
                    <a:prstGeom prst="rect">
                      <a:avLst/>
                    </a:prstGeom>
                    <a:noFill/>
                  </pic:spPr>
                </pic:pic>
              </a:graphicData>
            </a:graphic>
          </wp:anchor>
        </w:drawing>
      </w:r>
    </w:p>
    <w:p>
      <w:pPr>
        <w:spacing w:after="0" w:line="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02210</w:t>
      </w:r>
    </w:p>
    <w:p>
      <w:pPr>
        <w:spacing w:after="0" w:line="234"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+1 617 570 1000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1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acted as your counsel in connection with your filing of a Registration Statement on Form S-8 (the “Registration Statement”) pursuant to the Securities Act of 1933, as amended (the “Securities Act”), on or about the date hereof relating to an aggregate of 2,428,571 shares (the “Shares”) of Common Stock, par value $0.001 per share (“Common Stock”), of Fulcrum Therapeutics, Inc., a Delaware corporation (the “Company”), that may be issued pursuant to the Company’s 2019 Stock Incentive Plan (the “2019 Plan”) and the Company’s 2019 Employee Stock Purchase Plan (the “ESPP” and, together with the 2019 Plan, the “Plans”).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against payment therefor in accordance with the terms of the Plans,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Fulcrum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GOODWIN PROCTER LLP</w:t>
      </w:r>
    </w:p>
    <w:p>
      <w:pPr>
        <w:sectPr>
          <w:pgSz w:w="11900" w:h="16838" w:orient="portrait"/>
          <w:cols w:equalWidth="0" w:num="1">
            <w:col w:w="10019"/>
          </w:cols>
          <w:pgMar w:left="440" w:top="27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2019 Stock Incentive Plan and the 2019 Employee Stock Purchase Plan of Fulcrum Therapeutics, Inc. of our report dated February 25, 2025 with respect to the consolidated financial statements of Fulcrum Therapeutics, Inc. included in its Annual Report (Form 10-K) for the year ended December 31, 2024,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9"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31"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ind w:left="3624"/>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7" w:lineRule="exact"/>
        <w:rPr>
          <w:sz w:val="20"/>
          <w:szCs w:val="20"/>
          <w:color w:val="auto"/>
        </w:rPr>
      </w:pPr>
    </w:p>
    <w:tbl>
      <w:tblPr>
        <w:tblLayout w:type="fixed"/>
        <w:tblInd w:w="794" w:type="dxa"/>
        <w:tblCellMar>
          <w:top w:w="0" w:type="dxa"/>
          <w:left w:w="0" w:type="dxa"/>
          <w:bottom w:w="0" w:type="dxa"/>
          <w:right w:w="0" w:type="dxa"/>
        </w:tblCellMar>
      </w:tblPr>
      <w:tr>
        <w:trPr>
          <w:trHeight w:val="124"/>
        </w:trPr>
        <w:tc>
          <w:tcPr>
            <w:tcW w:w="880" w:type="dxa"/>
            <w:vAlign w:val="bottom"/>
            <w:tcBorders>
              <w:top w:val="single" w:sz="8" w:color="auto"/>
              <w:left w:val="single" w:sz="8" w:color="auto"/>
              <w:right w:val="single" w:sz="8" w:color="auto"/>
            </w:tcBorders>
          </w:tcPr>
          <w:p>
            <w:pPr>
              <w:spacing w:after="0"/>
              <w:rPr>
                <w:sz w:val="10"/>
                <w:szCs w:val="10"/>
                <w:color w:val="auto"/>
              </w:rPr>
            </w:pPr>
          </w:p>
        </w:tc>
        <w:tc>
          <w:tcPr>
            <w:tcW w:w="1360" w:type="dxa"/>
            <w:vAlign w:val="bottom"/>
            <w:tcBorders>
              <w:top w:val="single" w:sz="8" w:color="auto"/>
              <w:right w:val="single" w:sz="8" w:color="auto"/>
            </w:tcBorders>
          </w:tcPr>
          <w:p>
            <w:pPr>
              <w:spacing w:after="0"/>
              <w:rPr>
                <w:sz w:val="10"/>
                <w:szCs w:val="10"/>
                <w:color w:val="auto"/>
              </w:rPr>
            </w:pPr>
          </w:p>
        </w:tc>
        <w:tc>
          <w:tcPr>
            <w:tcW w:w="960" w:type="dxa"/>
            <w:vAlign w:val="bottom"/>
            <w:tcBorders>
              <w:top w:val="single" w:sz="8" w:color="auto"/>
              <w:right w:val="single" w:sz="8" w:color="auto"/>
            </w:tcBorders>
          </w:tcPr>
          <w:p>
            <w:pPr>
              <w:spacing w:after="0"/>
              <w:rPr>
                <w:sz w:val="10"/>
                <w:szCs w:val="10"/>
                <w:color w:val="auto"/>
              </w:rPr>
            </w:pPr>
          </w:p>
        </w:tc>
        <w:tc>
          <w:tcPr>
            <w:tcW w:w="1160" w:type="dxa"/>
            <w:vAlign w:val="bottom"/>
            <w:tcBorders>
              <w:top w:val="single" w:sz="8" w:color="auto"/>
              <w:right w:val="single" w:sz="8" w:color="auto"/>
            </w:tcBorders>
          </w:tcPr>
          <w:p>
            <w:pPr>
              <w:spacing w:after="0"/>
              <w:rPr>
                <w:sz w:val="10"/>
                <w:szCs w:val="10"/>
                <w:color w:val="auto"/>
              </w:rPr>
            </w:pPr>
          </w:p>
        </w:tc>
        <w:tc>
          <w:tcPr>
            <w:tcW w:w="820" w:type="dxa"/>
            <w:vAlign w:val="bottom"/>
            <w:tcBorders>
              <w:top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color w:val="auto"/>
                <w:w w:val="94"/>
              </w:rPr>
              <w:t>Proposed</w:t>
            </w: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Maximum</w:t>
            </w:r>
          </w:p>
        </w:tc>
        <w:tc>
          <w:tcPr>
            <w:tcW w:w="1080" w:type="dxa"/>
            <w:vAlign w:val="bottom"/>
            <w:tcBorders>
              <w:top w:val="single" w:sz="8" w:color="auto"/>
              <w:right w:val="single" w:sz="8" w:color="auto"/>
            </w:tcBorders>
          </w:tcPr>
          <w:p>
            <w:pPr>
              <w:spacing w:after="0"/>
              <w:rPr>
                <w:sz w:val="10"/>
                <w:szCs w:val="10"/>
                <w:color w:val="auto"/>
              </w:rPr>
            </w:pPr>
          </w:p>
        </w:tc>
        <w:tc>
          <w:tcPr>
            <w:tcW w:w="9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22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11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10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88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color w:val="auto"/>
                <w:w w:val="95"/>
              </w:rPr>
              <w:t>Security Type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jc w:val="center"/>
              <w:ind w:left="39"/>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3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Common Stock,</w:t>
            </w:r>
          </w:p>
        </w:tc>
        <w:tc>
          <w:tcPr>
            <w:tcW w:w="9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457(c) and</w:t>
            </w: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 </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457(h)(1) </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2,000,000 (2)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$3.76 (3)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$7,520,000.00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$1,151.32</w:t>
            </w:r>
          </w:p>
        </w:tc>
        <w:tc>
          <w:tcPr>
            <w:tcW w:w="0" w:type="dxa"/>
            <w:vAlign w:val="bottom"/>
          </w:tcPr>
          <w:p>
            <w:pPr>
              <w:spacing w:after="0"/>
              <w:rPr>
                <w:sz w:val="1"/>
                <w:szCs w:val="1"/>
                <w:color w:val="auto"/>
              </w:rPr>
            </w:pPr>
          </w:p>
        </w:tc>
      </w:tr>
      <w:tr>
        <w:trPr>
          <w:trHeight w:val="211"/>
        </w:trPr>
        <w:tc>
          <w:tcPr>
            <w:tcW w:w="880" w:type="dxa"/>
            <w:vAlign w:val="bottom"/>
            <w:tcBorders>
              <w:left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Equity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9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457(c) and</w:t>
            </w: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 </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457(h)(1) </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428,571 (4)</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$3.20 (5)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$1,371,427.20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$209.97</w:t>
            </w:r>
          </w:p>
        </w:tc>
        <w:tc>
          <w:tcPr>
            <w:tcW w:w="0" w:type="dxa"/>
            <w:vAlign w:val="bottom"/>
          </w:tcPr>
          <w:p>
            <w:pPr>
              <w:spacing w:after="0"/>
              <w:rPr>
                <w:sz w:val="1"/>
                <w:szCs w:val="1"/>
                <w:color w:val="auto"/>
              </w:rPr>
            </w:pPr>
          </w:p>
        </w:tc>
      </w:tr>
      <w:tr>
        <w:trPr>
          <w:trHeight w:val="239"/>
        </w:trPr>
        <w:tc>
          <w:tcPr>
            <w:tcW w:w="88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ind w:left="337"/>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$8,891,427.20 </w:t>
            </w: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$1,361.29</w:t>
            </w: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ind w:left="31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6"/>
        </w:trPr>
        <w:tc>
          <w:tcPr>
            <w:tcW w:w="88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ind w:left="317"/>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$1,361.29</w:t>
            </w:r>
          </w:p>
        </w:tc>
        <w:tc>
          <w:tcPr>
            <w:tcW w:w="0" w:type="dxa"/>
            <w:vAlign w:val="bottom"/>
          </w:tcPr>
          <w:p>
            <w:pPr>
              <w:spacing w:after="0"/>
              <w:rPr>
                <w:sz w:val="1"/>
                <w:szCs w:val="1"/>
                <w:color w:val="auto"/>
              </w:rPr>
            </w:pPr>
          </w:p>
        </w:tc>
      </w:tr>
    </w:tbl>
    <w:p>
      <w:pPr>
        <w:ind w:left="424" w:right="4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“Act”), this registration statement shall be deemed to cover any additional securities that may from time to time be offered or issued to prevent dilution resulting from stock splits, stock dividends or similar transactions. Pursuant to Rule 416(c) under the Act, this registration statement shall also cover an indeterminate amount of interests to be offered or sold pursuant to the employee benefit plans described herein.</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2,000,000 shares issuable under the registrant’s 2019 Stock Incentive Plan.</w:t>
      </w:r>
    </w:p>
    <w:p>
      <w:pPr>
        <w:spacing w:after="0" w:line="9" w:lineRule="exact"/>
        <w:rPr>
          <w:rFonts w:ascii="Times New Roman" w:cs="Times New Roman" w:eastAsia="Times New Roman" w:hAnsi="Times New Roman"/>
          <w:sz w:val="18"/>
          <w:szCs w:val="18"/>
          <w:color w:val="auto"/>
        </w:rPr>
      </w:pPr>
    </w:p>
    <w:p>
      <w:pPr>
        <w:jc w:val="both"/>
        <w:ind w:left="424" w:right="200" w:hanging="424"/>
        <w:spacing w:after="0" w:line="265" w:lineRule="auto"/>
        <w:tabs>
          <w:tab w:leader="none" w:pos="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 457(c) and (h)(1) of the Act, and based on $3.76, the average of the high and low sale prices of the registrant’s common stock as reported on the Nasdaq Global Market on February 19, 2025.</w:t>
      </w: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428,571 shares issuable under the registrant’s 2019 Employee Stock Purchase Plan.</w:t>
      </w:r>
    </w:p>
    <w:p>
      <w:pPr>
        <w:spacing w:after="0" w:line="9" w:lineRule="exact"/>
        <w:rPr>
          <w:rFonts w:ascii="Times New Roman" w:cs="Times New Roman" w:eastAsia="Times New Roman" w:hAnsi="Times New Roman"/>
          <w:sz w:val="18"/>
          <w:szCs w:val="18"/>
          <w:color w:val="auto"/>
        </w:rPr>
      </w:pPr>
    </w:p>
    <w:p>
      <w:pPr>
        <w:jc w:val="both"/>
        <w:ind w:left="424" w:right="240" w:hanging="424"/>
        <w:spacing w:after="0" w:line="25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(h)(1) of the Securities Act, and based on 85% of $3.76, the average of the high and low sale prices of the registrant’s common stock as reported on the Nasdaq Global Market on February 19, 2025.</w:t>
      </w:r>
    </w:p>
    <w:sectPr>
      <w:pgSz w:w="11900" w:h="16838" w:orient="portrait"/>
      <w:cols w:equalWidth="0" w:num="1">
        <w:col w:w="10484"/>
      </w:cols>
      <w:pgMar w:left="97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jpeg"/><Relationship Id="rId37" Type="http://schemas.openxmlformats.org/officeDocument/2006/relationships/image" Target="media/image17.png"/><Relationship Id="rId19" Type="http://schemas.openxmlformats.org/officeDocument/2006/relationships/hyperlink" Target="http://www.sec.gov/Archives/edgar/data/1680581/000119312519228520/d788707ds8.htm" TargetMode="External"/><Relationship Id="rId20" Type="http://schemas.openxmlformats.org/officeDocument/2006/relationships/hyperlink" Target="http://www.sec.gov/Archives/edgar/data/1680581/000119312520063092/d892970ds8.htm" TargetMode="External"/><Relationship Id="rId21" Type="http://schemas.openxmlformats.org/officeDocument/2006/relationships/hyperlink" Target="http://www.sec.gov/Archives/edgar/data/1680581/000119312521068461/d336358ds8.htm" TargetMode="External"/><Relationship Id="rId22" Type="http://schemas.openxmlformats.org/officeDocument/2006/relationships/hyperlink" Target="http://www.sec.gov/Archives/edgar/data/1680581/000119312522018556/d292390ds8.htm" TargetMode="External"/><Relationship Id="rId23" Type="http://schemas.openxmlformats.org/officeDocument/2006/relationships/hyperlink" Target="http://www.sec.gov/Archives/edgar/data/1680581/000119312523065374/d474974ds8.htm" TargetMode="External"/><Relationship Id="rId24" Type="http://schemas.openxmlformats.org/officeDocument/2006/relationships/hyperlink" Target="http://www.sec.gov/Archives/edgar/data/1680581/000119312524048113/d788628ds8.htm" TargetMode="External"/><Relationship Id="rId26" Type="http://schemas.openxmlformats.org/officeDocument/2006/relationships/hyperlink" Target="http://www.sec.gov/Archives/edgar/data/1680581/000104746919004324/a2239321zex-3_1.htm" TargetMode="External"/><Relationship Id="rId27" Type="http://schemas.openxmlformats.org/officeDocument/2006/relationships/hyperlink" Target="http://www.sec.gov/Archives/edgar/data/1680581/000119312523164435/d463131dex31.htm" TargetMode="External"/><Relationship Id="rId28" Type="http://schemas.openxmlformats.org/officeDocument/2006/relationships/hyperlink" Target="http://www.sec.gov/Archives/edgar/data/1680581/000104746919004324/a2239321zex-3_2.htm" TargetMode="External"/><Relationship Id="rId29" Type="http://schemas.openxmlformats.org/officeDocument/2006/relationships/hyperlink" Target="http://www.sec.gov/Archives/edgar/data/1680581/000104746919004014/a2239182zex-10_6.htm" TargetMode="External"/><Relationship Id="rId30" Type="http://schemas.openxmlformats.org/officeDocument/2006/relationships/hyperlink" Target="http://www.sec.gov/Archives/edgar/data/1680581/000104746919004014/a2239182zex-10_7.htm" TargetMode="External"/><Relationship Id="rId31" Type="http://schemas.openxmlformats.org/officeDocument/2006/relationships/hyperlink" Target="http://www.sec.gov/Archives/edgar/data/1680581/000095017022002727/fulc-ex10_10.htm" TargetMode="External"/><Relationship Id="rId32" Type="http://schemas.openxmlformats.org/officeDocument/2006/relationships/hyperlink" Target="http://www.sec.gov/Archives/edgar/data/1680581/000104746919004014/a2239182z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2025-02-25T06:24:39Z</dcterms:created>
  <dcterms:modified xsi:type="dcterms:W3CDTF">2025-02-25T06:24:39Z</dcterms:modified>
</cp:coreProperties>
</file>