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June 21, 2019</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FULCRUM THERAPEUTICS,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100" w:type="dxa"/>
        <w:tblCellMar>
          <w:top w:w="0" w:type="dxa"/>
          <w:left w:w="0" w:type="dxa"/>
          <w:bottom w:w="0" w:type="dxa"/>
          <w:right w:w="0" w:type="dxa"/>
        </w:tblCellMar>
      </w:tblPr>
      <w:tr>
        <w:trPr>
          <w:trHeight w:val="161"/>
        </w:trPr>
        <w:tc>
          <w:tcPr>
            <w:tcW w:w="170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47-4839948</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0"/>
              </w:rPr>
              <w:t>(State or other jurisdiction of</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8"/>
              </w:rPr>
              <w:t>incorporation or</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0"/>
              </w:rPr>
              <w:t>Identification Number)</w:t>
            </w:r>
          </w:p>
        </w:tc>
      </w:tr>
      <w:tr>
        <w:trPr>
          <w:trHeight w:val="172"/>
        </w:trPr>
        <w:tc>
          <w:tcPr>
            <w:tcW w:w="1700" w:type="dxa"/>
            <w:vAlign w:val="bottom"/>
          </w:tcPr>
          <w:p>
            <w:pPr>
              <w:jc w:val="center"/>
              <w:ind w:right="52"/>
              <w:spacing w:after="0"/>
              <w:rPr>
                <w:sz w:val="20"/>
                <w:szCs w:val="20"/>
                <w:color w:val="auto"/>
              </w:rPr>
            </w:pPr>
            <w:r>
              <w:rPr>
                <w:rFonts w:ascii="Arial" w:cs="Arial" w:eastAsia="Arial" w:hAnsi="Arial"/>
                <w:sz w:val="14"/>
                <w:szCs w:val="14"/>
                <w:color w:val="auto"/>
                <w:w w:val="86"/>
              </w:rPr>
              <w:t>organization)</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26 Landsdowne Street</w:t>
      </w:r>
    </w:p>
    <w:p>
      <w:pPr>
        <w:jc w:val="center"/>
        <w:ind w:right="-19"/>
        <w:spacing w:after="0" w:line="223" w:lineRule="auto"/>
        <w:rPr>
          <w:sz w:val="20"/>
          <w:szCs w:val="20"/>
          <w:color w:val="auto"/>
        </w:rPr>
      </w:pPr>
      <w:r>
        <w:rPr>
          <w:rFonts w:ascii="Arial" w:cs="Arial" w:eastAsia="Arial" w:hAnsi="Arial"/>
          <w:sz w:val="14"/>
          <w:szCs w:val="14"/>
          <w:b w:val="1"/>
          <w:bCs w:val="1"/>
          <w:color w:val="auto"/>
        </w:rPr>
        <w:t>Cambridge, Massachusetts 02139</w:t>
      </w:r>
    </w:p>
    <w:p>
      <w:pPr>
        <w:jc w:val="center"/>
        <w:ind w:right="-19"/>
        <w:spacing w:after="0" w:line="222" w:lineRule="auto"/>
        <w:rPr>
          <w:sz w:val="20"/>
          <w:szCs w:val="20"/>
          <w:color w:val="auto"/>
        </w:rPr>
      </w:pPr>
      <w:r>
        <w:rPr>
          <w:rFonts w:ascii="Arial" w:cs="Arial" w:eastAsia="Arial" w:hAnsi="Arial"/>
          <w:sz w:val="14"/>
          <w:szCs w:val="14"/>
          <w:b w:val="1"/>
          <w:bCs w:val="1"/>
          <w:color w:val="auto"/>
        </w:rPr>
        <w:t>(617) 651-8851</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Robert J. Gould, Ph.D.</w:t>
      </w:r>
    </w:p>
    <w:p>
      <w:pPr>
        <w:jc w:val="center"/>
        <w:ind w:right="-1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9"/>
        <w:spacing w:after="0" w:line="222" w:lineRule="auto"/>
        <w:rPr>
          <w:sz w:val="20"/>
          <w:szCs w:val="20"/>
          <w:color w:val="auto"/>
        </w:rPr>
      </w:pPr>
      <w:r>
        <w:rPr>
          <w:rFonts w:ascii="Arial" w:cs="Arial" w:eastAsia="Arial" w:hAnsi="Arial"/>
          <w:sz w:val="14"/>
          <w:szCs w:val="14"/>
          <w:b w:val="1"/>
          <w:bCs w:val="1"/>
          <w:color w:val="auto"/>
        </w:rPr>
        <w:t>Fulcrum Therapeutics, Inc.</w:t>
      </w:r>
    </w:p>
    <w:p>
      <w:pPr>
        <w:jc w:val="center"/>
        <w:ind w:right="-19"/>
        <w:spacing w:after="0" w:line="221" w:lineRule="auto"/>
        <w:rPr>
          <w:sz w:val="20"/>
          <w:szCs w:val="20"/>
          <w:color w:val="auto"/>
        </w:rPr>
      </w:pPr>
      <w:r>
        <w:rPr>
          <w:rFonts w:ascii="Arial" w:cs="Arial" w:eastAsia="Arial" w:hAnsi="Arial"/>
          <w:sz w:val="14"/>
          <w:szCs w:val="14"/>
          <w:b w:val="1"/>
          <w:bCs w:val="1"/>
          <w:color w:val="auto"/>
        </w:rPr>
        <w:t>26 Landsdowne Street</w:t>
      </w:r>
    </w:p>
    <w:p>
      <w:pPr>
        <w:jc w:val="center"/>
        <w:ind w:right="-19"/>
        <w:spacing w:after="0" w:line="222" w:lineRule="auto"/>
        <w:rPr>
          <w:sz w:val="20"/>
          <w:szCs w:val="20"/>
          <w:color w:val="auto"/>
        </w:rPr>
      </w:pPr>
      <w:r>
        <w:rPr>
          <w:rFonts w:ascii="Arial" w:cs="Arial" w:eastAsia="Arial" w:hAnsi="Arial"/>
          <w:sz w:val="14"/>
          <w:szCs w:val="14"/>
          <w:b w:val="1"/>
          <w:bCs w:val="1"/>
          <w:color w:val="auto"/>
        </w:rPr>
        <w:t>Cambridge, Massachusetts 02139</w:t>
      </w:r>
    </w:p>
    <w:p>
      <w:pPr>
        <w:jc w:val="center"/>
        <w:ind w:right="-19"/>
        <w:spacing w:after="0" w:line="221" w:lineRule="auto"/>
        <w:rPr>
          <w:sz w:val="20"/>
          <w:szCs w:val="20"/>
          <w:color w:val="auto"/>
        </w:rPr>
      </w:pPr>
      <w:r>
        <w:rPr>
          <w:rFonts w:ascii="Arial" w:cs="Arial" w:eastAsia="Arial" w:hAnsi="Arial"/>
          <w:sz w:val="14"/>
          <w:szCs w:val="14"/>
          <w:b w:val="1"/>
          <w:bCs w:val="1"/>
          <w:color w:val="auto"/>
        </w:rPr>
        <w:t>(617) 651-8851</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1360" w:type="dxa"/>
        <w:tblCellMar>
          <w:top w:w="0" w:type="dxa"/>
          <w:left w:w="0" w:type="dxa"/>
          <w:bottom w:w="0" w:type="dxa"/>
          <w:right w:w="0" w:type="dxa"/>
        </w:tblCellMar>
      </w:tblPr>
      <w:tr>
        <w:trPr>
          <w:trHeight w:val="174"/>
        </w:trPr>
        <w:tc>
          <w:tcPr>
            <w:tcW w:w="320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4"/>
              </w:rPr>
              <w:t>Copies to:</w:t>
            </w:r>
          </w:p>
        </w:tc>
        <w:tc>
          <w:tcPr>
            <w:tcW w:w="2840" w:type="dxa"/>
            <w:vAlign w:val="bottom"/>
          </w:tcPr>
          <w:p>
            <w:pPr>
              <w:spacing w:after="0"/>
              <w:rPr>
                <w:sz w:val="15"/>
                <w:szCs w:val="15"/>
                <w:color w:val="auto"/>
              </w:rPr>
            </w:pPr>
          </w:p>
        </w:tc>
      </w:tr>
      <w:tr>
        <w:trPr>
          <w:trHeight w:val="366"/>
        </w:trPr>
        <w:tc>
          <w:tcPr>
            <w:tcW w:w="3200" w:type="dxa"/>
            <w:vAlign w:val="bottom"/>
          </w:tcPr>
          <w:p>
            <w:pPr>
              <w:jc w:val="center"/>
              <w:ind w:right="1132"/>
              <w:spacing w:after="0"/>
              <w:rPr>
                <w:sz w:val="20"/>
                <w:szCs w:val="20"/>
                <w:color w:val="auto"/>
              </w:rPr>
            </w:pPr>
            <w:r>
              <w:rPr>
                <w:rFonts w:ascii="Arial" w:cs="Arial" w:eastAsia="Arial" w:hAnsi="Arial"/>
                <w:sz w:val="14"/>
                <w:szCs w:val="14"/>
                <w:b w:val="1"/>
                <w:bCs w:val="1"/>
                <w:color w:val="auto"/>
                <w:w w:val="90"/>
              </w:rPr>
              <w:t>Lia Der Marderosian, Esq.</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Bryan Stuart</w:t>
            </w:r>
          </w:p>
        </w:tc>
        <w:tc>
          <w:tcPr>
            <w:tcW w:w="2840" w:type="dxa"/>
            <w:vAlign w:val="bottom"/>
          </w:tcPr>
          <w:p>
            <w:pPr>
              <w:jc w:val="center"/>
              <w:ind w:left="1512"/>
              <w:spacing w:after="0"/>
              <w:rPr>
                <w:sz w:val="20"/>
                <w:szCs w:val="20"/>
                <w:color w:val="auto"/>
              </w:rPr>
            </w:pPr>
            <w:r>
              <w:rPr>
                <w:rFonts w:ascii="Arial" w:cs="Arial" w:eastAsia="Arial" w:hAnsi="Arial"/>
                <w:sz w:val="14"/>
                <w:szCs w:val="14"/>
                <w:b w:val="1"/>
                <w:bCs w:val="1"/>
                <w:color w:val="auto"/>
                <w:w w:val="91"/>
              </w:rPr>
              <w:t>Patrick O'Brien, Esq.</w:t>
            </w:r>
          </w:p>
        </w:tc>
      </w:tr>
      <w:tr>
        <w:trPr>
          <w:trHeight w:val="149"/>
        </w:trPr>
        <w:tc>
          <w:tcPr>
            <w:tcW w:w="3200" w:type="dxa"/>
            <w:vAlign w:val="bottom"/>
          </w:tcPr>
          <w:p>
            <w:pPr>
              <w:jc w:val="center"/>
              <w:ind w:right="1152"/>
              <w:spacing w:after="0" w:line="149" w:lineRule="exact"/>
              <w:rPr>
                <w:sz w:val="20"/>
                <w:szCs w:val="20"/>
                <w:color w:val="auto"/>
              </w:rPr>
            </w:pPr>
            <w:r>
              <w:rPr>
                <w:rFonts w:ascii="Arial" w:cs="Arial" w:eastAsia="Arial" w:hAnsi="Arial"/>
                <w:sz w:val="14"/>
                <w:szCs w:val="14"/>
                <w:b w:val="1"/>
                <w:bCs w:val="1"/>
                <w:color w:val="auto"/>
                <w:w w:val="84"/>
              </w:rPr>
              <w:t>Steven D. Singer, Esq.</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Chief Operating Officer</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7"/>
              </w:rPr>
              <w:t>Emily Oldshue, Esq.</w:t>
            </w:r>
          </w:p>
        </w:tc>
      </w:tr>
      <w:tr>
        <w:trPr>
          <w:trHeight w:val="149"/>
        </w:trPr>
        <w:tc>
          <w:tcPr>
            <w:tcW w:w="3200" w:type="dxa"/>
            <w:vAlign w:val="bottom"/>
          </w:tcPr>
          <w:p>
            <w:pPr>
              <w:jc w:val="center"/>
              <w:ind w:right="1132"/>
              <w:spacing w:after="0" w:line="149" w:lineRule="exact"/>
              <w:rPr>
                <w:sz w:val="20"/>
                <w:szCs w:val="20"/>
                <w:color w:val="auto"/>
              </w:rPr>
            </w:pPr>
            <w:r>
              <w:rPr>
                <w:rFonts w:ascii="Arial" w:cs="Arial" w:eastAsia="Arial" w:hAnsi="Arial"/>
                <w:sz w:val="14"/>
                <w:szCs w:val="14"/>
                <w:b w:val="1"/>
                <w:bCs w:val="1"/>
                <w:color w:val="auto"/>
                <w:w w:val="90"/>
              </w:rPr>
              <w:t>Wilmer Cutler Pickering Hale and</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Fulcrum Therapeutics, Inc.</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92"/>
              </w:rPr>
              <w:t>Ropes &amp; Gray LLP</w:t>
            </w:r>
          </w:p>
        </w:tc>
      </w:tr>
      <w:tr>
        <w:trPr>
          <w:trHeight w:val="149"/>
        </w:trPr>
        <w:tc>
          <w:tcPr>
            <w:tcW w:w="3200" w:type="dxa"/>
            <w:vAlign w:val="bottom"/>
          </w:tcPr>
          <w:p>
            <w:pPr>
              <w:jc w:val="center"/>
              <w:ind w:right="1152"/>
              <w:spacing w:after="0" w:line="149" w:lineRule="exact"/>
              <w:rPr>
                <w:sz w:val="20"/>
                <w:szCs w:val="20"/>
                <w:color w:val="auto"/>
              </w:rPr>
            </w:pPr>
            <w:r>
              <w:rPr>
                <w:rFonts w:ascii="Arial" w:cs="Arial" w:eastAsia="Arial" w:hAnsi="Arial"/>
                <w:sz w:val="14"/>
                <w:szCs w:val="14"/>
                <w:b w:val="1"/>
                <w:bCs w:val="1"/>
                <w:color w:val="auto"/>
                <w:w w:val="96"/>
              </w:rPr>
              <w:t>Dorr LLP</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26 Landsdowne Street</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9"/>
              </w:rPr>
              <w:t>Prudential Tower</w:t>
            </w:r>
          </w:p>
        </w:tc>
      </w:tr>
      <w:tr>
        <w:trPr>
          <w:trHeight w:val="149"/>
        </w:trPr>
        <w:tc>
          <w:tcPr>
            <w:tcW w:w="3200" w:type="dxa"/>
            <w:vAlign w:val="bottom"/>
          </w:tcPr>
          <w:p>
            <w:pPr>
              <w:jc w:val="center"/>
              <w:ind w:right="1132"/>
              <w:spacing w:after="0" w:line="149" w:lineRule="exact"/>
              <w:rPr>
                <w:sz w:val="20"/>
                <w:szCs w:val="20"/>
                <w:color w:val="auto"/>
              </w:rPr>
            </w:pPr>
            <w:r>
              <w:rPr>
                <w:rFonts w:ascii="Arial" w:cs="Arial" w:eastAsia="Arial" w:hAnsi="Arial"/>
                <w:sz w:val="14"/>
                <w:szCs w:val="14"/>
                <w:b w:val="1"/>
                <w:bCs w:val="1"/>
                <w:color w:val="auto"/>
                <w:w w:val="86"/>
              </w:rPr>
              <w:t>60 State Street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Cambridge, Massachusetts 02139</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4"/>
              </w:rPr>
              <w:t>800 Boylston Street</w:t>
            </w:r>
          </w:p>
        </w:tc>
      </w:tr>
      <w:tr>
        <w:trPr>
          <w:trHeight w:val="149"/>
        </w:trPr>
        <w:tc>
          <w:tcPr>
            <w:tcW w:w="3200" w:type="dxa"/>
            <w:vAlign w:val="bottom"/>
          </w:tcPr>
          <w:p>
            <w:pPr>
              <w:jc w:val="center"/>
              <w:ind w:right="1132"/>
              <w:spacing w:after="0" w:line="149" w:lineRule="exact"/>
              <w:rPr>
                <w:sz w:val="20"/>
                <w:szCs w:val="20"/>
                <w:color w:val="auto"/>
              </w:rPr>
            </w:pPr>
            <w:r>
              <w:rPr>
                <w:rFonts w:ascii="Arial" w:cs="Arial" w:eastAsia="Arial" w:hAnsi="Arial"/>
                <w:sz w:val="14"/>
                <w:szCs w:val="14"/>
                <w:b w:val="1"/>
                <w:bCs w:val="1"/>
                <w:color w:val="auto"/>
                <w:w w:val="84"/>
              </w:rPr>
              <w:t>Boston, Massachusetts 02109</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(617) 651-8851</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7"/>
              </w:rPr>
              <w:t>Boston, MA 02199</w:t>
            </w:r>
          </w:p>
        </w:tc>
      </w:tr>
      <w:tr>
        <w:trPr>
          <w:trHeight w:val="174"/>
        </w:trPr>
        <w:tc>
          <w:tcPr>
            <w:tcW w:w="3200" w:type="dxa"/>
            <w:vAlign w:val="bottom"/>
          </w:tcPr>
          <w:p>
            <w:pPr>
              <w:jc w:val="center"/>
              <w:ind w:right="1132"/>
              <w:spacing w:after="0"/>
              <w:rPr>
                <w:sz w:val="20"/>
                <w:szCs w:val="20"/>
                <w:color w:val="auto"/>
              </w:rPr>
            </w:pPr>
            <w:r>
              <w:rPr>
                <w:rFonts w:ascii="Arial" w:cs="Arial" w:eastAsia="Arial" w:hAnsi="Arial"/>
                <w:sz w:val="14"/>
                <w:szCs w:val="14"/>
                <w:b w:val="1"/>
                <w:bCs w:val="1"/>
                <w:color w:val="auto"/>
                <w:w w:val="87"/>
              </w:rPr>
              <w:t>(617) 526-6000</w:t>
            </w:r>
          </w:p>
        </w:tc>
        <w:tc>
          <w:tcPr>
            <w:tcW w:w="2300" w:type="dxa"/>
            <w:vAlign w:val="bottom"/>
          </w:tcPr>
          <w:p>
            <w:pPr>
              <w:spacing w:after="0"/>
              <w:rPr>
                <w:sz w:val="15"/>
                <w:szCs w:val="15"/>
                <w:color w:val="auto"/>
              </w:rPr>
            </w:pPr>
          </w:p>
        </w:tc>
        <w:tc>
          <w:tcPr>
            <w:tcW w:w="2840" w:type="dxa"/>
            <w:vAlign w:val="bottom"/>
          </w:tcPr>
          <w:p>
            <w:pPr>
              <w:jc w:val="center"/>
              <w:ind w:left="1512"/>
              <w:spacing w:after="0"/>
              <w:rPr>
                <w:sz w:val="20"/>
                <w:szCs w:val="20"/>
                <w:color w:val="auto"/>
              </w:rPr>
            </w:pPr>
            <w:r>
              <w:rPr>
                <w:rFonts w:ascii="Arial" w:cs="Arial" w:eastAsia="Arial" w:hAnsi="Arial"/>
                <w:sz w:val="14"/>
                <w:szCs w:val="14"/>
                <w:b w:val="1"/>
                <w:bCs w:val="1"/>
                <w:color w:val="auto"/>
                <w:w w:val="89"/>
              </w:rPr>
              <w:t>(617) 951-7000</w:t>
            </w:r>
          </w:p>
        </w:tc>
      </w:tr>
      <w:tr>
        <w:trPr>
          <w:trHeight w:val="203"/>
        </w:trPr>
        <w:tc>
          <w:tcPr>
            <w:tcW w:w="3200" w:type="dxa"/>
            <w:vAlign w:val="bottom"/>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84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As soon as practicable after this Registration Statement is declared effective.</w:t>
      </w:r>
    </w:p>
    <w:p>
      <w:pPr>
        <w:spacing w:after="0" w:line="192" w:lineRule="exact"/>
        <w:rPr>
          <w:sz w:val="24"/>
          <w:szCs w:val="24"/>
          <w:color w:val="auto"/>
        </w:rPr>
      </w:pPr>
    </w:p>
    <w:p>
      <w:pPr>
        <w:ind w:left="340"/>
        <w:spacing w:after="0"/>
        <w:tabs>
          <w:tab w:leader="none" w:pos="1032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right="20" w:firstLine="344"/>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 w:firstLine="377"/>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77"/>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8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98" w:right="239" w:bottom="171" w:gutter="0" w:footer="0" w:header="0"/>
        </w:sectPr>
      </w:pPr>
    </w:p>
    <w:p>
      <w:pPr>
        <w:spacing w:after="0" w:line="193" w:lineRule="exact"/>
        <w:rPr>
          <w:sz w:val="24"/>
          <w:szCs w:val="24"/>
          <w:color w:val="auto"/>
        </w:rPr>
      </w:pPr>
    </w:p>
    <w:p>
      <w:pPr>
        <w:ind w:left="4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00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112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4">
            <w:col w:w="2760" w:space="720"/>
            <w:col w:w="2000" w:space="720"/>
            <w:col w:w="2420" w:space="720"/>
            <w:col w:w="2080"/>
          </w:cols>
          <w:pgMar w:left="240" w:top="698" w:right="239" w:bottom="171" w:gutter="0" w:footer="0" w:header="0"/>
          <w:type w:val="continuous"/>
        </w:sectPr>
      </w:pPr>
    </w:p>
    <w:p>
      <w:pPr>
        <w:spacing w:after="0" w:line="15" w:lineRule="exact"/>
        <w:rPr>
          <w:sz w:val="24"/>
          <w:szCs w:val="24"/>
          <w:color w:val="auto"/>
        </w:rPr>
      </w:pPr>
    </w:p>
    <w:p>
      <w:pPr>
        <w:ind w:firstLine="338"/>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982980</wp:posOffset>
            </wp:positionH>
            <wp:positionV relativeFrom="paragraph">
              <wp:posOffset>292100</wp:posOffset>
            </wp:positionV>
            <wp:extent cx="5291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309245</wp:posOffset>
            </wp:positionV>
            <wp:extent cx="5291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38" w:orient="portrait"/>
          <w:cols w:equalWidth="0" w:num="1">
            <w:col w:w="11420"/>
          </w:cols>
          <w:pgMar w:left="240" w:top="698" w:right="239" w:bottom="171" w:gutter="0" w:footer="0" w:header="0"/>
          <w:type w:val="continuous"/>
        </w:sectPr>
      </w:pPr>
    </w:p>
    <w:bookmarkStart w:id="1" w:name="page2"/>
    <w:bookmarkEnd w:id="1"/>
    <w:tbl>
      <w:tblPr>
        <w:tblLayout w:type="fixed"/>
        <w:tblInd w:w="1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jc w:val="center"/>
              <w:ind w:left="692"/>
              <w:spacing w:after="0"/>
              <w:rPr>
                <w:sz w:val="20"/>
                <w:szCs w:val="20"/>
                <w:color w:val="auto"/>
              </w:rPr>
            </w:pPr>
            <w:r>
              <w:rPr>
                <w:rFonts w:ascii="Arial" w:cs="Arial" w:eastAsia="Arial" w:hAnsi="Arial"/>
                <w:sz w:val="14"/>
                <w:szCs w:val="14"/>
                <w:b w:val="1"/>
                <w:bCs w:val="1"/>
                <w:color w:val="auto"/>
                <w:w w:val="85"/>
              </w:rPr>
              <w:t>Title of Each Class of Securities</w:t>
            </w:r>
          </w:p>
        </w:tc>
        <w:tc>
          <w:tcPr>
            <w:tcW w:w="2340" w:type="dxa"/>
            <w:vAlign w:val="bottom"/>
          </w:tcPr>
          <w:p>
            <w:pPr>
              <w:jc w:val="center"/>
              <w:ind w:left="772"/>
              <w:spacing w:after="0"/>
              <w:rPr>
                <w:sz w:val="20"/>
                <w:szCs w:val="20"/>
                <w:color w:val="auto"/>
              </w:rPr>
            </w:pPr>
            <w:r>
              <w:rPr>
                <w:rFonts w:ascii="Arial" w:cs="Arial" w:eastAsia="Arial" w:hAnsi="Arial"/>
                <w:sz w:val="14"/>
                <w:szCs w:val="14"/>
                <w:b w:val="1"/>
                <w:bCs w:val="1"/>
                <w:color w:val="auto"/>
                <w:w w:val="88"/>
              </w:rPr>
              <w:t>Proposed Maximum</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166"/>
        </w:trPr>
        <w:tc>
          <w:tcPr>
            <w:tcW w:w="20" w:type="dxa"/>
            <w:vAlign w:val="bottom"/>
          </w:tcPr>
          <w:p>
            <w:pPr>
              <w:spacing w:after="0"/>
              <w:rPr>
                <w:sz w:val="14"/>
                <w:szCs w:val="14"/>
                <w:color w:val="auto"/>
              </w:rPr>
            </w:pPr>
          </w:p>
        </w:tc>
        <w:tc>
          <w:tcPr>
            <w:tcW w:w="4620" w:type="dxa"/>
            <w:vAlign w:val="bottom"/>
          </w:tcPr>
          <w:p>
            <w:pPr>
              <w:jc w:val="center"/>
              <w:ind w:left="692"/>
              <w:spacing w:after="0"/>
              <w:rPr>
                <w:sz w:val="20"/>
                <w:szCs w:val="20"/>
                <w:color w:val="auto"/>
              </w:rPr>
            </w:pPr>
            <w:r>
              <w:rPr>
                <w:rFonts w:ascii="Arial" w:cs="Arial" w:eastAsia="Arial" w:hAnsi="Arial"/>
                <w:sz w:val="14"/>
                <w:szCs w:val="14"/>
                <w:b w:val="1"/>
                <w:bCs w:val="1"/>
                <w:color w:val="auto"/>
                <w:w w:val="84"/>
              </w:rPr>
              <w:t>to Be Registered</w:t>
            </w:r>
          </w:p>
        </w:tc>
        <w:tc>
          <w:tcPr>
            <w:tcW w:w="2340" w:type="dxa"/>
            <w:vAlign w:val="bottom"/>
          </w:tcPr>
          <w:p>
            <w:pPr>
              <w:jc w:val="center"/>
              <w:ind w:left="792"/>
              <w:spacing w:after="0"/>
              <w:rPr>
                <w:sz w:val="20"/>
                <w:szCs w:val="20"/>
                <w:color w:val="auto"/>
              </w:rPr>
            </w:pPr>
            <w:r>
              <w:rPr>
                <w:rFonts w:ascii="Arial" w:cs="Arial" w:eastAsia="Arial" w:hAnsi="Arial"/>
                <w:sz w:val="14"/>
                <w:szCs w:val="14"/>
                <w:b w:val="1"/>
                <w:bCs w:val="1"/>
                <w:color w:val="auto"/>
                <w:w w:val="87"/>
              </w:rPr>
              <w:t>Aggregate Offering</w:t>
            </w:r>
          </w:p>
        </w:tc>
        <w:tc>
          <w:tcPr>
            <w:tcW w:w="1360" w:type="dxa"/>
            <w:vAlign w:val="bottom"/>
          </w:tcPr>
          <w:p>
            <w:pPr>
              <w:jc w:val="center"/>
              <w:ind w:left="15"/>
              <w:spacing w:after="0" w:line="166" w:lineRule="exact"/>
              <w:rPr>
                <w:sz w:val="20"/>
                <w:szCs w:val="20"/>
                <w:color w:val="auto"/>
              </w:rPr>
            </w:pPr>
            <w:r>
              <w:rPr>
                <w:rFonts w:ascii="Arial" w:cs="Arial" w:eastAsia="Arial" w:hAnsi="Arial"/>
                <w:sz w:val="12"/>
                <w:szCs w:val="12"/>
                <w:b w:val="1"/>
                <w:bCs w:val="1"/>
                <w:color w:val="auto"/>
                <w:w w:val="98"/>
              </w:rPr>
              <w:t>Registration Fee</w:t>
            </w:r>
            <w:r>
              <w:rPr>
                <w:rFonts w:ascii="Arial" w:cs="Arial" w:eastAsia="Arial" w:hAnsi="Arial"/>
                <w:sz w:val="19"/>
                <w:szCs w:val="19"/>
                <w:b w:val="1"/>
                <w:bCs w:val="1"/>
                <w:color w:val="auto"/>
                <w:w w:val="98"/>
                <w:vertAlign w:val="superscript"/>
              </w:rPr>
              <w:t>(2)</w:t>
            </w:r>
          </w:p>
        </w:tc>
      </w:tr>
      <w:tr>
        <w:trPr>
          <w:trHeight w:val="203"/>
        </w:trPr>
        <w:tc>
          <w:tcPr>
            <w:tcW w:w="20" w:type="dxa"/>
            <w:vAlign w:val="bottom"/>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center"/>
              <w:ind w:left="772"/>
              <w:spacing w:after="0" w:line="203" w:lineRule="exact"/>
              <w:rPr>
                <w:sz w:val="20"/>
                <w:szCs w:val="20"/>
                <w:color w:val="auto"/>
              </w:rPr>
            </w:pPr>
            <w:r>
              <w:rPr>
                <w:rFonts w:ascii="Arial" w:cs="Arial" w:eastAsia="Arial" w:hAnsi="Arial"/>
                <w:sz w:val="14"/>
                <w:szCs w:val="14"/>
                <w:b w:val="1"/>
                <w:bCs w:val="1"/>
                <w:color w:val="auto"/>
                <w:w w:val="80"/>
              </w:rPr>
              <w:t>Price</w:t>
            </w:r>
            <w:r>
              <w:rPr>
                <w:rFonts w:ascii="Arial" w:cs="Arial" w:eastAsia="Arial" w:hAnsi="Arial"/>
                <w:sz w:val="22"/>
                <w:szCs w:val="22"/>
                <w:b w:val="1"/>
                <w:bCs w:val="1"/>
                <w:color w:val="auto"/>
                <w:w w:val="80"/>
                <w:vertAlign w:val="superscript"/>
              </w:rPr>
              <w:t>(1)</w:t>
            </w:r>
          </w:p>
        </w:tc>
        <w:tc>
          <w:tcPr>
            <w:tcW w:w="1360" w:type="dxa"/>
            <w:vAlign w:val="bottom"/>
            <w:tcBorders>
              <w:bottom w:val="single" w:sz="8" w:color="auto"/>
            </w:tcBorders>
          </w:tcPr>
          <w:p>
            <w:pPr>
              <w:spacing w:after="0"/>
              <w:rPr>
                <w:sz w:val="17"/>
                <w:szCs w:val="17"/>
                <w:color w:val="auto"/>
              </w:rPr>
            </w:pPr>
          </w:p>
        </w:tc>
      </w:tr>
      <w:tr>
        <w:trPr>
          <w:trHeight w:val="167"/>
        </w:trPr>
        <w:tc>
          <w:tcPr>
            <w:tcW w:w="2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par value $0.001 per share</w:t>
            </w:r>
          </w:p>
        </w:tc>
        <w:tc>
          <w:tcPr>
            <w:tcW w:w="2340" w:type="dxa"/>
            <w:vAlign w:val="bottom"/>
            <w:tcBorders>
              <w:bottom w:val="single" w:sz="8" w:color="auto"/>
            </w:tcBorders>
          </w:tcPr>
          <w:p>
            <w:pPr>
              <w:jc w:val="center"/>
              <w:ind w:left="792"/>
              <w:spacing w:after="0"/>
              <w:rPr>
                <w:sz w:val="20"/>
                <w:szCs w:val="20"/>
                <w:color w:val="auto"/>
              </w:rPr>
            </w:pPr>
            <w:r>
              <w:rPr>
                <w:rFonts w:ascii="Arial" w:cs="Arial" w:eastAsia="Arial" w:hAnsi="Arial"/>
                <w:sz w:val="14"/>
                <w:szCs w:val="14"/>
                <w:color w:val="auto"/>
                <w:w w:val="87"/>
              </w:rPr>
              <w:t>$86,250,000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$10,453.50</w:t>
            </w:r>
          </w:p>
        </w:tc>
      </w:tr>
      <w:tr>
        <w:trPr>
          <w:trHeight w:val="20"/>
        </w:trPr>
        <w:tc>
          <w:tcPr>
            <w:tcW w:w="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135890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F166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or other jurisdiction where the offer or sale is not permitted.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F1665F"/>
        </w:rPr>
        <w:t>SUBJECT TO COMPLETION, DATED JUNE 21,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1665F"/>
        </w:rPr>
        <w:t>PRELIMINARY PROSPECTUS</w:t>
      </w:r>
    </w:p>
    <w:p>
      <w:pPr>
        <w:spacing w:after="0" w:line="200" w:lineRule="exact"/>
        <w:rPr>
          <w:sz w:val="20"/>
          <w:szCs w:val="20"/>
          <w:color w:val="auto"/>
        </w:rPr>
      </w:pPr>
    </w:p>
    <w:p>
      <w:pPr>
        <w:ind w:left="604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156210</wp:posOffset>
            </wp:positionV>
            <wp:extent cx="2838450" cy="69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845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This is an initial public offering of common stock by Fulcrum Therapeutics, Inc. We are selling offering price is between $ and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of common stock. The estimated initial public</w:t>
      </w:r>
    </w:p>
    <w:p>
      <w:pPr>
        <w:spacing w:after="0" w:line="475" w:lineRule="exact"/>
        <w:rPr>
          <w:sz w:val="20"/>
          <w:szCs w:val="20"/>
          <w:color w:val="auto"/>
        </w:rPr>
      </w:pPr>
    </w:p>
    <w:p>
      <w:pPr>
        <w:sectPr>
          <w:pgSz w:w="11900" w:h="16838" w:orient="portrait"/>
          <w:cols w:equalWidth="0" w:num="2">
            <w:col w:w="6920" w:space="680"/>
            <w:col w:w="3820"/>
          </w:cols>
          <w:pgMar w:left="240" w:top="131" w:right="239" w:bottom="1440" w:gutter="0" w:footer="0" w:header="0"/>
          <w:type w:val="continuous"/>
        </w:sectPr>
      </w:pPr>
    </w:p>
    <w:p>
      <w:pPr>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We have applied to list our common stock on the Nasdaq Global Market under the symbol "FULC."</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2"/>
              </w:rPr>
              <w:t>Per Share</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02"/>
        </w:trPr>
        <w:tc>
          <w:tcPr>
            <w:tcW w:w="7060" w:type="dxa"/>
            <w:vAlign w:val="bottom"/>
            <w:gridSpan w:val="2"/>
            <w:vMerge w:val="continue"/>
          </w:tcPr>
          <w:p>
            <w:pPr>
              <w:spacing w:after="0"/>
              <w:rPr>
                <w:sz w:val="17"/>
                <w:szCs w:val="17"/>
                <w:color w:val="auto"/>
              </w:rPr>
            </w:pPr>
          </w:p>
        </w:tc>
        <w:tc>
          <w:tcPr>
            <w:tcW w:w="560" w:type="dxa"/>
            <w:vAlign w:val="bottom"/>
          </w:tcPr>
          <w:p>
            <w:pPr>
              <w:jc w:val="right"/>
              <w:ind w:right="357"/>
              <w:spacing w:after="0" w:line="202" w:lineRule="exact"/>
              <w:rPr>
                <w:sz w:val="20"/>
                <w:szCs w:val="20"/>
                <w:color w:val="auto"/>
              </w:rPr>
            </w:pPr>
            <w:r>
              <w:rPr>
                <w:rFonts w:ascii="Arial" w:cs="Arial" w:eastAsia="Arial" w:hAnsi="Arial"/>
                <w:sz w:val="18"/>
                <w:szCs w:val="18"/>
                <w:i w:val="1"/>
                <w:iCs w:val="1"/>
                <w:color w:val="auto"/>
                <w:w w:val="99"/>
              </w:rPr>
              <w:t>$</w:t>
            </w:r>
          </w:p>
        </w:tc>
        <w:tc>
          <w:tcPr>
            <w:tcW w:w="660" w:type="dxa"/>
            <w:vAlign w:val="bottom"/>
          </w:tcPr>
          <w:p>
            <w:pPr>
              <w:spacing w:after="0"/>
              <w:rPr>
                <w:sz w:val="17"/>
                <w:szCs w:val="17"/>
                <w:color w:val="auto"/>
              </w:rPr>
            </w:pPr>
          </w:p>
        </w:tc>
        <w:tc>
          <w:tcPr>
            <w:tcW w:w="620" w:type="dxa"/>
            <w:vAlign w:val="bottom"/>
          </w:tcPr>
          <w:p>
            <w:pPr>
              <w:jc w:val="right"/>
              <w:ind w:right="382"/>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5"/>
        </w:trPr>
        <w:tc>
          <w:tcPr>
            <w:tcW w:w="7060" w:type="dxa"/>
            <w:vAlign w:val="bottom"/>
            <w:gridSpan w:val="2"/>
          </w:tcPr>
          <w:p>
            <w:pPr>
              <w:spacing w:after="0" w:line="255" w:lineRule="exact"/>
              <w:rPr>
                <w:sz w:val="20"/>
                <w:szCs w:val="20"/>
                <w:color w:val="auto"/>
              </w:rPr>
            </w:pPr>
            <w:r>
              <w:rPr>
                <w:rFonts w:ascii="Arial" w:cs="Arial" w:eastAsia="Arial" w:hAnsi="Arial"/>
                <w:sz w:val="18"/>
                <w:szCs w:val="18"/>
                <w:i w:val="1"/>
                <w:iCs w:val="1"/>
                <w:color w:val="auto"/>
              </w:rPr>
              <w:t>Underwriting discounts and commissions</w:t>
            </w:r>
            <w:r>
              <w:rPr>
                <w:rFonts w:ascii="Arial" w:cs="Arial" w:eastAsia="Arial" w:hAnsi="Arial"/>
                <w:sz w:val="29"/>
                <w:szCs w:val="29"/>
                <w:i w:val="1"/>
                <w:iCs w:val="1"/>
                <w:color w:val="auto"/>
                <w:vertAlign w:val="superscript"/>
              </w:rPr>
              <w:t>(1)</w:t>
            </w:r>
          </w:p>
        </w:tc>
        <w:tc>
          <w:tcPr>
            <w:tcW w:w="560" w:type="dxa"/>
            <w:vAlign w:val="bottom"/>
          </w:tcPr>
          <w:p>
            <w:pPr>
              <w:jc w:val="right"/>
              <w:ind w:right="357"/>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38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2"/>
        </w:trPr>
        <w:tc>
          <w:tcPr>
            <w:tcW w:w="7060" w:type="dxa"/>
            <w:vAlign w:val="bottom"/>
            <w:gridSpan w:val="2"/>
          </w:tcPr>
          <w:p>
            <w:pPr>
              <w:spacing w:after="0"/>
              <w:rPr>
                <w:sz w:val="20"/>
                <w:szCs w:val="20"/>
                <w:color w:val="auto"/>
              </w:rPr>
            </w:pPr>
            <w:r>
              <w:rPr>
                <w:rFonts w:ascii="Arial" w:cs="Arial" w:eastAsia="Arial" w:hAnsi="Arial"/>
                <w:sz w:val="18"/>
                <w:szCs w:val="18"/>
                <w:i w:val="1"/>
                <w:iCs w:val="1"/>
                <w:color w:val="auto"/>
              </w:rPr>
              <w:t>Proceeds to Fulcrum, before expenses</w:t>
            </w:r>
          </w:p>
        </w:tc>
        <w:tc>
          <w:tcPr>
            <w:tcW w:w="560" w:type="dxa"/>
            <w:vAlign w:val="bottom"/>
          </w:tcPr>
          <w:p>
            <w:pPr>
              <w:jc w:val="right"/>
              <w:ind w:right="357"/>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38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10"/>
        </w:trPr>
        <w:tc>
          <w:tcPr>
            <w:tcW w:w="94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have agreed to reimburse the underwriters for certain FINRA-related expenses. See "Underwriters" on page 196.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We have granted the underwriters the right to purchase up to an additional</w:t>
            </w:r>
          </w:p>
        </w:tc>
        <w:tc>
          <w:tcPr>
            <w:tcW w:w="448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4"/>
              </w:rPr>
              <w:t>shares of common stock. The underwriters may exercise this</w:t>
            </w: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right at any time within 30 days after the date of this prospectus.</w:t>
            </w:r>
          </w:p>
        </w:tc>
        <w:tc>
          <w:tcPr>
            <w:tcW w:w="4480" w:type="dxa"/>
            <w:vAlign w:val="bottom"/>
          </w:tcPr>
          <w:p>
            <w:pPr>
              <w:spacing w:after="0"/>
              <w:rPr>
                <w:sz w:val="19"/>
                <w:szCs w:val="19"/>
                <w:color w:val="auto"/>
              </w:rPr>
            </w:pPr>
          </w:p>
        </w:tc>
      </w:tr>
      <w:tr>
        <w:trPr>
          <w:trHeight w:val="218"/>
        </w:trPr>
        <w:tc>
          <w:tcPr>
            <w:tcW w:w="450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4480" w:type="dxa"/>
            <w:vAlign w:val="bottom"/>
          </w:tcPr>
          <w:p>
            <w:pPr>
              <w:spacing w:after="0"/>
              <w:rPr>
                <w:sz w:val="18"/>
                <w:szCs w:val="18"/>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in our common stock involves risks. See "Risk Factors" beginning on page 10 of this prospectus.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20" w:type="dxa"/>
            <w:vAlign w:val="bottom"/>
            <w:gridSpan w:val="2"/>
          </w:tcPr>
          <w:p>
            <w:pPr>
              <w:spacing w:after="0"/>
              <w:rPr>
                <w:sz w:val="20"/>
                <w:szCs w:val="20"/>
                <w:color w:val="auto"/>
              </w:rPr>
            </w:pPr>
            <w:r>
              <w:rPr>
                <w:rFonts w:ascii="Arial" w:cs="Arial" w:eastAsia="Arial" w:hAnsi="Arial"/>
                <w:sz w:val="18"/>
                <w:szCs w:val="18"/>
                <w:i w:val="1"/>
                <w:iCs w:val="1"/>
                <w:color w:val="auto"/>
                <w:w w:val="96"/>
              </w:rPr>
              <w:t>The underwriters expect to deliver the shares of common stock to purchasers on or about</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 2019.</w:t>
            </w:r>
          </w:p>
        </w:tc>
      </w:tr>
      <w:tr>
        <w:trPr>
          <w:trHeight w:val="218"/>
        </w:trPr>
        <w:tc>
          <w:tcPr>
            <w:tcW w:w="450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bl>
    <w:p>
      <w:pPr>
        <w:spacing w:after="0" w:line="200" w:lineRule="exact"/>
        <w:rPr>
          <w:sz w:val="20"/>
          <w:szCs w:val="20"/>
          <w:color w:val="auto"/>
        </w:rPr>
      </w:pPr>
    </w:p>
    <w:p>
      <w:pPr>
        <w:spacing w:after="0" w:line="319" w:lineRule="exact"/>
        <w:rPr>
          <w:sz w:val="20"/>
          <w:szCs w:val="20"/>
          <w:color w:val="auto"/>
        </w:rPr>
      </w:pPr>
    </w:p>
    <w:p>
      <w:pPr>
        <w:ind w:left="1140"/>
        <w:spacing w:after="0"/>
        <w:tabs>
          <w:tab w:leader="none" w:pos="4800" w:val="left"/>
          <w:tab w:leader="none" w:pos="896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BofA MERRILL LYNCH</w:t>
      </w:r>
      <w:r>
        <w:rPr>
          <w:sz w:val="20"/>
          <w:szCs w:val="20"/>
          <w:color w:val="auto"/>
        </w:rPr>
        <w:tab/>
      </w:r>
      <w:r>
        <w:rPr>
          <w:rFonts w:ascii="Arial" w:cs="Arial" w:eastAsia="Arial" w:hAnsi="Arial"/>
          <w:sz w:val="19"/>
          <w:szCs w:val="19"/>
          <w:i w:val="1"/>
          <w:iCs w:val="1"/>
          <w:color w:val="auto"/>
        </w:rPr>
        <w:t>SVB LEERINK</w:t>
      </w:r>
    </w:p>
    <w:p>
      <w:pPr>
        <w:spacing w:after="0" w:line="200" w:lineRule="exact"/>
        <w:rPr>
          <w:sz w:val="20"/>
          <w:szCs w:val="20"/>
          <w:color w:val="auto"/>
        </w:rPr>
      </w:pPr>
    </w:p>
    <w:p>
      <w:pPr>
        <w:spacing w:after="0" w:line="30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167005</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92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2040" w:type="dxa"/>
            <w:vAlign w:val="bottom"/>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880" w:type="dxa"/>
            <w:vAlign w:val="bottom"/>
            <w:gridSpan w:val="7"/>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3920" w:type="dxa"/>
            <w:vAlign w:val="bottom"/>
            <w:gridSpan w:val="15"/>
          </w:tcPr>
          <w:p>
            <w:pPr>
              <w:spacing w:after="0" w:line="196"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CAUTIONARY NOTE REGARDING FORWARD-</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LOOKING STATEMENTS AND INDUSTRY</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DATA</w:t>
              </w:r>
            </w:hyperlink>
          </w:p>
        </w:tc>
        <w:tc>
          <w:tcPr>
            <w:tcW w:w="440" w:type="dxa"/>
            <w:vAlign w:val="bottom"/>
            <w:gridSpan w:val="5"/>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USE OF PROCEEDS</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DIVIDEND POLICY</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CAPITALIZATION</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DILUTION</w:t>
              </w:r>
            </w:hyperlink>
          </w:p>
        </w:tc>
        <w:tc>
          <w:tcPr>
            <w:tcW w:w="580" w:type="dxa"/>
            <w:vAlign w:val="bottom"/>
            <w:gridSpan w:val="3"/>
          </w:tcPr>
          <w:p>
            <w:pPr>
              <w:spacing w:after="0"/>
              <w:rPr>
                <w:sz w:val="17"/>
                <w:szCs w:val="17"/>
                <w:color w:val="auto"/>
              </w:rPr>
            </w:pPr>
          </w:p>
        </w:tc>
        <w:tc>
          <w:tcPr>
            <w:tcW w:w="2500" w:type="dxa"/>
            <w:vAlign w:val="bottom"/>
            <w:gridSpan w:val="9"/>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760" w:type="dxa"/>
            <w:vAlign w:val="bottom"/>
            <w:gridSpan w:val="13"/>
          </w:tcPr>
          <w:p>
            <w:pPr>
              <w:spacing w:after="0" w:line="19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SELECTED CONSOLIDATED FINANCIAL DATA</w:t>
              </w:r>
            </w:hyperlink>
          </w:p>
        </w:tc>
        <w:tc>
          <w:tcPr>
            <w:tcW w:w="160" w:type="dxa"/>
            <w:vAlign w:val="bottom"/>
            <w:gridSpan w:val="2"/>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3920" w:type="dxa"/>
            <w:vAlign w:val="bottom"/>
            <w:gridSpan w:val="15"/>
          </w:tcPr>
          <w:p>
            <w:pPr>
              <w:spacing w:after="0" w:line="196" w:lineRule="exact"/>
              <w:rPr>
                <w:rFonts w:ascii="Arial" w:cs="Arial" w:eastAsia="Arial" w:hAnsi="Arial"/>
                <w:sz w:val="18"/>
                <w:szCs w:val="18"/>
                <w:color w:val="0000EE"/>
                <w:w w:val="98"/>
              </w:rPr>
            </w:pPr>
            <w:hyperlink w:anchor="page83">
              <w:r>
                <w:rPr>
                  <w:rFonts w:ascii="Arial" w:cs="Arial" w:eastAsia="Arial" w:hAnsi="Arial"/>
                  <w:sz w:val="18"/>
                  <w:szCs w:val="18"/>
                  <w:color w:val="0000EE"/>
                  <w:w w:val="98"/>
                </w:rPr>
                <w:t>MANAGEMENT'S DISCUSSION AND ANALYSIS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OF FINANCIAL CONDITION AND RESULTS</w:t>
              </w:r>
            </w:hyperlink>
          </w:p>
        </w:tc>
        <w:tc>
          <w:tcPr>
            <w:tcW w:w="160" w:type="dxa"/>
            <w:vAlign w:val="bottom"/>
            <w:tcBorders>
              <w:top w:val="single" w:sz="8" w:color="0000EE"/>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360" w:type="dxa"/>
            <w:vAlign w:val="bottom"/>
            <w:gridSpan w:val="6"/>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OF OPERATIONS</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79</w:t>
              </w:r>
            </w:hyperlink>
          </w:p>
        </w:tc>
      </w:tr>
      <w:tr>
        <w:trPr>
          <w:trHeight w:val="20"/>
        </w:trPr>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BUSINESS</w:t>
              </w:r>
            </w:hyperlink>
          </w:p>
        </w:tc>
        <w:tc>
          <w:tcPr>
            <w:tcW w:w="3080" w:type="dxa"/>
            <w:vAlign w:val="bottom"/>
            <w:gridSpan w:val="12"/>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95</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161">
              <w:r>
                <w:rPr>
                  <w:rFonts w:ascii="Arial" w:cs="Arial" w:eastAsia="Arial" w:hAnsi="Arial"/>
                  <w:sz w:val="18"/>
                  <w:szCs w:val="18"/>
                  <w:color w:val="0000EE"/>
                  <w:w w:val="97"/>
                </w:rPr>
                <w:t>MANAGEMENT</w:t>
              </w:r>
            </w:hyperlink>
          </w:p>
        </w:tc>
        <w:tc>
          <w:tcPr>
            <w:tcW w:w="264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61">
              <w:r>
                <w:rPr>
                  <w:rFonts w:ascii="Arial" w:cs="Arial" w:eastAsia="Arial" w:hAnsi="Arial"/>
                  <w:sz w:val="18"/>
                  <w:szCs w:val="18"/>
                  <w:color w:val="0000EE"/>
                  <w:w w:val="86"/>
                </w:rPr>
                <w:t>157</w:t>
              </w:r>
            </w:hyperlink>
          </w:p>
        </w:tc>
      </w:tr>
      <w:tr>
        <w:trPr>
          <w:trHeight w:val="196"/>
        </w:trPr>
        <w:tc>
          <w:tcPr>
            <w:tcW w:w="24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67">
              <w:r>
                <w:rPr>
                  <w:rFonts w:ascii="Arial" w:cs="Arial" w:eastAsia="Arial" w:hAnsi="Arial"/>
                  <w:sz w:val="18"/>
                  <w:szCs w:val="18"/>
                  <w:color w:val="0000EE"/>
                  <w:w w:val="94"/>
                </w:rPr>
                <w:t>EXECUTIVE COMPENSATION</w:t>
              </w:r>
            </w:hyperlink>
          </w:p>
        </w:tc>
        <w:tc>
          <w:tcPr>
            <w:tcW w:w="15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67">
              <w:r>
                <w:rPr>
                  <w:rFonts w:ascii="Arial" w:cs="Arial" w:eastAsia="Arial" w:hAnsi="Arial"/>
                  <w:sz w:val="18"/>
                  <w:szCs w:val="18"/>
                  <w:color w:val="0000EE"/>
                  <w:w w:val="86"/>
                </w:rPr>
                <w:t>163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84">
              <w:r>
                <w:rPr>
                  <w:rFonts w:ascii="Arial" w:cs="Arial" w:eastAsia="Arial" w:hAnsi="Arial"/>
                  <w:sz w:val="18"/>
                  <w:szCs w:val="18"/>
                  <w:color w:val="0000EE"/>
                  <w:w w:val="92"/>
                </w:rPr>
                <w:t>TRANSACTIONS WITH RELATED PERSONS</w:t>
              </w:r>
            </w:hyperlink>
          </w:p>
        </w:tc>
        <w:tc>
          <w:tcPr>
            <w:tcW w:w="560" w:type="dxa"/>
            <w:vAlign w:val="bottom"/>
            <w:gridSpan w:val="3"/>
          </w:tcPr>
          <w:p>
            <w:pPr>
              <w:spacing w:after="0"/>
              <w:rPr>
                <w:sz w:val="17"/>
                <w:szCs w:val="17"/>
                <w:color w:val="auto"/>
              </w:rPr>
            </w:pPr>
          </w:p>
        </w:tc>
        <w:tc>
          <w:tcPr>
            <w:tcW w:w="240" w:type="dxa"/>
            <w:vAlign w:val="bottom"/>
            <w:tcBorders>
              <w:bottom w:val="single" w:sz="8" w:color="0000EE"/>
            </w:tcBorders>
          </w:tcPr>
          <w:p>
            <w:pPr>
              <w:jc w:val="right"/>
              <w:spacing w:after="0"/>
              <w:rPr>
                <w:rFonts w:ascii="Arial" w:cs="Arial" w:eastAsia="Arial" w:hAnsi="Arial"/>
                <w:sz w:val="18"/>
                <w:szCs w:val="18"/>
                <w:color w:val="0000EE"/>
                <w:w w:val="73"/>
              </w:rPr>
            </w:pPr>
            <w:hyperlink w:anchor="page184">
              <w:r>
                <w:rPr>
                  <w:rFonts w:ascii="Arial" w:cs="Arial" w:eastAsia="Arial" w:hAnsi="Arial"/>
                  <w:sz w:val="18"/>
                  <w:szCs w:val="18"/>
                  <w:color w:val="0000EE"/>
                  <w:w w:val="73"/>
                </w:rPr>
                <w:t>180</w:t>
              </w:r>
            </w:hyperlink>
          </w:p>
        </w:tc>
      </w:tr>
      <w:tr>
        <w:trPr>
          <w:trHeight w:val="196"/>
        </w:trPr>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88">
              <w:r>
                <w:rPr>
                  <w:rFonts w:ascii="Arial" w:cs="Arial" w:eastAsia="Arial" w:hAnsi="Arial"/>
                  <w:sz w:val="18"/>
                  <w:szCs w:val="18"/>
                  <w:color w:val="0000EE"/>
                  <w:w w:val="92"/>
                </w:rPr>
                <w:t>PRINCIPAL STOCKHOLDERS</w:t>
              </w:r>
            </w:hyperlink>
          </w:p>
        </w:tc>
        <w:tc>
          <w:tcPr>
            <w:tcW w:w="1720" w:type="dxa"/>
            <w:vAlign w:val="bottom"/>
            <w:gridSpan w:val="9"/>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88">
              <w:r>
                <w:rPr>
                  <w:rFonts w:ascii="Arial" w:cs="Arial" w:eastAsia="Arial" w:hAnsi="Arial"/>
                  <w:sz w:val="18"/>
                  <w:szCs w:val="18"/>
                  <w:color w:val="0000EE"/>
                  <w:w w:val="73"/>
                </w:rPr>
                <w:t>184</w:t>
              </w:r>
            </w:hyperlink>
          </w:p>
        </w:tc>
      </w:tr>
      <w:tr>
        <w:trPr>
          <w:trHeight w:val="196"/>
        </w:trPr>
        <w:tc>
          <w:tcPr>
            <w:tcW w:w="2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90">
              <w:r>
                <w:rPr>
                  <w:rFonts w:ascii="Arial" w:cs="Arial" w:eastAsia="Arial" w:hAnsi="Arial"/>
                  <w:sz w:val="18"/>
                  <w:szCs w:val="18"/>
                  <w:color w:val="0000EE"/>
                  <w:w w:val="92"/>
                </w:rPr>
                <w:t>DESCRIPTION OF CAPITAL STOCK</w:t>
              </w:r>
            </w:hyperlink>
          </w:p>
        </w:tc>
        <w:tc>
          <w:tcPr>
            <w:tcW w:w="1240" w:type="dxa"/>
            <w:vAlign w:val="bottom"/>
            <w:gridSpan w:val="8"/>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90">
              <w:r>
                <w:rPr>
                  <w:rFonts w:ascii="Arial" w:cs="Arial" w:eastAsia="Arial" w:hAnsi="Arial"/>
                  <w:sz w:val="18"/>
                  <w:szCs w:val="18"/>
                  <w:color w:val="0000EE"/>
                  <w:w w:val="73"/>
                </w:rPr>
                <w:t>186</w:t>
              </w:r>
            </w:hyperlink>
          </w:p>
        </w:tc>
      </w:tr>
      <w:tr>
        <w:trPr>
          <w:trHeight w:val="196"/>
        </w:trPr>
        <w:tc>
          <w:tcPr>
            <w:tcW w:w="31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94">
              <w:r>
                <w:rPr>
                  <w:rFonts w:ascii="Arial" w:cs="Arial" w:eastAsia="Arial" w:hAnsi="Arial"/>
                  <w:sz w:val="18"/>
                  <w:szCs w:val="18"/>
                  <w:color w:val="0000EE"/>
                  <w:w w:val="93"/>
                </w:rPr>
                <w:t>SHARES ELIGIBLE FOR FUTURE SALE</w:t>
              </w:r>
            </w:hyperlink>
          </w:p>
        </w:tc>
        <w:tc>
          <w:tcPr>
            <w:tcW w:w="940" w:type="dxa"/>
            <w:vAlign w:val="bottom"/>
            <w:gridSpan w:val="6"/>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94">
              <w:r>
                <w:rPr>
                  <w:rFonts w:ascii="Arial" w:cs="Arial" w:eastAsia="Arial" w:hAnsi="Arial"/>
                  <w:sz w:val="18"/>
                  <w:szCs w:val="18"/>
                  <w:color w:val="0000EE"/>
                  <w:w w:val="73"/>
                </w:rPr>
                <w:t>190</w:t>
              </w:r>
            </w:hyperlink>
          </w:p>
        </w:tc>
      </w:tr>
      <w:tr>
        <w:trPr>
          <w:trHeight w:val="196"/>
        </w:trPr>
        <w:tc>
          <w:tcPr>
            <w:tcW w:w="32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96">
              <w:r>
                <w:rPr>
                  <w:rFonts w:ascii="Arial" w:cs="Arial" w:eastAsia="Arial" w:hAnsi="Arial"/>
                  <w:sz w:val="18"/>
                  <w:szCs w:val="18"/>
                  <w:color w:val="0000EE"/>
                  <w:w w:val="95"/>
                </w:rPr>
                <w:t>MATERIAL U.S. FEDERAL INCOME AND</w:t>
              </w:r>
            </w:hyperlink>
          </w:p>
        </w:tc>
        <w:tc>
          <w:tcPr>
            <w:tcW w:w="8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860" w:type="dxa"/>
            <w:vAlign w:val="bottom"/>
            <w:gridSpan w:val="14"/>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ESTATE TAX CONSIDERATIONS FOR NON-</w:t>
              </w:r>
            </w:hyperlink>
          </w:p>
        </w:tc>
        <w:tc>
          <w:tcPr>
            <w:tcW w:w="2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U.S. HOLDERS OF COMMON STOCK</w:t>
              </w:r>
            </w:hyperlink>
          </w:p>
        </w:tc>
        <w:tc>
          <w:tcPr>
            <w:tcW w:w="440" w:type="dxa"/>
            <w:vAlign w:val="bottom"/>
            <w:gridSpan w:val="2"/>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73"/>
              </w:rPr>
            </w:pPr>
            <w:hyperlink w:anchor="page196">
              <w:r>
                <w:rPr>
                  <w:rFonts w:ascii="Arial" w:cs="Arial" w:eastAsia="Arial" w:hAnsi="Arial"/>
                  <w:sz w:val="18"/>
                  <w:szCs w:val="18"/>
                  <w:color w:val="0000EE"/>
                  <w:w w:val="73"/>
                </w:rPr>
                <w:t>192</w:t>
              </w:r>
            </w:hyperlink>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UNDERWRITERS</w:t>
              </w:r>
            </w:hyperlink>
          </w:p>
        </w:tc>
        <w:tc>
          <w:tcPr>
            <w:tcW w:w="240" w:type="dxa"/>
            <w:vAlign w:val="bottom"/>
          </w:tcPr>
          <w:p>
            <w:pPr>
              <w:jc w:val="right"/>
              <w:spacing w:after="0" w:line="196" w:lineRule="exact"/>
              <w:rPr>
                <w:rFonts w:ascii="Arial" w:cs="Arial" w:eastAsia="Arial" w:hAnsi="Arial"/>
                <w:sz w:val="18"/>
                <w:szCs w:val="18"/>
                <w:color w:val="0000EE"/>
                <w:w w:val="73"/>
              </w:rPr>
            </w:pPr>
            <w:hyperlink w:anchor="page200">
              <w:r>
                <w:rPr>
                  <w:rFonts w:ascii="Arial" w:cs="Arial" w:eastAsia="Arial" w:hAnsi="Arial"/>
                  <w:sz w:val="18"/>
                  <w:szCs w:val="18"/>
                  <w:color w:val="0000EE"/>
                  <w:w w:val="73"/>
                </w:rPr>
                <w:t>196</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14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210">
              <w:r>
                <w:rPr>
                  <w:rFonts w:ascii="Arial" w:cs="Arial" w:eastAsia="Arial" w:hAnsi="Arial"/>
                  <w:sz w:val="18"/>
                  <w:szCs w:val="18"/>
                  <w:color w:val="0000EE"/>
                  <w:w w:val="93"/>
                </w:rPr>
                <w:t>LEGAL MATTERS</w:t>
              </w:r>
            </w:hyperlink>
          </w:p>
        </w:tc>
        <w:tc>
          <w:tcPr>
            <w:tcW w:w="2620" w:type="dxa"/>
            <w:vAlign w:val="bottom"/>
            <w:gridSpan w:val="10"/>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210">
              <w:r>
                <w:rPr>
                  <w:rFonts w:ascii="Arial" w:cs="Arial" w:eastAsia="Arial" w:hAnsi="Arial"/>
                  <w:sz w:val="18"/>
                  <w:szCs w:val="18"/>
                  <w:color w:val="0000EE"/>
                  <w:w w:val="73"/>
                </w:rPr>
                <w:t>206</w:t>
              </w:r>
            </w:hyperlink>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EXPERTS</w:t>
              </w:r>
            </w:hyperlink>
          </w:p>
        </w:tc>
        <w:tc>
          <w:tcPr>
            <w:tcW w:w="240" w:type="dxa"/>
            <w:vAlign w:val="bottom"/>
          </w:tcPr>
          <w:p>
            <w:pPr>
              <w:jc w:val="right"/>
              <w:spacing w:after="0" w:line="196" w:lineRule="exact"/>
              <w:rPr>
                <w:rFonts w:ascii="Arial" w:cs="Arial" w:eastAsia="Arial" w:hAnsi="Arial"/>
                <w:sz w:val="18"/>
                <w:szCs w:val="18"/>
                <w:color w:val="0000EE"/>
                <w:w w:val="73"/>
              </w:rPr>
            </w:pPr>
            <w:hyperlink w:anchor="page210">
              <w:r>
                <w:rPr>
                  <w:rFonts w:ascii="Arial" w:cs="Arial" w:eastAsia="Arial" w:hAnsi="Arial"/>
                  <w:sz w:val="18"/>
                  <w:szCs w:val="18"/>
                  <w:color w:val="0000EE"/>
                  <w:w w:val="73"/>
                </w:rPr>
                <w:t>206</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37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210">
              <w:r>
                <w:rPr>
                  <w:rFonts w:ascii="Arial" w:cs="Arial" w:eastAsia="Arial" w:hAnsi="Arial"/>
                  <w:sz w:val="18"/>
                  <w:szCs w:val="18"/>
                  <w:color w:val="0000EE"/>
                  <w:w w:val="94"/>
                </w:rPr>
                <w:t>WHERE YOU CAN FIND MORE INFORMATION</w:t>
              </w:r>
            </w:hyperlink>
          </w:p>
        </w:tc>
        <w:tc>
          <w:tcPr>
            <w:tcW w:w="32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210">
              <w:r>
                <w:rPr>
                  <w:rFonts w:ascii="Arial" w:cs="Arial" w:eastAsia="Arial" w:hAnsi="Arial"/>
                  <w:sz w:val="18"/>
                  <w:szCs w:val="18"/>
                  <w:color w:val="0000EE"/>
                  <w:w w:val="73"/>
                </w:rPr>
                <w:t>206</w:t>
              </w:r>
            </w:hyperlink>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INDEX TO CONSOLIDATED FINANCIAL</w:t>
              </w:r>
            </w:hyperlink>
          </w:p>
        </w:tc>
        <w:tc>
          <w:tcPr>
            <w:tcW w:w="24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STATEMENTS</w:t>
              </w:r>
            </w:hyperlink>
          </w:p>
        </w:tc>
        <w:tc>
          <w:tcPr>
            <w:tcW w:w="860" w:type="dxa"/>
            <w:vAlign w:val="bottom"/>
            <w:gridSpan w:val="5"/>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81"/>
              </w:rPr>
            </w:pPr>
            <w:hyperlink w:anchor="page211">
              <w:r>
                <w:rPr>
                  <w:rFonts w:ascii="Arial" w:cs="Arial" w:eastAsia="Arial" w:hAnsi="Arial"/>
                  <w:sz w:val="18"/>
                  <w:szCs w:val="18"/>
                  <w:color w:val="0000EE"/>
                  <w:w w:val="81"/>
                </w:rPr>
                <w:t>F-1</w:t>
              </w:r>
            </w:hyperlink>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848" w:lineRule="exact"/>
        <w:rPr>
          <w:sz w:val="20"/>
          <w:szCs w:val="20"/>
          <w:color w:val="auto"/>
        </w:rPr>
      </w:pPr>
    </w:p>
    <w:p>
      <w:pPr>
        <w:sectPr>
          <w:pgSz w:w="11900" w:h="16838" w:orient="portrait"/>
          <w:cols w:equalWidth="0" w:num="2">
            <w:col w:w="5880" w:space="720"/>
            <w:col w:w="4820"/>
          </w:cols>
          <w:pgMar w:left="240" w:top="125" w:right="2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any information other than that contained in this prospectus, any amendment or supplement to this prospectus or in any free writing prospectus we may authorize to be delivered or made available to you.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4" w:lineRule="exact"/>
        <w:rPr>
          <w:sz w:val="20"/>
          <w:szCs w:val="20"/>
          <w:color w:val="auto"/>
        </w:rPr>
      </w:pPr>
    </w:p>
    <w:p>
      <w:pPr>
        <w:jc w:val="both"/>
        <w:ind w:firstLine="550"/>
        <w:spacing w:after="0" w:line="256"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7" w:lineRule="exact"/>
        <w:rPr>
          <w:sz w:val="20"/>
          <w:szCs w:val="20"/>
          <w:color w:val="auto"/>
        </w:rPr>
      </w:pPr>
    </w:p>
    <w:p>
      <w:pPr>
        <w:jc w:val="both"/>
        <w:ind w:right="20" w:firstLine="438"/>
        <w:spacing w:after="0" w:line="268" w:lineRule="auto"/>
        <w:rPr>
          <w:sz w:val="20"/>
          <w:szCs w:val="20"/>
          <w:color w:val="auto"/>
        </w:rPr>
      </w:pPr>
      <w:r>
        <w:rPr>
          <w:rFonts w:ascii="Arial" w:cs="Arial" w:eastAsia="Arial" w:hAnsi="Arial"/>
          <w:sz w:val="18"/>
          <w:szCs w:val="18"/>
          <w:color w:val="auto"/>
        </w:rPr>
        <w:t>Trademarks, service marks and trade names appearing in this prospectus are the property of their respective owners. Solely for convenience, some of the trademarks, service marks and trade names referred to in this prospectus are listed without the ® and ™ symbols.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left="240" w:firstLine="405"/>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in the sections titled "Risk Factors" and "Management's Discussion and Analysis of Financial Condition and Results of Operations." Unless the context otherwise requires, we use the terms "company," "we," "us" and "our" in this prospectus to refer to Fulcrum Therapeutics, Inc.</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left="240" w:firstLine="348"/>
        <w:spacing w:after="0" w:line="289"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left="240" w:firstLine="431"/>
        <w:spacing w:after="0" w:line="255" w:lineRule="auto"/>
        <w:rPr>
          <w:sz w:val="20"/>
          <w:szCs w:val="20"/>
          <w:color w:val="auto"/>
        </w:rPr>
      </w:pPr>
      <w:r>
        <w:rPr>
          <w:rFonts w:ascii="Arial" w:cs="Arial" w:eastAsia="Arial" w:hAnsi="Arial"/>
          <w:sz w:val="18"/>
          <w:szCs w:val="18"/>
          <w:color w:val="auto"/>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relational database, to guide target selection and to generate hypotheses on other targets that might be relevant along a gene regulatory pathway.</w:t>
      </w:r>
    </w:p>
    <w:p>
      <w:pPr>
        <w:spacing w:after="0" w:line="197" w:lineRule="exact"/>
        <w:rPr>
          <w:sz w:val="20"/>
          <w:szCs w:val="20"/>
          <w:color w:val="auto"/>
        </w:rPr>
      </w:pPr>
    </w:p>
    <w:p>
      <w:pPr>
        <w:jc w:val="both"/>
        <w:ind w:left="240" w:firstLine="456"/>
        <w:spacing w:after="0" w:line="294" w:lineRule="auto"/>
        <w:rPr>
          <w:sz w:val="20"/>
          <w:szCs w:val="20"/>
          <w:color w:val="auto"/>
        </w:rPr>
      </w:pPr>
      <w:r>
        <w:rPr>
          <w:rFonts w:ascii="Arial" w:cs="Arial" w:eastAsia="Arial" w:hAnsi="Arial"/>
          <w:sz w:val="16"/>
          <w:szCs w:val="16"/>
          <w:color w:val="auto"/>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p38a/b mitogen activated protein kinase, or p38a/b. We utilized our product engine to discover that inhibition of p38a/b reduced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in muscle cells derived from patients with FSHD. The mis-expression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the known root cause of FSHD. There are no approved therapies for FSHD, one of the most common forms of muscular dystrophy, with an estimated patient population of 16,000 to 38,000 in the United States.</w:t>
      </w:r>
    </w:p>
    <w:p>
      <w:pPr>
        <w:spacing w:after="0" w:line="170" w:lineRule="exact"/>
        <w:rPr>
          <w:sz w:val="20"/>
          <w:szCs w:val="20"/>
          <w:color w:val="auto"/>
        </w:rPr>
      </w:pPr>
    </w:p>
    <w:p>
      <w:pPr>
        <w:jc w:val="both"/>
        <w:ind w:left="240" w:firstLine="574"/>
        <w:spacing w:after="0" w:line="253" w:lineRule="auto"/>
        <w:rPr>
          <w:sz w:val="20"/>
          <w:szCs w:val="20"/>
          <w:color w:val="auto"/>
        </w:rPr>
      </w:pPr>
      <w:r>
        <w:rPr>
          <w:rFonts w:ascii="Arial" w:cs="Arial" w:eastAsia="Arial" w:hAnsi="Arial"/>
          <w:sz w:val="18"/>
          <w:szCs w:val="18"/>
          <w:color w:val="auto"/>
        </w:rPr>
        <w:t xml:space="preserve">Following our discovery of the role of p38a/b inhibitors in the reduction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and received active pharmaceutical ingredient and losmapimod tablets that had been manufactured by GSK. GSK had previously treated nearly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199" w:lineRule="exact"/>
        <w:rPr>
          <w:sz w:val="20"/>
          <w:szCs w:val="20"/>
          <w:color w:val="auto"/>
        </w:rPr>
      </w:pPr>
    </w:p>
    <w:p>
      <w:pPr>
        <w:jc w:val="both"/>
        <w:ind w:left="240" w:firstLine="406"/>
        <w:spacing w:after="0" w:line="268" w:lineRule="auto"/>
        <w:rPr>
          <w:sz w:val="20"/>
          <w:szCs w:val="20"/>
          <w:color w:val="auto"/>
        </w:rPr>
      </w:pPr>
      <w:r>
        <w:rPr>
          <w:rFonts w:ascii="Arial" w:cs="Arial" w:eastAsia="Arial" w:hAnsi="Arial"/>
          <w:sz w:val="18"/>
          <w:szCs w:val="18"/>
          <w:color w:val="auto"/>
        </w:rPr>
        <w:t>We plan to conduct a randomized, double-blind placebo-controlled Phase 2b clinical trial to investigate whether treatment with losmapimod reduces DUX4-driven gene expression in affected skeletal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55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spacing w:after="0" w:line="289" w:lineRule="auto"/>
        <w:rPr>
          <w:sz w:val="20"/>
          <w:szCs w:val="20"/>
          <w:color w:val="auto"/>
        </w:rPr>
      </w:pPr>
      <w:r>
        <w:rPr>
          <w:rFonts w:ascii="Arial" w:cs="Arial" w:eastAsia="Arial" w:hAnsi="Arial"/>
          <w:sz w:val="16"/>
          <w:szCs w:val="16"/>
          <w:color w:val="auto"/>
        </w:rPr>
        <w:t>muscle. In this Phase 2b clinical trial, we will also evaluate the safety and tolerability of losmapimod. We plan to concurrently conduct an open label Phase 2 clinical trial to investigate the safety and tolerability of chronic treatment with losmapimod in patients with FSHD. In this open label trial, we will also evaluate the ability of losmapimod to reduce DUX4-driven gene expression in affected skeletal muscle over varying treatment durations. We expect to initiate the Phase 2b clinical trial at multiple sites in the United States and Europe and the open label Phase 2 clinical trial in Europe in mid-2019. We expect to complete a Phase 1 clinical trial in healthy volunteers and patients with FSHD in 2019. We utilized data from GSK's clinical trials of losmapimod and our preclinical data to submit in May 2019 an IND, and clinical trial applications, or CTAs, in Europe and Canada, that will enable us to advance our clinical development plan for losmapimod in FSHD, including initiating a Phase 2b clinical trial in mid-2019. The FDA accepted the IND in June 2019. The timing of the initiation of the Phase 2b clinical trial is not dependent on the completion of the Phase 1 clinical trial.</w:t>
      </w:r>
    </w:p>
    <w:p>
      <w:pPr>
        <w:spacing w:after="0" w:line="172" w:lineRule="exact"/>
        <w:rPr>
          <w:sz w:val="20"/>
          <w:szCs w:val="20"/>
          <w:color w:val="auto"/>
        </w:rPr>
      </w:pPr>
    </w:p>
    <w:p>
      <w:pPr>
        <w:jc w:val="both"/>
        <w:ind w:left="240" w:firstLine="388"/>
        <w:spacing w:after="0" w:line="288" w:lineRule="auto"/>
        <w:rPr>
          <w:sz w:val="20"/>
          <w:szCs w:val="20"/>
          <w:color w:val="auto"/>
        </w:rPr>
      </w:pPr>
      <w:r>
        <w:rPr>
          <w:rFonts w:ascii="Arial" w:cs="Arial" w:eastAsia="Arial" w:hAnsi="Arial"/>
          <w:sz w:val="16"/>
          <w:szCs w:val="16"/>
          <w:color w:val="auto"/>
        </w:rPr>
        <w:t>We are additionally conducting several preparatory studies to assess biomarker endpoints and clinical outcome assessments and are participating in a natural history study that will follow 150 subjects with FSHD in the United States and 70 subjects in Europe over 18 months. We expect to utilize the data generated from our preparatory studies and the natural history study to inform future clinical trial designs and discussions with regulatory agencies. We believe that these preparatory studies and the safety data from GSK's prior losmapimod clinical trials, together with safety and efficacy data generated from our Phase 1 and Phase 2 clinical trials, may enable us to apply for accelerated approval of losmapimod for the treatment of FSHD. If we observe positive results in our Phase 2b clinical trial based on our proposed biomarker efficacy endpoint of measuring DUX4-driven gene expression in muscle biopsies, we plan to discuss accelerated approval with regulatory agencies and may seek accelerated approval if such regulatory agencies agree that our biomarker endpoint is sufficiently predictive of clinical benefit. The FDA or other regulatory authorities may require us to conduct comparability assessments of GSK-manufactured tablets to tablets manufactured by us or another party.</w:t>
      </w:r>
    </w:p>
    <w:p>
      <w:pPr>
        <w:spacing w:after="0" w:line="174" w:lineRule="exact"/>
        <w:rPr>
          <w:sz w:val="20"/>
          <w:szCs w:val="20"/>
          <w:color w:val="auto"/>
        </w:rPr>
      </w:pPr>
    </w:p>
    <w:p>
      <w:pPr>
        <w:jc w:val="both"/>
        <w:ind w:left="240" w:firstLine="395"/>
        <w:spacing w:after="0" w:line="298" w:lineRule="auto"/>
        <w:rPr>
          <w:sz w:val="20"/>
          <w:szCs w:val="20"/>
          <w:color w:val="auto"/>
        </w:rPr>
      </w:pPr>
      <w:r>
        <w:rPr>
          <w:rFonts w:ascii="Arial" w:cs="Arial" w:eastAsia="Arial" w:hAnsi="Arial"/>
          <w:sz w:val="16"/>
          <w:szCs w:val="16"/>
          <w:color w:val="auto"/>
        </w:rPr>
        <w:t xml:space="preserve">Our second product candidate, FTX-HbF, is a small molecule designed to upregulate fetal hemoglobin in patients with SCD and b-thalassemia. SCD is a genetic blood disorder caused by a mutation in the b-subunit gene, or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mutation results in the formation of abnormal hemoglobin, which causes red blood cells, or RBCs, to change from a round shape into a sickle shape that significantly impairs their function. b-thalassemia is a rare blood disorder caused by various genetic mutations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can significantly impair the production of RBCs.</w:t>
      </w:r>
    </w:p>
    <w:p>
      <w:pPr>
        <w:spacing w:after="0" w:line="167" w:lineRule="exact"/>
        <w:rPr>
          <w:sz w:val="20"/>
          <w:szCs w:val="20"/>
          <w:color w:val="auto"/>
        </w:rPr>
      </w:pPr>
    </w:p>
    <w:p>
      <w:pPr>
        <w:jc w:val="both"/>
        <w:ind w:left="240" w:firstLine="368"/>
        <w:spacing w:after="0" w:line="294" w:lineRule="auto"/>
        <w:rPr>
          <w:sz w:val="20"/>
          <w:szCs w:val="20"/>
          <w:color w:val="auto"/>
        </w:rPr>
      </w:pPr>
      <w:r>
        <w:rPr>
          <w:rFonts w:ascii="Arial" w:cs="Arial" w:eastAsia="Arial" w:hAnsi="Arial"/>
          <w:sz w:val="16"/>
          <w:szCs w:val="16"/>
          <w:color w:val="auto"/>
        </w:rPr>
        <w:t xml:space="preserve">We designed FTX-HbF to compensate for the root cause of these hemoglobinopathies by inducing the expression of the two g-globin genes, </w:t>
      </w:r>
      <w:r>
        <w:rPr>
          <w:rFonts w:ascii="Arial" w:cs="Arial" w:eastAsia="Arial" w:hAnsi="Arial"/>
          <w:sz w:val="16"/>
          <w:szCs w:val="16"/>
          <w:i w:val="1"/>
          <w:iCs w:val="1"/>
          <w:color w:val="auto"/>
        </w:rPr>
        <w:t>HBG1/2</w:t>
      </w:r>
      <w:r>
        <w:rPr>
          <w:rFonts w:ascii="Arial" w:cs="Arial" w:eastAsia="Arial" w:hAnsi="Arial"/>
          <w:sz w:val="16"/>
          <w:szCs w:val="16"/>
          <w:color w:val="auto"/>
        </w:rPr>
        <w:t xml:space="preserve">, whose expression is normally silenced shortly after birth.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encode for g-globin, a component of fetal hemoglobin, which is known to compensate for the presence of abnormal hemoglobin in SCD and b-thalassemia. 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activation of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in preclinical studies with FTX-HbF. We have also observed that FTX-HbF demonstrated robust levels of fetal hemoglobin elevation with no adverse effect on important cellular health markers. We have initiated IND-enabling studies and plan to submit an IND for FTX-HbF in mid-2020.</w:t>
      </w:r>
    </w:p>
    <w:p>
      <w:pPr>
        <w:spacing w:after="0" w:line="170" w:lineRule="exact"/>
        <w:rPr>
          <w:sz w:val="20"/>
          <w:szCs w:val="20"/>
          <w:color w:val="auto"/>
        </w:rPr>
      </w:pPr>
    </w:p>
    <w:p>
      <w:pPr>
        <w:jc w:val="both"/>
        <w:ind w:left="240" w:firstLine="394"/>
        <w:spacing w:after="0" w:line="253" w:lineRule="auto"/>
        <w:rPr>
          <w:sz w:val="20"/>
          <w:szCs w:val="20"/>
          <w:color w:val="auto"/>
        </w:rPr>
      </w:pPr>
      <w:r>
        <w:rPr>
          <w:rFonts w:ascii="Arial" w:cs="Arial" w:eastAsia="Arial" w:hAnsi="Arial"/>
          <w:sz w:val="18"/>
          <w:szCs w:val="18"/>
          <w:color w:val="auto"/>
        </w:rPr>
        <w:t>According to the National Institutes of Health, or NIH, there are approximately 7,000 rare, genetically defined human diseases, many of which have inadequate or no approved treatments. We plan to utilize our product engine to complete four new drug target identification screens in 2019 in Duchenne muscular dystrophy, Friedreich ataxia, myotonic dystrophy 1 and a-synucleinopathies. We also expect to complete an additional six screens in 2020.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In addition to drug targets that we prioritize for internal development, we may identify other drug targets that we would consider for development through partnerships.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61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06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designed our proprietary product engine with potential application across a broad array of genetically defined diseases with a known root cause.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chart summarizes key information about our lead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Discovery Screening Programs</w:t>
      </w:r>
    </w:p>
    <w:p>
      <w:pPr>
        <w:spacing w:after="0" w:line="231" w:lineRule="exact"/>
        <w:rPr>
          <w:sz w:val="20"/>
          <w:szCs w:val="20"/>
          <w:color w:val="auto"/>
        </w:rPr>
      </w:pPr>
    </w:p>
    <w:p>
      <w:pPr>
        <w:jc w:val="both"/>
        <w:ind w:left="240" w:firstLine="423"/>
        <w:spacing w:after="0" w:line="256" w:lineRule="auto"/>
        <w:rPr>
          <w:sz w:val="20"/>
          <w:szCs w:val="20"/>
          <w:color w:val="auto"/>
        </w:rPr>
      </w:pPr>
      <w:r>
        <w:rPr>
          <w:rFonts w:ascii="Arial" w:cs="Arial" w:eastAsia="Arial" w:hAnsi="Arial"/>
          <w:sz w:val="18"/>
          <w:szCs w:val="18"/>
          <w:color w:val="auto"/>
        </w:rPr>
        <w:t>We are leveraging the broad applicability of our product engine to discover drug targets for other rare, genetically defined neuromuscular and CNS diseases. We plan to complete four additional screens in 2019, seeking to identify and validate drug targets that can potentially modulate gene expression to address the root causes of Duchenne muscular dystrophy (</w:t>
      </w:r>
      <w:r>
        <w:rPr>
          <w:rFonts w:ascii="Arial" w:cs="Arial" w:eastAsia="Arial" w:hAnsi="Arial"/>
          <w:sz w:val="18"/>
          <w:szCs w:val="18"/>
          <w:i w:val="1"/>
          <w:iCs w:val="1"/>
          <w:color w:val="auto"/>
        </w:rPr>
        <w:t>UTRN</w:t>
      </w:r>
      <w:r>
        <w:rPr>
          <w:rFonts w:ascii="Arial" w:cs="Arial" w:eastAsia="Arial" w:hAnsi="Arial"/>
          <w:sz w:val="18"/>
          <w:szCs w:val="18"/>
          <w:color w:val="auto"/>
        </w:rPr>
        <w:t xml:space="preserve"> gene), Friedreich ataxia (</w:t>
      </w:r>
      <w:r>
        <w:rPr>
          <w:rFonts w:ascii="Arial" w:cs="Arial" w:eastAsia="Arial" w:hAnsi="Arial"/>
          <w:sz w:val="18"/>
          <w:szCs w:val="18"/>
          <w:i w:val="1"/>
          <w:iCs w:val="1"/>
          <w:color w:val="auto"/>
        </w:rPr>
        <w:t>FXN</w:t>
      </w:r>
      <w:r>
        <w:rPr>
          <w:rFonts w:ascii="Arial" w:cs="Arial" w:eastAsia="Arial" w:hAnsi="Arial"/>
          <w:sz w:val="18"/>
          <w:szCs w:val="18"/>
          <w:color w:val="auto"/>
        </w:rPr>
        <w:t xml:space="preserve"> gene), Myotonic dystrophy 1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and a-Synucleinopathies (</w:t>
      </w:r>
      <w:r>
        <w:rPr>
          <w:rFonts w:ascii="Arial" w:cs="Arial" w:eastAsia="Arial" w:hAnsi="Arial"/>
          <w:sz w:val="18"/>
          <w:szCs w:val="18"/>
          <w:i w:val="1"/>
          <w:iCs w:val="1"/>
          <w:color w:val="auto"/>
        </w:rPr>
        <w:t>SNCA</w:t>
      </w:r>
      <w:r>
        <w:rPr>
          <w:rFonts w:ascii="Arial" w:cs="Arial" w:eastAsia="Arial" w:hAnsi="Arial"/>
          <w:sz w:val="18"/>
          <w:szCs w:val="18"/>
          <w:color w:val="auto"/>
        </w:rPr>
        <w:t xml:space="preserve"> gene).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left="240" w:firstLine="468"/>
        <w:spacing w:after="0" w:line="298" w:lineRule="auto"/>
        <w:rPr>
          <w:sz w:val="20"/>
          <w:szCs w:val="20"/>
          <w:color w:val="auto"/>
        </w:rPr>
      </w:pPr>
      <w:r>
        <w:rPr>
          <w:rFonts w:ascii="Arial" w:cs="Arial" w:eastAsia="Arial" w:hAnsi="Arial"/>
          <w:sz w:val="16"/>
          <w:szCs w:val="16"/>
          <w:color w:val="auto"/>
        </w:rPr>
        <w:t>We are leveraging the broad applicability of our proprietary product engine to discover and develop small molecule therapies that modulate gene expression to address the known root cause of genetically defined diseases in areas of high unmet medical need, with an initial focus on rare diseases. We believe that our initial product candidates for the treatment of FSHD, SCD and b-thalassemia may have the potential to treat patients with these debilitating and, in some cases, life-threatening illnesses. The key components of our strategy include:</w:t>
      </w:r>
    </w:p>
    <w:p>
      <w:pPr>
        <w:spacing w:after="0" w:line="194" w:lineRule="exact"/>
        <w:rPr>
          <w:sz w:val="20"/>
          <w:szCs w:val="20"/>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develop losmapimod for the treatment of FSHD.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FTX-HbF into clinical development.</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apply our proprietary product engine to grow our portfolio of product candidates for the treatment of genetically defined diseases.</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expand our product engine capabilities.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Maximize the commercial potential of our product candidates.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Selectively enter into strategic partnerships to maximize the value of our product engine and pipeline.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53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75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firstLine="354"/>
        <w:spacing w:after="0" w:line="268"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"Risk Factors" section of this prospectus. These risks include, but are not limited to, the following:</w:t>
      </w:r>
    </w:p>
    <w:p>
      <w:pPr>
        <w:spacing w:after="0" w:line="213" w:lineRule="exact"/>
        <w:rPr>
          <w:sz w:val="20"/>
          <w:szCs w:val="20"/>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 As of March 31, 2019, we had an accumulated deficit of $105.0 million.</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limited operating history may make it difficult for you to evaluate the success of our business to date and to assess our future viability.</w:t>
      </w:r>
    </w:p>
    <w:p>
      <w:pPr>
        <w:spacing w:after="0" w:line="275"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conditions and events, namely our need to raise additional capital, that raise substantial doubt about our ability to continue as a going concern, and our independent registered public accounting firm's report on our consolidated financial statements appearing at the end of this prospectus includes a going concern uncertainty paragraph.</w:t>
      </w:r>
    </w:p>
    <w:p>
      <w:pPr>
        <w:spacing w:after="0" w:line="207"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product engine to build a pipeline of product candidates.</w:t>
      </w:r>
    </w:p>
    <w:p>
      <w:pPr>
        <w:spacing w:after="0" w:line="252"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207" w:lineRule="exact"/>
        <w:rPr>
          <w:rFonts w:ascii="Arial" w:cs="Arial" w:eastAsia="Arial" w:hAnsi="Arial"/>
          <w:sz w:val="18"/>
          <w:szCs w:val="18"/>
          <w:color w:val="auto"/>
        </w:rPr>
      </w:pPr>
    </w:p>
    <w:p>
      <w:pPr>
        <w:jc w:val="both"/>
        <w:ind w:left="1320" w:hanging="538"/>
        <w:spacing w:after="0" w:line="256"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little clinical experience and, in some cases, using new endpoints or methodologies, such as the measurement of DUX4-driven gene expression in muscle biopsies in our Phase 2b clinical trial of losmapimod for the treatment of FSHD, the FDA or other regulatory authorities may not consider the endpoints of our clinical trials to predict or provide clinically meaningful results.</w:t>
      </w:r>
    </w:p>
    <w:p>
      <w:pPr>
        <w:spacing w:after="0" w:line="210"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212"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99"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207"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75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57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320" w:hanging="538"/>
        <w:spacing w:after="0" w:line="290"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The composition of matter patents for losmapimod licensed from GSK are expected to expire in 2023. Although we have filed patent applications directed to new methods of using losmapimod and other p38 inhibitors to treat FSHD that, if granted, would be expected to expire in 2038, we cannot be certain that any patents will be granted in respect of these patent applications. We do not own or in-license any patented intellectual property related to our product engine.</w:t>
      </w:r>
    </w:p>
    <w:p>
      <w:pPr>
        <w:spacing w:after="0" w:line="185"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jc w:val="both"/>
        <w:ind w:left="240" w:firstLine="362"/>
        <w:spacing w:after="0" w:line="256"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jc w:val="both"/>
        <w:ind w:left="240" w:firstLine="469"/>
        <w:spacing w:after="0" w:line="289"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of 2012, or the JOBS Act, and we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8296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829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120" w:type="dxa"/>
            <w:vAlign w:val="bottom"/>
          </w:tcPr>
          <w:p>
            <w:pPr>
              <w:ind w:left="860"/>
              <w:spacing w:after="0"/>
              <w:rPr>
                <w:sz w:val="20"/>
                <w:szCs w:val="20"/>
                <w:color w:val="auto"/>
              </w:rPr>
            </w:pPr>
            <w:r>
              <w:rPr>
                <w:rFonts w:ascii="Arial" w:cs="Arial" w:eastAsia="Arial" w:hAnsi="Arial"/>
                <w:sz w:val="18"/>
                <w:szCs w:val="18"/>
                <w:b w:val="1"/>
                <w:bCs w:val="1"/>
                <w:color w:val="auto"/>
              </w:rPr>
              <w:t>THE OFFERING</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w w:val="94"/>
              </w:rPr>
              <w:t>Common stock</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offered</w:t>
            </w:r>
          </w:p>
        </w:tc>
        <w:tc>
          <w:tcPr>
            <w:tcW w:w="1660" w:type="dxa"/>
            <w:vAlign w:val="bottom"/>
          </w:tcPr>
          <w:p>
            <w:pPr>
              <w:ind w:left="600"/>
              <w:spacing w:after="0"/>
              <w:rPr>
                <w:sz w:val="20"/>
                <w:szCs w:val="20"/>
                <w:color w:val="auto"/>
              </w:rPr>
            </w:pPr>
            <w:r>
              <w:rPr>
                <w:rFonts w:ascii="Arial" w:cs="Arial" w:eastAsia="Arial" w:hAnsi="Arial"/>
                <w:sz w:val="18"/>
                <w:szCs w:val="18"/>
                <w:color w:val="auto"/>
              </w:rPr>
              <w:t>shares</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w w:val="94"/>
              </w:rPr>
              <w:t>Common stock</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to be</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w w:val="99"/>
              </w:rPr>
              <w:t>immediately</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following</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this offering</w:t>
            </w:r>
          </w:p>
        </w:tc>
        <w:tc>
          <w:tcPr>
            <w:tcW w:w="1660" w:type="dxa"/>
            <w:vAlign w:val="bottom"/>
          </w:tcPr>
          <w:p>
            <w:pPr>
              <w:ind w:left="600"/>
              <w:spacing w:after="0"/>
              <w:rPr>
                <w:sz w:val="20"/>
                <w:szCs w:val="20"/>
                <w:color w:val="auto"/>
              </w:rPr>
            </w:pPr>
            <w:r>
              <w:rPr>
                <w:rFonts w:ascii="Arial" w:cs="Arial" w:eastAsia="Arial" w:hAnsi="Arial"/>
                <w:sz w:val="18"/>
                <w:szCs w:val="18"/>
                <w:color w:val="auto"/>
              </w:rPr>
              <w:t>shares</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Option to</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purchase</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additional</w:t>
            </w:r>
          </w:p>
        </w:tc>
        <w:tc>
          <w:tcPr>
            <w:tcW w:w="6500" w:type="dxa"/>
            <w:vAlign w:val="bottom"/>
            <w:gridSpan w:val="3"/>
          </w:tcPr>
          <w:p>
            <w:pPr>
              <w:ind w:left="80"/>
              <w:spacing w:after="0"/>
              <w:rPr>
                <w:sz w:val="20"/>
                <w:szCs w:val="20"/>
                <w:color w:val="auto"/>
              </w:rPr>
            </w:pPr>
            <w:r>
              <w:rPr>
                <w:rFonts w:ascii="Arial" w:cs="Arial" w:eastAsia="Arial" w:hAnsi="Arial"/>
                <w:sz w:val="18"/>
                <w:szCs w:val="18"/>
                <w:color w:val="auto"/>
                <w:w w:val="94"/>
              </w:rPr>
              <w:t>We have granted the underwriters an option for a period of 30 days to purchase up to</w:t>
            </w:r>
          </w:p>
        </w:tc>
        <w:tc>
          <w:tcPr>
            <w:tcW w:w="1080" w:type="dxa"/>
            <w:vAlign w:val="bottom"/>
          </w:tcPr>
          <w:p>
            <w:pPr>
              <w:jc w:val="right"/>
              <w:spacing w:after="0"/>
              <w:rPr>
                <w:sz w:val="20"/>
                <w:szCs w:val="20"/>
                <w:color w:val="auto"/>
              </w:rPr>
            </w:pPr>
            <w:r>
              <w:rPr>
                <w:rFonts w:ascii="Arial" w:cs="Arial" w:eastAsia="Arial" w:hAnsi="Arial"/>
                <w:sz w:val="18"/>
                <w:szCs w:val="18"/>
                <w:color w:val="auto"/>
              </w:rPr>
              <w:t>additional</w:t>
            </w: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shares</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shares of our common stock.</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Use of</w:t>
            </w: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We estimate that the net proceeds from this offering will be approximately $</w:t>
            </w:r>
          </w:p>
        </w:tc>
        <w:tc>
          <w:tcPr>
            <w:tcW w:w="1080" w:type="dxa"/>
            <w:vAlign w:val="bottom"/>
          </w:tcPr>
          <w:p>
            <w:pPr>
              <w:jc w:val="right"/>
              <w:spacing w:after="0"/>
              <w:rPr>
                <w:sz w:val="20"/>
                <w:szCs w:val="20"/>
                <w:color w:val="auto"/>
              </w:rPr>
            </w:pPr>
            <w:r>
              <w:rPr>
                <w:rFonts w:ascii="Arial" w:cs="Arial" w:eastAsia="Arial" w:hAnsi="Arial"/>
                <w:sz w:val="18"/>
                <w:szCs w:val="18"/>
                <w:color w:val="auto"/>
              </w:rPr>
              <w:t>million (or</w:t>
            </w: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proceeds</w:t>
            </w:r>
          </w:p>
        </w:tc>
        <w:tc>
          <w:tcPr>
            <w:tcW w:w="166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5920" w:type="dxa"/>
            <w:vAlign w:val="bottom"/>
            <w:gridSpan w:val="3"/>
          </w:tcPr>
          <w:p>
            <w:pPr>
              <w:jc w:val="right"/>
              <w:spacing w:after="0"/>
              <w:rPr>
                <w:sz w:val="20"/>
                <w:szCs w:val="20"/>
                <w:color w:val="auto"/>
              </w:rPr>
            </w:pPr>
            <w:r>
              <w:rPr>
                <w:rFonts w:ascii="Arial" w:cs="Arial" w:eastAsia="Arial" w:hAnsi="Arial"/>
                <w:sz w:val="18"/>
                <w:szCs w:val="18"/>
                <w:color w:val="auto"/>
                <w:w w:val="94"/>
              </w:rPr>
              <w:t>million if the underwriters exercise their option to purchase additional shares in</w:t>
            </w:r>
          </w:p>
        </w:tc>
      </w:tr>
      <w:tr>
        <w:trPr>
          <w:trHeight w:val="216"/>
        </w:trPr>
        <w:tc>
          <w:tcPr>
            <w:tcW w:w="1160" w:type="dxa"/>
            <w:vAlign w:val="bottom"/>
          </w:tcPr>
          <w:p>
            <w:pPr>
              <w:spacing w:after="0"/>
              <w:rPr>
                <w:sz w:val="18"/>
                <w:szCs w:val="18"/>
                <w:color w:val="auto"/>
              </w:rPr>
            </w:pP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full), based on an assumed initial public offering price of $</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w w:val="91"/>
              </w:rPr>
              <w:t>per share, which is the midpoint of the</w:t>
            </w:r>
          </w:p>
        </w:tc>
      </w:tr>
      <w:tr>
        <w:trPr>
          <w:trHeight w:val="216"/>
        </w:trPr>
        <w:tc>
          <w:tcPr>
            <w:tcW w:w="1160" w:type="dxa"/>
            <w:vAlign w:val="bottom"/>
          </w:tcPr>
          <w:p>
            <w:pPr>
              <w:spacing w:after="0"/>
              <w:rPr>
                <w:sz w:val="18"/>
                <w:szCs w:val="18"/>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87"/>
              </w:rPr>
              <w:t>price range set forth on the cover page of this prospectus, after deducting estimated underwriting discounts</w:t>
            </w:r>
          </w:p>
        </w:tc>
      </w:tr>
      <w:tr>
        <w:trPr>
          <w:trHeight w:val="222"/>
        </w:trPr>
        <w:tc>
          <w:tcPr>
            <w:tcW w:w="1160" w:type="dxa"/>
            <w:vAlign w:val="bottom"/>
          </w:tcPr>
          <w:p>
            <w:pPr>
              <w:spacing w:after="0"/>
              <w:rPr>
                <w:sz w:val="19"/>
                <w:szCs w:val="19"/>
                <w:color w:val="auto"/>
              </w:rPr>
            </w:pPr>
          </w:p>
        </w:tc>
        <w:tc>
          <w:tcPr>
            <w:tcW w:w="4780" w:type="dxa"/>
            <w:vAlign w:val="bottom"/>
            <w:gridSpan w:val="2"/>
          </w:tcPr>
          <w:p>
            <w:pPr>
              <w:ind w:left="80"/>
              <w:spacing w:after="0"/>
              <w:rPr>
                <w:sz w:val="20"/>
                <w:szCs w:val="20"/>
                <w:color w:val="auto"/>
              </w:rPr>
            </w:pPr>
            <w:r>
              <w:rPr>
                <w:rFonts w:ascii="Arial" w:cs="Arial" w:eastAsia="Arial" w:hAnsi="Arial"/>
                <w:sz w:val="18"/>
                <w:szCs w:val="18"/>
                <w:color w:val="auto"/>
                <w:w w:val="89"/>
              </w:rPr>
              <w:t>and commissions and estimated offering expenses payable by us.</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4"/>
                <w:szCs w:val="24"/>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88"/>
              </w:rPr>
              <w:t>We intend to use the net proceeds from this offering, together with our existing cash and cash equivalents,</w:t>
            </w:r>
          </w:p>
        </w:tc>
      </w:tr>
      <w:tr>
        <w:trPr>
          <w:trHeight w:val="216"/>
        </w:trPr>
        <w:tc>
          <w:tcPr>
            <w:tcW w:w="1160" w:type="dxa"/>
            <w:vAlign w:val="bottom"/>
          </w:tcPr>
          <w:p>
            <w:pPr>
              <w:spacing w:after="0"/>
              <w:rPr>
                <w:sz w:val="18"/>
                <w:szCs w:val="18"/>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93"/>
              </w:rPr>
              <w:t>to advance losmapimod for FSHD, to advance our hemoglobinopathies program, to fund our ongoing</w:t>
            </w:r>
          </w:p>
        </w:tc>
      </w:tr>
      <w:tr>
        <w:trPr>
          <w:trHeight w:val="216"/>
        </w:trPr>
        <w:tc>
          <w:tcPr>
            <w:tcW w:w="1160" w:type="dxa"/>
            <w:vAlign w:val="bottom"/>
          </w:tcPr>
          <w:p>
            <w:pPr>
              <w:spacing w:after="0"/>
              <w:rPr>
                <w:sz w:val="18"/>
                <w:szCs w:val="18"/>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90"/>
              </w:rPr>
              <w:t>product engine and discovery efforts and for working capital and other general corporate purposes. See</w:t>
            </w:r>
          </w:p>
        </w:tc>
      </w:tr>
      <w:tr>
        <w:trPr>
          <w:trHeight w:val="222"/>
        </w:trPr>
        <w:tc>
          <w:tcPr>
            <w:tcW w:w="116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Risk factors</w:t>
            </w: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94"/>
              </w:rPr>
              <w:t>You should read the "Risk Factors" section of this prospectus for a discussion of factors to consider</w:t>
            </w:r>
          </w:p>
        </w:tc>
      </w:tr>
      <w:tr>
        <w:trPr>
          <w:trHeight w:val="222"/>
        </w:trPr>
        <w:tc>
          <w:tcPr>
            <w:tcW w:w="1160" w:type="dxa"/>
            <w:vAlign w:val="bottom"/>
          </w:tcPr>
          <w:p>
            <w:pPr>
              <w:spacing w:after="0"/>
              <w:rPr>
                <w:sz w:val="19"/>
                <w:szCs w:val="19"/>
                <w:color w:val="auto"/>
              </w:rPr>
            </w:pPr>
          </w:p>
        </w:tc>
        <w:tc>
          <w:tcPr>
            <w:tcW w:w="4780" w:type="dxa"/>
            <w:vAlign w:val="bottom"/>
            <w:gridSpan w:val="2"/>
          </w:tcPr>
          <w:p>
            <w:pPr>
              <w:ind w:left="80"/>
              <w:spacing w:after="0"/>
              <w:rPr>
                <w:sz w:val="20"/>
                <w:szCs w:val="20"/>
                <w:color w:val="auto"/>
              </w:rPr>
            </w:pPr>
            <w:r>
              <w:rPr>
                <w:rFonts w:ascii="Arial" w:cs="Arial" w:eastAsia="Arial" w:hAnsi="Arial"/>
                <w:sz w:val="18"/>
                <w:szCs w:val="18"/>
                <w:color w:val="auto"/>
                <w:w w:val="89"/>
              </w:rPr>
              <w:t>carefully before deciding to invest in shares of our common stock.</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Proposed</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Nasdaq</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Global</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Market</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symbol</w:t>
            </w:r>
          </w:p>
        </w:tc>
        <w:tc>
          <w:tcPr>
            <w:tcW w:w="1660" w:type="dxa"/>
            <w:vAlign w:val="bottom"/>
          </w:tcPr>
          <w:p>
            <w:pPr>
              <w:ind w:left="80"/>
              <w:spacing w:after="0"/>
              <w:rPr>
                <w:sz w:val="20"/>
                <w:szCs w:val="20"/>
                <w:color w:val="auto"/>
              </w:rPr>
            </w:pPr>
            <w:r>
              <w:rPr>
                <w:rFonts w:ascii="Arial" w:cs="Arial" w:eastAsia="Arial" w:hAnsi="Arial"/>
                <w:sz w:val="18"/>
                <w:szCs w:val="18"/>
                <w:color w:val="auto"/>
              </w:rPr>
              <w:t>"FULC"</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10" w:lineRule="exact"/>
        <w:rPr>
          <w:sz w:val="20"/>
          <w:szCs w:val="20"/>
          <w:color w:val="auto"/>
        </w:rPr>
      </w:pPr>
    </w:p>
    <w:p>
      <w:pPr>
        <w:jc w:val="both"/>
        <w:ind w:left="240" w:firstLine="368"/>
        <w:spacing w:after="0" w:line="306" w:lineRule="auto"/>
        <w:rPr>
          <w:sz w:val="20"/>
          <w:szCs w:val="20"/>
          <w:color w:val="auto"/>
        </w:rPr>
      </w:pPr>
      <w:r>
        <w:rPr>
          <w:rFonts w:ascii="Arial" w:cs="Arial" w:eastAsia="Arial" w:hAnsi="Arial"/>
          <w:sz w:val="16"/>
          <w:szCs w:val="16"/>
          <w:color w:val="auto"/>
        </w:rPr>
        <w:t>The number of shares of our common stock to be outstanding after this offering is based on 19,430,506 shares of our common stock outstanding as of April 30, 2019, including 6,972,076 shares of unvested restricted stock subject to repurchase by us, and 112,500,000 shares of our common stock issuable upon the automatic conversion of all outstanding shares of our preferred stock upon the closing of this offering.</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252" w:lineRule="exact"/>
        <w:rPr>
          <w:sz w:val="20"/>
          <w:szCs w:val="20"/>
          <w:color w:val="auto"/>
        </w:rPr>
      </w:pPr>
    </w:p>
    <w:p>
      <w:pPr>
        <w:jc w:val="both"/>
        <w:ind w:left="13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10,503,582 shares of common stock issuable upon exercise of stock options outstanding as of April 30, 2019 at a weighted average exercise price of $1.09 per share, and an additional 658,000 shares of common stock issuable upon the exercise of stock options granted subsequent to April 30, 2019, at a weighted average exercise price of $1.58 per share;</w:t>
      </w:r>
    </w:p>
    <w:p>
      <w:pPr>
        <w:spacing w:after="0" w:line="207"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2,565,912 shares of common stock reserved for future issuance under our 2016 Stock Incentive Plan, as amended, or the 2016 Plan, as of April 30, 2019; and</w:t>
      </w:r>
    </w:p>
    <w:p>
      <w:pPr>
        <w:spacing w:after="0" w:line="199" w:lineRule="exact"/>
        <w:rPr>
          <w:rFonts w:ascii="Arial" w:cs="Arial" w:eastAsia="Arial" w:hAnsi="Arial"/>
          <w:sz w:val="18"/>
          <w:szCs w:val="18"/>
          <w:color w:val="auto"/>
        </w:rPr>
      </w:pPr>
    </w:p>
    <w:p>
      <w:pPr>
        <w:jc w:val="both"/>
        <w:ind w:left="1320" w:hanging="538"/>
        <w:spacing w:after="0" w:line="255"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14,120,000 and 1,765,000 additional shares of our common stock that will become available for future issuance under our 2019 Stock Incentive Plan, of which our board of directors has granted options to purchase an aggregate of 2,159,544 shares of common stock to certain of our employees and non-employee directors effective upon the commencement of trading of our common stock on the Nasdaq Stock Market, and our 2019 Employee Stock Purchase Plan, respectively, each of which will become effective immediately prior to the effectiveness of the registration statement of which</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542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542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spacing w:after="0" w:line="268" w:lineRule="auto"/>
        <w:rPr>
          <w:sz w:val="20"/>
          <w:szCs w:val="20"/>
          <w:color w:val="auto"/>
        </w:rPr>
      </w:pPr>
      <w:r>
        <w:rPr>
          <w:rFonts w:ascii="Arial" w:cs="Arial" w:eastAsia="Arial" w:hAnsi="Arial"/>
          <w:sz w:val="18"/>
          <w:szCs w:val="18"/>
          <w:color w:val="auto"/>
        </w:rPr>
        <w:t>this prospectus is a part, as well as any automatic increases in the number of shares of common stock reserved for future issuance under these plans.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52" w:lineRule="exact"/>
        <w:rPr>
          <w:sz w:val="20"/>
          <w:szCs w:val="20"/>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112,500,000 shares of our common stock upon the closing of this offering; and</w:t>
      </w:r>
    </w:p>
    <w:p>
      <w:pPr>
        <w:spacing w:after="0" w:line="212"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filing and effectiveness of our restated certificate of incorporation and the adoption of our amended and restated bylaws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57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57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jc w:val="both"/>
        <w:ind w:left="240" w:firstLine="569"/>
        <w:spacing w:after="0" w:line="288" w:lineRule="auto"/>
        <w:rPr>
          <w:sz w:val="20"/>
          <w:szCs w:val="20"/>
          <w:color w:val="auto"/>
        </w:rPr>
      </w:pPr>
      <w:r>
        <w:rPr>
          <w:rFonts w:ascii="Arial" w:cs="Arial" w:eastAsia="Arial" w:hAnsi="Arial"/>
          <w:sz w:val="16"/>
          <w:szCs w:val="16"/>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December 31, 2017 and 2018 from our annual consolidated financial statements appearing at the end of this prospectus. The consolidated statement of operations data for the three months ended March 31, 2018 and 2019 and the consolidated balance sheet data as of March 31, 2019 have been derived from our interim consolidated financial statements appearing at the end of this prospectus and have been prepared on the same basis as the annual consolidated financial statements. In the opinion of management, the interim data reflect all normal recurring adjustments necessary for the fair presentation of the financial information in those statements. Our historical results are not necessarily indicative of the results that may be expected in the future, and our results for any interim period are not necessarily indicative of the results that should be expected for any full year or any other period.</w:t>
      </w:r>
    </w:p>
    <w:p>
      <w:pPr>
        <w:spacing w:after="0" w:line="15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60" w:type="dxa"/>
            <w:vAlign w:val="bottom"/>
            <w:gridSpan w:val="5"/>
          </w:tcPr>
          <w:p>
            <w:pPr>
              <w:jc w:val="right"/>
              <w:ind w:right="498"/>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60" w:type="dxa"/>
            <w:vAlign w:val="bottom"/>
            <w:gridSpan w:val="5"/>
          </w:tcPr>
          <w:p>
            <w:pPr>
              <w:jc w:val="right"/>
              <w:ind w:right="398"/>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18,494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5,573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34,629</w:t>
            </w:r>
          </w:p>
        </w:tc>
        <w:tc>
          <w:tcPr>
            <w:tcW w:w="0" w:type="dxa"/>
            <w:vAlign w:val="bottom"/>
          </w:tcPr>
          <w:p>
            <w:pPr>
              <w:spacing w:after="0"/>
              <w:rPr>
                <w:sz w:val="1"/>
                <w:szCs w:val="1"/>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4,499</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8,314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1,737</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22,993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7,310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37,227</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(22,993)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(33,498)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(7,310)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(22,964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(32,588</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(6,940</w:t>
            </w:r>
          </w:p>
        </w:tc>
        <w:tc>
          <w:tcPr>
            <w:tcW w:w="20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(36,843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Cumulative convertible preferred stock dividends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(2,407)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(6,559)</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(25,371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(39,147</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(7,768</w:t>
            </w:r>
          </w:p>
        </w:tc>
        <w:tc>
          <w:tcPr>
            <w:tcW w:w="20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(39,884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4"/>
              </w:rPr>
              <w:t>Net loss per share attributable to common stockholders, basic and</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 average number of common shares used in net loss per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tcPr>
          <w:p>
            <w:pPr>
              <w:ind w:left="180"/>
              <w:spacing w:after="0" w:line="263" w:lineRule="exact"/>
              <w:rPr>
                <w:sz w:val="20"/>
                <w:szCs w:val="20"/>
                <w:color w:val="auto"/>
              </w:rPr>
            </w:pPr>
            <w:r>
              <w:rPr>
                <w:rFonts w:ascii="Arial" w:cs="Arial" w:eastAsia="Arial" w:hAnsi="Arial"/>
                <w:sz w:val="18"/>
                <w:szCs w:val="18"/>
                <w:color w:val="auto"/>
                <w:w w:val="94"/>
              </w:rPr>
              <w:t>share attributable to common stockholders, basic and diluted</w:t>
            </w:r>
            <w:r>
              <w:rPr>
                <w:rFonts w:ascii="Arial" w:cs="Arial" w:eastAsia="Arial" w:hAnsi="Arial"/>
                <w:sz w:val="29"/>
                <w:szCs w:val="29"/>
                <w:color w:val="auto"/>
                <w:w w:val="94"/>
                <w:vertAlign w:val="superscript"/>
              </w:rPr>
              <w:t>(1)</w:t>
            </w:r>
          </w:p>
        </w:tc>
        <w:tc>
          <w:tcPr>
            <w:tcW w:w="180" w:type="dxa"/>
            <w:vAlign w:val="bottom"/>
          </w:tcPr>
          <w:p>
            <w:pPr>
              <w:spacing w:after="0"/>
              <w:rPr>
                <w:sz w:val="22"/>
                <w:szCs w:val="2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4,980</w:t>
            </w: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8,799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7,134</w:t>
            </w:r>
          </w:p>
        </w:tc>
        <w:tc>
          <w:tcPr>
            <w:tcW w:w="160" w:type="dxa"/>
            <w:vAlign w:val="bottom"/>
          </w:tcPr>
          <w:p>
            <w:pPr>
              <w:spacing w:after="0"/>
              <w:rPr>
                <w:sz w:val="22"/>
                <w:szCs w:val="2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11,497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Pro forma net loss per share attributable to common stockholders,</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rPr>
              <w:t>basic and diluted</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w w:val="92"/>
              </w:rPr>
              <w:t>Pro forma weighted average number of common shares used in net</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20" w:type="dxa"/>
            <w:vAlign w:val="bottom"/>
            <w:gridSpan w:val="2"/>
          </w:tcPr>
          <w:p>
            <w:pPr>
              <w:ind w:left="180"/>
              <w:spacing w:after="0"/>
              <w:rPr>
                <w:sz w:val="20"/>
                <w:szCs w:val="20"/>
                <w:color w:val="auto"/>
              </w:rPr>
            </w:pPr>
            <w:r>
              <w:rPr>
                <w:rFonts w:ascii="Arial" w:cs="Arial" w:eastAsia="Arial" w:hAnsi="Arial"/>
                <w:sz w:val="18"/>
                <w:szCs w:val="18"/>
                <w:color w:val="auto"/>
                <w:w w:val="97"/>
              </w:rPr>
              <w:t>loss per share attributable to common stockholders, basic and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02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76,655</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w w:val="92"/>
              </w:rPr>
              <w:t>118,580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0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1880" w:hanging="544"/>
        <w:spacing w:after="0" w:line="259" w:lineRule="auto"/>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12 to our annual and interim consolidated financial statements appearing at the end of this prospectus for details on the calculation of basic and diluted net loss per share attributable to common stockholders and basic and diluted pro forma net loss per share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92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5923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As of March 31, 2019</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4"/>
        </w:trPr>
        <w:tc>
          <w:tcPr>
            <w:tcW w:w="90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12"/>
              <w:spacing w:after="0" w:line="125" w:lineRule="exact"/>
              <w:rPr>
                <w:sz w:val="20"/>
                <w:szCs w:val="20"/>
                <w:color w:val="auto"/>
              </w:rPr>
            </w:pPr>
            <w:r>
              <w:rPr>
                <w:rFonts w:ascii="Arial" w:cs="Arial" w:eastAsia="Arial" w:hAnsi="Arial"/>
                <w:sz w:val="14"/>
                <w:szCs w:val="14"/>
                <w:b w:val="1"/>
                <w:bCs w:val="1"/>
                <w:color w:val="auto"/>
                <w:w w:val="88"/>
              </w:rPr>
              <w:t>Pro Forma</w:t>
            </w:r>
          </w:p>
        </w:tc>
        <w:tc>
          <w:tcPr>
            <w:tcW w:w="160" w:type="dxa"/>
            <w:vAlign w:val="bottom"/>
          </w:tcPr>
          <w:p>
            <w:pPr>
              <w:spacing w:after="0"/>
              <w:rPr>
                <w:sz w:val="10"/>
                <w:szCs w:val="10"/>
                <w:color w:val="auto"/>
              </w:rPr>
            </w:pPr>
          </w:p>
        </w:tc>
      </w:tr>
      <w:tr>
        <w:trPr>
          <w:trHeight w:val="193"/>
        </w:trPr>
        <w:tc>
          <w:tcPr>
            <w:tcW w:w="9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6"/>
                <w:szCs w:val="16"/>
                <w:color w:val="auto"/>
              </w:rPr>
            </w:pPr>
          </w:p>
        </w:tc>
        <w:tc>
          <w:tcPr>
            <w:tcW w:w="1140" w:type="dxa"/>
            <w:vAlign w:val="bottom"/>
            <w:gridSpan w:val="3"/>
          </w:tcPr>
          <w:p>
            <w:pPr>
              <w:ind w:left="20"/>
              <w:spacing w:after="0" w:line="193"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(2)</w:t>
            </w:r>
          </w:p>
        </w:tc>
        <w:tc>
          <w:tcPr>
            <w:tcW w:w="1100" w:type="dxa"/>
            <w:vAlign w:val="bottom"/>
            <w:gridSpan w:val="2"/>
          </w:tcPr>
          <w:p>
            <w:pPr>
              <w:jc w:val="center"/>
              <w:ind w:right="260"/>
              <w:spacing w:after="0" w:line="193" w:lineRule="exact"/>
              <w:rPr>
                <w:sz w:val="20"/>
                <w:szCs w:val="20"/>
                <w:color w:val="auto"/>
              </w:rPr>
            </w:pPr>
            <w:r>
              <w:rPr>
                <w:rFonts w:ascii="Arial" w:cs="Arial" w:eastAsia="Arial" w:hAnsi="Arial"/>
                <w:sz w:val="14"/>
                <w:szCs w:val="14"/>
                <w:b w:val="1"/>
                <w:bCs w:val="1"/>
                <w:color w:val="auto"/>
                <w:w w:val="84"/>
              </w:rPr>
              <w:t>As Adjusted</w:t>
            </w:r>
            <w:r>
              <w:rPr>
                <w:rFonts w:ascii="Arial" w:cs="Arial" w:eastAsia="Arial" w:hAnsi="Arial"/>
                <w:sz w:val="22"/>
                <w:szCs w:val="22"/>
                <w:b w:val="1"/>
                <w:bCs w:val="1"/>
                <w:color w:val="auto"/>
                <w:w w:val="84"/>
                <w:vertAlign w:val="superscript"/>
              </w:rPr>
              <w:t>(3)</w:t>
            </w:r>
          </w:p>
        </w:tc>
      </w:tr>
      <w:tr>
        <w:trPr>
          <w:trHeight w:val="142"/>
        </w:trPr>
        <w:tc>
          <w:tcPr>
            <w:tcW w:w="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   62,452</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62,452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59,306</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59,306</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75,588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75,588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165,136</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(99,687)</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65,449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1880" w:hanging="544"/>
        <w:spacing w:after="0"/>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8" w:lineRule="exact"/>
        <w:rPr>
          <w:rFonts w:ascii="Arial" w:cs="Arial" w:eastAsia="Arial" w:hAnsi="Arial"/>
          <w:sz w:val="18"/>
          <w:szCs w:val="18"/>
          <w:color w:val="auto"/>
        </w:rPr>
      </w:pPr>
    </w:p>
    <w:p>
      <w:pPr>
        <w:ind w:left="1880" w:hanging="544"/>
        <w:spacing w:after="0" w:line="268" w:lineRule="auto"/>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 forma balance sheet data give effect to the automatic conversion of all outstanding shares of our preferred stock into an aggregate of 112,500,000 shares of common stock upon the closing of this offering.</w:t>
      </w:r>
    </w:p>
    <w:p>
      <w:pPr>
        <w:spacing w:after="0" w:line="186"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360" w:type="dxa"/>
            <w:vAlign w:val="bottom"/>
          </w:tcPr>
          <w:p>
            <w:pPr>
              <w:jc w:val="right"/>
              <w:ind w:right="72"/>
              <w:spacing w:after="0"/>
              <w:rPr>
                <w:sz w:val="20"/>
                <w:szCs w:val="20"/>
                <w:color w:val="auto"/>
              </w:rPr>
            </w:pPr>
            <w:r>
              <w:rPr>
                <w:rFonts w:ascii="Arial" w:cs="Arial" w:eastAsia="Arial" w:hAnsi="Arial"/>
                <w:sz w:val="18"/>
                <w:szCs w:val="18"/>
                <w:color w:val="auto"/>
                <w:w w:val="81"/>
              </w:rPr>
              <w:t>(3)</w:t>
            </w:r>
          </w:p>
        </w:tc>
        <w:tc>
          <w:tcPr>
            <w:tcW w:w="6980" w:type="dxa"/>
            <w:vAlign w:val="bottom"/>
            <w:gridSpan w:val="2"/>
          </w:tcPr>
          <w:p>
            <w:pPr>
              <w:ind w:left="180"/>
              <w:spacing w:after="0"/>
              <w:rPr>
                <w:sz w:val="20"/>
                <w:szCs w:val="20"/>
                <w:color w:val="auto"/>
              </w:rPr>
            </w:pPr>
            <w:r>
              <w:rPr>
                <w:rFonts w:ascii="Arial" w:cs="Arial" w:eastAsia="Arial" w:hAnsi="Arial"/>
                <w:sz w:val="18"/>
                <w:szCs w:val="18"/>
                <w:color w:val="auto"/>
                <w:w w:val="92"/>
              </w:rPr>
              <w:t>The pro forma as adjusted balance sheet data give further effect to our issuance and sale of</w:t>
            </w:r>
          </w:p>
        </w:tc>
        <w:tc>
          <w:tcPr>
            <w:tcW w:w="2500" w:type="dxa"/>
            <w:vAlign w:val="bottom"/>
          </w:tcPr>
          <w:p>
            <w:pPr>
              <w:jc w:val="right"/>
              <w:spacing w:after="0"/>
              <w:rPr>
                <w:sz w:val="20"/>
                <w:szCs w:val="20"/>
                <w:color w:val="auto"/>
              </w:rPr>
            </w:pPr>
            <w:r>
              <w:rPr>
                <w:rFonts w:ascii="Arial" w:cs="Arial" w:eastAsia="Arial" w:hAnsi="Arial"/>
                <w:sz w:val="18"/>
                <w:szCs w:val="18"/>
                <w:color w:val="auto"/>
              </w:rPr>
              <w:t>shares of our common stock in</w:t>
            </w:r>
          </w:p>
        </w:tc>
      </w:tr>
      <w:tr>
        <w:trPr>
          <w:trHeight w:val="216"/>
        </w:trPr>
        <w:tc>
          <w:tcPr>
            <w:tcW w:w="36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w w:val="95"/>
              </w:rPr>
              <w:t>this offering at an assumed initial public offering price of $</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w w:val="93"/>
              </w:rPr>
              <w:t>per share, which is the midpoint of the price range set forth on the</w:t>
            </w:r>
          </w:p>
        </w:tc>
      </w:tr>
      <w:tr>
        <w:trPr>
          <w:trHeight w:val="216"/>
        </w:trPr>
        <w:tc>
          <w:tcPr>
            <w:tcW w:w="360" w:type="dxa"/>
            <w:vAlign w:val="bottom"/>
          </w:tcPr>
          <w:p>
            <w:pPr>
              <w:spacing w:after="0"/>
              <w:rPr>
                <w:sz w:val="18"/>
                <w:szCs w:val="18"/>
                <w:color w:val="auto"/>
              </w:rPr>
            </w:pPr>
          </w:p>
        </w:tc>
        <w:tc>
          <w:tcPr>
            <w:tcW w:w="9480" w:type="dxa"/>
            <w:vAlign w:val="bottom"/>
            <w:gridSpan w:val="3"/>
          </w:tcPr>
          <w:p>
            <w:pPr>
              <w:ind w:left="180"/>
              <w:spacing w:after="0"/>
              <w:rPr>
                <w:sz w:val="20"/>
                <w:szCs w:val="20"/>
                <w:color w:val="auto"/>
              </w:rPr>
            </w:pPr>
            <w:r>
              <w:rPr>
                <w:rFonts w:ascii="Arial" w:cs="Arial" w:eastAsia="Arial" w:hAnsi="Arial"/>
                <w:sz w:val="18"/>
                <w:szCs w:val="18"/>
                <w:color w:val="auto"/>
                <w:w w:val="89"/>
              </w:rPr>
              <w:t>cover page of this prospectus, after deducting estimated underwriting discounts and commissions and estimated offering expenses</w:t>
            </w:r>
          </w:p>
        </w:tc>
      </w:tr>
      <w:tr>
        <w:trPr>
          <w:trHeight w:val="222"/>
        </w:trPr>
        <w:tc>
          <w:tcPr>
            <w:tcW w:w="36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payable by us.</w:t>
            </w:r>
          </w:p>
        </w:tc>
        <w:tc>
          <w:tcPr>
            <w:tcW w:w="24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pro forma as adjusted information discussed above is illustrative only and will change based on the actual initial public offering price and other</w:t>
      </w:r>
    </w:p>
    <w:p>
      <w:pPr>
        <w:spacing w:after="0" w:line="38" w:lineRule="exact"/>
        <w:rPr>
          <w:sz w:val="20"/>
          <w:szCs w:val="20"/>
          <w:color w:val="auto"/>
        </w:rPr>
      </w:pPr>
    </w:p>
    <w:p>
      <w:pPr>
        <w:jc w:val="both"/>
        <w:ind w:left="240"/>
        <w:spacing w:after="0" w:line="281" w:lineRule="auto"/>
        <w:rPr>
          <w:sz w:val="20"/>
          <w:szCs w:val="20"/>
          <w:color w:val="auto"/>
        </w:rPr>
      </w:pPr>
      <w:r>
        <w:rPr>
          <w:rFonts w:ascii="Arial" w:cs="Arial" w:eastAsia="Arial" w:hAnsi="Arial"/>
          <w:sz w:val="16"/>
          <w:szCs w:val="16"/>
          <w:color w:val="auto"/>
        </w:rPr>
        <w:t>terms of this offering determined at pricing. A $1.00 increase (decrease) in the assumed initial public offering price of $ per share, which is the midpoint of the price range set forth on the cover page of this prospectus, would increase (decrease) the pro forma as adjusted amount of each of cash and</w:t>
      </w:r>
    </w:p>
    <w:p>
      <w:pPr>
        <w:spacing w:after="0" w:line="1" w:lineRule="exact"/>
        <w:rPr>
          <w:sz w:val="20"/>
          <w:szCs w:val="20"/>
          <w:color w:val="auto"/>
        </w:rPr>
      </w:pPr>
    </w:p>
    <w:p>
      <w:pPr>
        <w:jc w:val="both"/>
        <w:ind w:left="240"/>
        <w:spacing w:after="0" w:line="300" w:lineRule="auto"/>
        <w:rPr>
          <w:sz w:val="20"/>
          <w:szCs w:val="20"/>
          <w:color w:val="auto"/>
        </w:rPr>
      </w:pPr>
      <w:r>
        <w:rPr>
          <w:rFonts w:ascii="Arial" w:cs="Arial" w:eastAsia="Arial" w:hAnsi="Arial"/>
          <w:sz w:val="15"/>
          <w:szCs w:val="15"/>
          <w:color w:val="auto"/>
        </w:rPr>
        <w:t>cash equivalents, 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working capital, total assets and total stockholders'</w:t>
      </w:r>
    </w:p>
    <w:p>
      <w:pPr>
        <w:spacing w:after="0" w:line="2" w:lineRule="exact"/>
        <w:rPr>
          <w:sz w:val="20"/>
          <w:szCs w:val="20"/>
          <w:color w:val="auto"/>
        </w:rPr>
      </w:pPr>
    </w:p>
    <w:p>
      <w:pPr>
        <w:jc w:val="both"/>
        <w:ind w:left="240"/>
        <w:spacing w:after="0" w:line="261" w:lineRule="auto"/>
        <w:rPr>
          <w:sz w:val="20"/>
          <w:szCs w:val="20"/>
          <w:color w:val="auto"/>
        </w:rPr>
      </w:pPr>
      <w:r>
        <w:rPr>
          <w:rFonts w:ascii="Arial" w:cs="Arial" w:eastAsia="Arial" w:hAnsi="Arial"/>
          <w:sz w:val="18"/>
          <w:szCs w:val="18"/>
          <w:color w:val="auto"/>
        </w:rPr>
        <w:t>equity by $ 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appearing at the end of this prospectus, before deciding to invest in our common stock.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our inception. We expect to incur losses over the next several years and may never achieve or maintain profitability.</w:t>
      </w:r>
    </w:p>
    <w:p>
      <w:pPr>
        <w:spacing w:after="0" w:line="260" w:lineRule="exact"/>
        <w:rPr>
          <w:sz w:val="20"/>
          <w:szCs w:val="20"/>
          <w:color w:val="auto"/>
        </w:rPr>
      </w:pPr>
    </w:p>
    <w:p>
      <w:pPr>
        <w:jc w:val="both"/>
        <w:ind w:firstLine="398"/>
        <w:spacing w:after="0" w:line="290" w:lineRule="auto"/>
        <w:rPr>
          <w:sz w:val="20"/>
          <w:szCs w:val="20"/>
          <w:color w:val="auto"/>
        </w:rPr>
      </w:pPr>
      <w:r>
        <w:rPr>
          <w:rFonts w:ascii="Arial" w:cs="Arial" w:eastAsia="Arial" w:hAnsi="Arial"/>
          <w:sz w:val="16"/>
          <w:szCs w:val="16"/>
          <w:color w:val="auto"/>
        </w:rPr>
        <w:t>Since inception, we have incurred significant operating losses. Our net loss was $23.0 million for the year ended December 31, 2017, $32.6 million for the year ended December 31, 2018 and $36.8 million for the three months ended March 31, 2019. As of March 31, 2019, we had an accumulated deficit of $105.0 million. To date, we have financed our operations primarily through the issuance of convertible notes and convertible preferred stock.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186" w:lineRule="exact"/>
        <w:rPr>
          <w:sz w:val="20"/>
          <w:szCs w:val="20"/>
          <w:color w:val="auto"/>
        </w:rPr>
      </w:pPr>
    </w:p>
    <w:p>
      <w:pPr>
        <w:ind w:left="1080" w:right="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1 clinical trial and planned Phase 2b clinical trial and Phase 2 open label clinical trial;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 investigational new drug application, or IND, enabling studies and prepare for a planned Phase 1 clinical trial of FTX-HbF;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regulatory approval;</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0"/>
        <w:spacing w:after="0" w:line="290"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186" w:lineRule="exact"/>
        <w:rPr>
          <w:sz w:val="20"/>
          <w:szCs w:val="20"/>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are any third-party challenges to our intellectual property or we need to defend against any intellectual property-related claim.</w:t>
      </w:r>
    </w:p>
    <w:p>
      <w:pPr>
        <w:spacing w:after="0" w:line="248" w:lineRule="exact"/>
        <w:rPr>
          <w:sz w:val="20"/>
          <w:szCs w:val="20"/>
          <w:color w:val="auto"/>
        </w:rPr>
      </w:pPr>
    </w:p>
    <w:p>
      <w:pPr>
        <w:jc w:val="both"/>
        <w:ind w:firstLine="394"/>
        <w:spacing w:after="0" w:line="256"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you to lose all or part of your investment.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86" w:lineRule="exact"/>
        <w:rPr>
          <w:sz w:val="20"/>
          <w:szCs w:val="20"/>
          <w:color w:val="auto"/>
        </w:rPr>
      </w:pPr>
    </w:p>
    <w:p>
      <w:pPr>
        <w:jc w:val="both"/>
        <w:ind w:firstLine="586"/>
        <w:spacing w:after="0" w:line="288" w:lineRule="auto"/>
        <w:rPr>
          <w:sz w:val="20"/>
          <w:szCs w:val="20"/>
          <w:color w:val="auto"/>
        </w:rPr>
      </w:pPr>
      <w:r>
        <w:rPr>
          <w:rFonts w:ascii="Arial" w:cs="Arial" w:eastAsia="Arial" w:hAnsi="Arial"/>
          <w:sz w:val="16"/>
          <w:szCs w:val="16"/>
          <w:color w:val="auto"/>
        </w:rPr>
        <w:t>We expect to devote substantial financial resources to our ongoing and planned activities, particularly as we continue our Phase 1 clinical trial of losmapimod and prepare for a planned Phase 2b clinical trial and Phase 2 open label clinical trial of losmapimod and planned Phase 1 clinical trial of FTX-HbF;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1 clinical trial of losmapimod;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2b clinical trial and planned Phase 2 open label clinical trial of losmapimod and our planned Phase 1 clinical trial of FTX-HbF;</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arrangements;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both"/>
        <w:ind w:firstLine="384"/>
        <w:spacing w:after="0" w:line="286" w:lineRule="auto"/>
        <w:rPr>
          <w:sz w:val="20"/>
          <w:szCs w:val="20"/>
          <w:color w:val="auto"/>
        </w:rPr>
      </w:pPr>
      <w:r>
        <w:rPr>
          <w:rFonts w:ascii="Arial" w:cs="Arial" w:eastAsia="Arial" w:hAnsi="Arial"/>
          <w:sz w:val="16"/>
          <w:szCs w:val="16"/>
          <w:color w:val="auto"/>
        </w:rPr>
        <w:t>As of March 31, 2019, we had cash and cash equivalents of approximately $62.5 million. We believe that the net proceeds from this offering, together with our existing cash and cash equivalents as of March 31, 2019, will enable us to fund our operating expenses and capital expenditure requirements</w:t>
      </w:r>
    </w:p>
    <w:p>
      <w:pPr>
        <w:jc w:val="both"/>
        <w:ind w:right="20"/>
        <w:spacing w:after="0" w:line="261" w:lineRule="auto"/>
        <w:rPr>
          <w:sz w:val="20"/>
          <w:szCs w:val="20"/>
          <w:color w:val="auto"/>
        </w:rPr>
      </w:pPr>
      <w:r>
        <w:rPr>
          <w:rFonts w:ascii="Arial" w:cs="Arial" w:eastAsia="Arial" w:hAnsi="Arial"/>
          <w:sz w:val="18"/>
          <w:szCs w:val="18"/>
          <w:color w:val="auto"/>
        </w:rPr>
        <w:t>through .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92" w:lineRule="exact"/>
        <w:rPr>
          <w:sz w:val="20"/>
          <w:szCs w:val="20"/>
          <w:color w:val="auto"/>
        </w:rPr>
      </w:pPr>
    </w:p>
    <w:p>
      <w:pPr>
        <w:jc w:val="both"/>
        <w:ind w:firstLine="363"/>
        <w:spacing w:after="0" w:line="288"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186"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We commenced activities in 2015 and are an early-stage company. Our operations to date have been limited to organizing and staffing our company, business planning, raising capital, developing our technology, identifying drug targets and potential product candidates, undertaking preclinical studies and conducting one early-stage clinical trial.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7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94" w:lineRule="exact"/>
        <w:rPr>
          <w:sz w:val="20"/>
          <w:szCs w:val="20"/>
          <w:color w:val="auto"/>
        </w:rPr>
      </w:pPr>
    </w:p>
    <w:p>
      <w:pPr>
        <w:jc w:val="both"/>
        <w:ind w:firstLine="359"/>
        <w:spacing w:after="0" w:line="332" w:lineRule="auto"/>
        <w:rPr>
          <w:sz w:val="20"/>
          <w:szCs w:val="20"/>
          <w:color w:val="auto"/>
        </w:rPr>
      </w:pPr>
      <w:r>
        <w:rPr>
          <w:rFonts w:ascii="Arial" w:cs="Arial" w:eastAsia="Arial" w:hAnsi="Arial"/>
          <w:sz w:val="16"/>
          <w:szCs w:val="16"/>
          <w:color w:val="auto"/>
        </w:rPr>
        <w:t>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conditions and events that raise substantial doubt about our ability to continue as a going concern.</w:t>
      </w:r>
    </w:p>
    <w:p>
      <w:pPr>
        <w:spacing w:after="0" w:line="225" w:lineRule="exact"/>
        <w:rPr>
          <w:sz w:val="20"/>
          <w:szCs w:val="20"/>
          <w:color w:val="auto"/>
        </w:rPr>
      </w:pPr>
    </w:p>
    <w:p>
      <w:pPr>
        <w:jc w:val="both"/>
        <w:ind w:firstLine="472"/>
        <w:spacing w:after="0" w:line="286" w:lineRule="auto"/>
        <w:rPr>
          <w:sz w:val="20"/>
          <w:szCs w:val="20"/>
          <w:color w:val="auto"/>
        </w:rPr>
      </w:pPr>
      <w:r>
        <w:rPr>
          <w:rFonts w:ascii="Arial" w:cs="Arial" w:eastAsia="Arial" w:hAnsi="Arial"/>
          <w:sz w:val="16"/>
          <w:szCs w:val="16"/>
          <w:color w:val="auto"/>
        </w:rPr>
        <w:t>We may be forced to delay or reduce the scope of our development programs and/or limit or cease our operations if we are unable to obtain additional funding to support our current operating plan. We have identified conditions and events that raise substantial doubt about our ability to continue as a going concern. As of March 31, 2019, we had approximately $62.5 million in cash and cash equivalents. Based on our available cash resources, we believe we do not have sufficient cash on hand to support current operations for at least one year from the date that the consolidated financial statements for the year ended December 31, 2018 and the consolidated financial statements for the three months ended March 31, 2019 appearing at the end of this prospectus were issued. This condition raises substantial doubt about our ability to continue as a going concern for at least one year from the date of issuance of the financial statements appearing at the end of this prospectus, and our independent registered public accounting firm's report on our consolidated financial statements appearing at the end of this prospectus includes a going concern uncertainty paragraph. We will need to raise additional capital in this offering and/or otherwise to fund our future operations and remain as a going concern. However, we cannot guarantee that we will be able to obtain sufficient additional funding in this offering or otherwise or that such funding, if available, will be obtainable on terms satisfactory to us. In the event that we are unable to obtain sufficient additional funding, there can be no assurance that we will be able to continue as a going concern.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passed in 2017 could adversely affect our business and financial condition.</w:t>
      </w:r>
    </w:p>
    <w:p>
      <w:pPr>
        <w:spacing w:after="0" w:line="225"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6"/>
          <w:szCs w:val="16"/>
          <w:color w:val="auto"/>
        </w:rPr>
        <w:t>On December 22, 2017, the U.S. government enacted legislation commonly referred to as the Tax Cuts and Jobs Act, or the TCJA, which significantly reformed the Internal Revenue Code of 1986, as amended, or the Code. The TCJA, among other things, contains significant changes to corporate taxation, including reduction of the corporate tax rate from a top marginal rate of 35% to a flat rate of 21%, limitation of the tax deduction for net interest expense to 30% of adjusted earnings (except for certain small businesses), limitation of the deduction for net operating losses, or NOLs, to 80% of current year taxable income and elimination of NOL carrybacks, in each case, for losses arising in taxable years beginning after December 31, 2017 (though any such NOLs may be carried forward indefinitely),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TCJA remains uncertain and our business and financial condition could be adversely affected. In addition, how various states will respond to the TCJA continues to be uncertain. The impact of this tax reform on holders of our common stock is also uncertain and could be adverse. We urge prospective investors in our common stock to consult with their legal and tax advisors with respect to TCJA and the potential tax consequences of investing in or holding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NOLs and research and development tax credit carryforwards to offset future taxable income may be subject to certain limitations.</w:t>
      </w:r>
    </w:p>
    <w:p>
      <w:pPr>
        <w:spacing w:after="0" w:line="260" w:lineRule="exact"/>
        <w:rPr>
          <w:sz w:val="20"/>
          <w:szCs w:val="20"/>
          <w:color w:val="auto"/>
        </w:rPr>
      </w:pPr>
    </w:p>
    <w:p>
      <w:pPr>
        <w:jc w:val="both"/>
        <w:ind w:firstLine="379"/>
        <w:spacing w:after="0" w:line="298" w:lineRule="auto"/>
        <w:rPr>
          <w:sz w:val="20"/>
          <w:szCs w:val="20"/>
          <w:color w:val="auto"/>
        </w:rPr>
      </w:pPr>
      <w:r>
        <w:rPr>
          <w:rFonts w:ascii="Arial" w:cs="Arial" w:eastAsia="Arial" w:hAnsi="Arial"/>
          <w:sz w:val="16"/>
          <w:szCs w:val="16"/>
          <w:color w:val="auto"/>
        </w:rPr>
        <w:t>As of December 31, 2018, we had federal and state net operating loss carryforwards of $60.7 million and $60.5 million, respectively, which begin to expire in 2035. Approximately $29.7 million of the federal net operating losses can be carried forward indefinitely. As of December 31, 2018, we also had federal and state research and development tax credit carryforwards of $1.5 million and $1.3 million, respectively, which begin to expire in 2035. These net operating loss and tax credit carryforwards could expire unused and be unavailable to offset future income tax liabilities.</w:t>
      </w:r>
    </w:p>
    <w:p>
      <w:pPr>
        <w:spacing w:after="0" w:line="167" w:lineRule="exact"/>
        <w:rPr>
          <w:sz w:val="20"/>
          <w:szCs w:val="20"/>
          <w:color w:val="auto"/>
        </w:rPr>
      </w:pPr>
    </w:p>
    <w:p>
      <w:pPr>
        <w:jc w:val="both"/>
        <w:ind w:right="20" w:firstLine="492"/>
        <w:spacing w:after="0" w:line="33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NOLs or research and development tax credit carryforwards.</w:t>
      </w:r>
    </w:p>
    <w:p>
      <w:pPr>
        <w:spacing w:after="0" w:line="139" w:lineRule="exact"/>
        <w:rPr>
          <w:sz w:val="20"/>
          <w:szCs w:val="20"/>
          <w:color w:val="auto"/>
        </w:rPr>
      </w:pPr>
    </w:p>
    <w:p>
      <w:pPr>
        <w:jc w:val="both"/>
        <w:ind w:firstLine="484"/>
        <w:spacing w:after="0" w:line="291" w:lineRule="auto"/>
        <w:rPr>
          <w:sz w:val="20"/>
          <w:szCs w:val="20"/>
          <w:color w:val="auto"/>
        </w:rPr>
      </w:pPr>
      <w:r>
        <w:rPr>
          <w:rFonts w:ascii="Arial" w:cs="Arial" w:eastAsia="Arial" w:hAnsi="Arial"/>
          <w:sz w:val="16"/>
          <w:szCs w:val="16"/>
          <w:color w:val="auto"/>
        </w:rPr>
        <w:t>In general, under Section 382 of the Code and corresponding provisions of state law, a corporation that undergoes an "ownership change"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as a result of this offering and/or subsequent changes in our stock ownership (which may be outside our control). As a result, if, and to the extent that, we earn net taxable income, our ability to use our pre-change NOLs and research and development tax credit carryforwards to offset such taxable income may be subject to limitations. Our NOLs or credits may also be impaired under state law.</w:t>
      </w:r>
    </w:p>
    <w:p>
      <w:pPr>
        <w:spacing w:after="0" w:line="174"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In addition, as described above in "Comprehensive tax reform legislation passed in 2017 could adversely affect our business and financial condition," the TCJA includes changes to U.S. federal tax rates and the rules governing NOL carryforwards that may significantly impact our ability to utilize our NOLs to offset taxable income in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116" w:lineRule="exact"/>
        <w:rPr>
          <w:sz w:val="20"/>
          <w:szCs w:val="20"/>
          <w:color w:val="auto"/>
        </w:rPr>
      </w:pPr>
    </w:p>
    <w:p>
      <w:pPr>
        <w:jc w:val="both"/>
        <w:ind w:firstLine="370"/>
        <w:spacing w:after="0" w:line="254" w:lineRule="auto"/>
        <w:rPr>
          <w:sz w:val="20"/>
          <w:szCs w:val="20"/>
          <w:color w:val="auto"/>
        </w:rPr>
      </w:pPr>
      <w:r>
        <w:rPr>
          <w:rFonts w:ascii="Arial" w:cs="Arial" w:eastAsia="Arial" w:hAnsi="Arial"/>
          <w:sz w:val="18"/>
          <w:szCs w:val="18"/>
          <w:color w:val="auto"/>
        </w:rPr>
        <w:t>We are early in our development efforts, and we have advanced only one candidate into clinical trials, losmapimod for the treatment of facioscapulohumeral muscular dystrophy, or FSHD. FTX-HbF, our other product candidate, is in IND-enabling studies.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21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the FDA or other regulatory agencies of the INDs, clinical trial applications, or CTAs, or other regulatory filings for losmapimod, FTX-HbF and future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applying for and receiving marketing approvals from applicable regulatory authorities;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firstLine="384"/>
        <w:spacing w:after="0" w:line="26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225" w:lineRule="exact"/>
        <w:rPr>
          <w:sz w:val="20"/>
          <w:szCs w:val="20"/>
          <w:color w:val="auto"/>
        </w:rPr>
      </w:pPr>
    </w:p>
    <w:p>
      <w:pPr>
        <w:ind w:right="20" w:firstLine="487"/>
        <w:spacing w:after="0" w:line="332" w:lineRule="auto"/>
        <w:rPr>
          <w:sz w:val="20"/>
          <w:szCs w:val="20"/>
          <w:color w:val="auto"/>
        </w:rPr>
      </w:pPr>
      <w:r>
        <w:rPr>
          <w:rFonts w:ascii="Arial" w:cs="Arial" w:eastAsia="Arial" w:hAnsi="Arial"/>
          <w:sz w:val="16"/>
          <w:szCs w:val="16"/>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you any assurance that we will be able to successfully identify additional product candidates with our product engine,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94"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color w:val="auto"/>
        </w:rPr>
        <w:t>We have one product candidate in clinical development and one product candidate in IND-enabling studies.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begun or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9"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72"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1"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color w:val="auto"/>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3,500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74"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99"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261"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8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20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194" w:lineRule="exact"/>
        <w:rPr>
          <w:sz w:val="20"/>
          <w:szCs w:val="20"/>
          <w:color w:val="auto"/>
        </w:rPr>
      </w:pPr>
    </w:p>
    <w:p>
      <w:pPr>
        <w:jc w:val="both"/>
        <w:ind w:firstLine="387"/>
        <w:spacing w:after="0" w:line="286" w:lineRule="auto"/>
        <w:rPr>
          <w:sz w:val="20"/>
          <w:szCs w:val="20"/>
          <w:color w:val="auto"/>
        </w:rPr>
      </w:pPr>
      <w:r>
        <w:rPr>
          <w:rFonts w:ascii="Arial" w:cs="Arial" w:eastAsia="Arial" w:hAnsi="Arial"/>
          <w:sz w:val="16"/>
          <w:szCs w:val="16"/>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75" w:lineRule="exact"/>
        <w:rPr>
          <w:sz w:val="20"/>
          <w:szCs w:val="20"/>
          <w:color w:val="auto"/>
        </w:rPr>
      </w:pPr>
    </w:p>
    <w:p>
      <w:pPr>
        <w:jc w:val="both"/>
        <w:ind w:firstLine="470"/>
        <w:spacing w:after="0" w:line="253" w:lineRule="auto"/>
        <w:rPr>
          <w:sz w:val="20"/>
          <w:szCs w:val="20"/>
          <w:color w:val="auto"/>
        </w:rPr>
      </w:pPr>
      <w:r>
        <w:rPr>
          <w:rFonts w:ascii="Arial" w:cs="Arial" w:eastAsia="Arial" w:hAnsi="Arial"/>
          <w:sz w:val="18"/>
          <w:szCs w:val="18"/>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86" w:lineRule="exact"/>
        <w:rPr>
          <w:sz w:val="20"/>
          <w:szCs w:val="20"/>
          <w:color w:val="auto"/>
        </w:rPr>
      </w:pPr>
    </w:p>
    <w:p>
      <w:pPr>
        <w:jc w:val="both"/>
        <w:ind w:firstLine="420"/>
        <w:spacing w:after="0" w:line="255"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238" w:lineRule="exact"/>
        <w:rPr>
          <w:rFonts w:ascii="Arial" w:cs="Arial" w:eastAsia="Arial" w:hAnsi="Arial"/>
          <w:sz w:val="18"/>
          <w:szCs w:val="18"/>
          <w:color w:val="auto"/>
        </w:rPr>
      </w:pPr>
    </w:p>
    <w:p>
      <w:pPr>
        <w:ind w:left="5620" w:right="3720" w:hanging="5072"/>
        <w:spacing w:after="0" w:line="519" w:lineRule="auto"/>
        <w:tabs>
          <w:tab w:leader="none" w:pos="10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25"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186"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97"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9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39"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cause undesirable side effects, a number of potentially significant negative consequences could result, including: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requirement that we implement a REMS or create a medication guide outlining the risks of such side effects for distribution to patients;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6" w:lineRule="exact"/>
        <w:rPr>
          <w:sz w:val="20"/>
          <w:szCs w:val="20"/>
          <w:color w:val="auto"/>
        </w:rPr>
      </w:pPr>
    </w:p>
    <w:p>
      <w:pPr>
        <w:jc w:val="both"/>
        <w:ind w:firstLine="531"/>
        <w:spacing w:after="0" w:line="289"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disorders, hemoglobinopathies and central nervous system diseases.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7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are conducting a Phase 1 clinical trial of losmapimod in patients with FSHD in Europe and currently plan to conduct additional clinical trials for our product candidates at sites outside the United States, and the FDA may not accept data from trials conducted in such locations.</w:t>
      </w:r>
    </w:p>
    <w:p>
      <w:pPr>
        <w:spacing w:after="0" w:line="139"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We are currently conducting a Phase 1 clinical trial of losmapimod in patients with FSHD in Europe, and we plan to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194" w:lineRule="exact"/>
        <w:rPr>
          <w:sz w:val="20"/>
          <w:szCs w:val="20"/>
          <w:color w:val="auto"/>
        </w:rPr>
      </w:pPr>
    </w:p>
    <w:p>
      <w:pPr>
        <w:jc w:val="both"/>
        <w:ind w:firstLine="366"/>
        <w:spacing w:after="0" w:line="255"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21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efficacy and potential advantages of our product candidates compared to the advantages and relative risks of alternative treatments;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jc w:val="both"/>
        <w:ind w:firstLine="549"/>
        <w:spacing w:after="0" w:line="294" w:lineRule="auto"/>
        <w:rPr>
          <w:sz w:val="20"/>
          <w:szCs w:val="20"/>
          <w:color w:val="auto"/>
        </w:rPr>
      </w:pPr>
      <w:r>
        <w:rPr>
          <w:rFonts w:ascii="Arial" w:cs="Arial" w:eastAsia="Arial" w:hAnsi="Arial"/>
          <w:sz w:val="16"/>
          <w:szCs w:val="16"/>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physicians and payors to better understand the commercial landscape and to assist in our commercial planning.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1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94" w:lineRule="exact"/>
        <w:rPr>
          <w:sz w:val="20"/>
          <w:szCs w:val="20"/>
          <w:color w:val="auto"/>
        </w:rPr>
      </w:pPr>
    </w:p>
    <w:p>
      <w:pPr>
        <w:jc w:val="both"/>
        <w:ind w:firstLine="370"/>
        <w:spacing w:after="0" w:line="294" w:lineRule="auto"/>
        <w:rPr>
          <w:sz w:val="20"/>
          <w:szCs w:val="20"/>
          <w:color w:val="auto"/>
        </w:rPr>
      </w:pPr>
      <w:r>
        <w:rPr>
          <w:rFonts w:ascii="Arial" w:cs="Arial" w:eastAsia="Arial" w:hAnsi="Arial"/>
          <w:sz w:val="16"/>
          <w:szCs w:val="16"/>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39" w:lineRule="exact"/>
        <w:rPr>
          <w:sz w:val="20"/>
          <w:szCs w:val="20"/>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5"/>
        <w:spacing w:after="0" w:line="268" w:lineRule="auto"/>
        <w:rPr>
          <w:sz w:val="20"/>
          <w:szCs w:val="20"/>
          <w:color w:val="auto"/>
        </w:rPr>
      </w:pPr>
      <w:r>
        <w:rPr>
          <w:rFonts w:ascii="Arial" w:cs="Arial" w:eastAsia="Arial" w:hAnsi="Arial"/>
          <w:sz w:val="18"/>
          <w:szCs w:val="18"/>
          <w:color w:val="auto"/>
        </w:rPr>
        <w:t>If we are unable to establish our own sales, marketing and distribution capabilities and we enter into arrangements with third parties to perform these services, our product revenues and our profitability, if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jc w:val="both"/>
        <w:ind w:firstLine="429"/>
        <w:spacing w:after="0" w:line="28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2"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For example, we are aware of several product candidates in clinical development that could be competitive with product candidates that we may successfully develop and commercialize. Acceleron Pharma, Inc., or Acceleron, has a product candidate currently in Phase 2a clinical development for FSHD. Novartis AG, Global Blood Therapeutics, Inc., GlycoMimetics Inc., Pfizer, Inc., bluebird bio, Inc., Aruvant Sciences, Inc., EpiDestiny, Inc., or EpiDestiny (in collaboration with Novo Nordisk A/S), Imara, Inc. and Sangamo Therapeutics Inc., or Sangamo (in collaboration with Bioverativ Inc.), are developing therapeutic approaches for patients with sickle cell disease, or SCD. Acceleron (in collaboration with Celgene Corp.), Bellicum Pharmaceuticals, Inc., Kiadis Pharma, EpiDestiny (in collaboration with Novo Nordisk A/S), Orchard Therapeutics plc, Sangamo (in collaboration with Bioverativ, Inc.) and CRISPR Therapeutics AG (in collaboration with Vertex Pharmaceuticals, Inc.) are developing therapeutic approaches for patients with b-thalassemia.</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"Business—Competition" for additional information regarding competing products and product candidates.</w:t>
      </w:r>
    </w:p>
    <w:p>
      <w:pPr>
        <w:spacing w:after="0" w:line="225"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8"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161"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6"/>
          <w:szCs w:val="16"/>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1" w:lineRule="exact"/>
        <w:rPr>
          <w:sz w:val="20"/>
          <w:szCs w:val="20"/>
          <w:color w:val="auto"/>
        </w:rPr>
      </w:pPr>
    </w:p>
    <w:p>
      <w:pPr>
        <w:jc w:val="both"/>
        <w:ind w:firstLine="446"/>
        <w:spacing w:after="0" w:line="335" w:lineRule="auto"/>
        <w:rPr>
          <w:sz w:val="20"/>
          <w:szCs w:val="20"/>
          <w:color w:val="auto"/>
        </w:rPr>
      </w:pPr>
      <w:r>
        <w:rPr>
          <w:rFonts w:ascii="Arial" w:cs="Arial" w:eastAsia="Arial" w:hAnsi="Arial"/>
          <w:sz w:val="15"/>
          <w:szCs w:val="15"/>
          <w:color w:val="auto"/>
        </w:rPr>
        <w:t>Our target patient populations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142"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b w:val="1"/>
          <w:bCs w:val="1"/>
          <w:i w:val="1"/>
          <w:iCs w:val="1"/>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16" w:lineRule="exact"/>
        <w:rPr>
          <w:sz w:val="20"/>
          <w:szCs w:val="20"/>
          <w:color w:val="auto"/>
        </w:rPr>
      </w:pPr>
    </w:p>
    <w:p>
      <w:pPr>
        <w:jc w:val="both"/>
        <w:ind w:firstLine="368"/>
        <w:spacing w:after="0" w:line="288" w:lineRule="auto"/>
        <w:rPr>
          <w:sz w:val="20"/>
          <w:szCs w:val="20"/>
          <w:color w:val="auto"/>
        </w:rPr>
      </w:pPr>
      <w:r>
        <w:rPr>
          <w:rFonts w:ascii="Arial" w:cs="Arial" w:eastAsia="Arial" w:hAnsi="Arial"/>
          <w:sz w:val="16"/>
          <w:szCs w:val="16"/>
          <w:color w:val="auto"/>
        </w:rPr>
        <w:t>We expect to rely on third parties to manufacture clinical supplies of our product candidates and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or such facilities could face manufacturing issues, such as contamination or regulatory concerns following a regulatory inspection of such facility. In such instances, we may need to locate an appropriate replacement third-party facility and establish a contractual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86"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67"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186" w:lineRule="exact"/>
        <w:rPr>
          <w:sz w:val="20"/>
          <w:szCs w:val="20"/>
          <w:color w:val="auto"/>
        </w:rPr>
      </w:pPr>
    </w:p>
    <w:p>
      <w:pPr>
        <w:jc w:val="both"/>
        <w:ind w:firstLine="383"/>
        <w:spacing w:after="0" w:line="289"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2" w:lineRule="exact"/>
        <w:rPr>
          <w:sz w:val="20"/>
          <w:szCs w:val="20"/>
          <w:color w:val="auto"/>
        </w:rPr>
      </w:pPr>
    </w:p>
    <w:p>
      <w:pPr>
        <w:jc w:val="both"/>
        <w:ind w:firstLine="402"/>
        <w:spacing w:after="0" w:line="287" w:lineRule="auto"/>
        <w:rPr>
          <w:sz w:val="20"/>
          <w:szCs w:val="20"/>
          <w:color w:val="auto"/>
        </w:rPr>
      </w:pPr>
      <w:r>
        <w:rPr>
          <w:rFonts w:ascii="Arial" w:cs="Arial" w:eastAsia="Arial" w:hAnsi="Arial"/>
          <w:sz w:val="16"/>
          <w:szCs w:val="16"/>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available only to limited levels, we may not be able to successfully commercialize any product candidate for which we obtain marketing approval.</w:t>
      </w:r>
    </w:p>
    <w:p>
      <w:pPr>
        <w:spacing w:after="0" w:line="248"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1" w:lineRule="exact"/>
        <w:rPr>
          <w:sz w:val="20"/>
          <w:szCs w:val="20"/>
          <w:color w:val="auto"/>
        </w:rPr>
      </w:pPr>
    </w:p>
    <w:p>
      <w:pPr>
        <w:jc w:val="both"/>
        <w:ind w:firstLine="478"/>
        <w:spacing w:after="0" w:line="306" w:lineRule="auto"/>
        <w:rPr>
          <w:sz w:val="20"/>
          <w:szCs w:val="20"/>
          <w:color w:val="auto"/>
        </w:rPr>
      </w:pPr>
      <w:r>
        <w:rPr>
          <w:rFonts w:ascii="Arial" w:cs="Arial" w:eastAsia="Arial" w:hAnsi="Arial"/>
          <w:sz w:val="16"/>
          <w:szCs w:val="16"/>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186"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 European Union. If we commercialize our product candidates in foreign markets, we will be subject to additional risks and uncertainties, including:</w:t>
      </w:r>
    </w:p>
    <w:p>
      <w:pPr>
        <w:spacing w:after="0" w:line="15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trade protection measures, import or export licensing requirements or other restrictive actions by U.S. or foreign governments;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protection of intellectual property rights in some foreign countries, and related prevalence of generic alternatives to therapeutics;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238" w:lineRule="exact"/>
        <w:rPr>
          <w:rFonts w:ascii="Arial" w:cs="Arial" w:eastAsia="Arial" w:hAnsi="Arial"/>
          <w:sz w:val="18"/>
          <w:szCs w:val="18"/>
          <w:color w:val="auto"/>
        </w:rPr>
      </w:pPr>
    </w:p>
    <w:p>
      <w:pPr>
        <w:ind w:left="360" w:right="3120" w:firstLine="188"/>
        <w:spacing w:after="0" w:line="601" w:lineRule="auto"/>
        <w:tabs>
          <w:tab w:leader="none" w:pos="1089"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interpretation of contractual provisions governed by foreign laws in the event of a contract dispute. If risks related to any of these uncertainties materializes, it could have a material adverse effect on our business.</w:t>
      </w: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86" w:lineRule="exact"/>
        <w:rPr>
          <w:sz w:val="20"/>
          <w:szCs w:val="20"/>
          <w:color w:val="auto"/>
        </w:rPr>
      </w:pPr>
    </w:p>
    <w:p>
      <w:pPr>
        <w:jc w:val="both"/>
        <w:ind w:firstLine="408"/>
        <w:spacing w:after="0" w:line="291" w:lineRule="auto"/>
        <w:rPr>
          <w:sz w:val="20"/>
          <w:szCs w:val="20"/>
          <w:color w:val="auto"/>
        </w:rPr>
      </w:pPr>
      <w:r>
        <w:rPr>
          <w:rFonts w:ascii="Arial" w:cs="Arial" w:eastAsia="Arial" w:hAnsi="Arial"/>
          <w:sz w:val="16"/>
          <w:szCs w:val="16"/>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20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firstLine="482"/>
        <w:spacing w:after="0" w:line="294" w:lineRule="auto"/>
        <w:rPr>
          <w:sz w:val="20"/>
          <w:szCs w:val="20"/>
          <w:color w:val="auto"/>
        </w:rPr>
      </w:pPr>
      <w:r>
        <w:rPr>
          <w:rFonts w:ascii="Arial" w:cs="Arial" w:eastAsia="Arial" w:hAnsi="Arial"/>
          <w:sz w:val="16"/>
          <w:szCs w:val="16"/>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86" w:lineRule="exact"/>
        <w:rPr>
          <w:sz w:val="20"/>
          <w:szCs w:val="20"/>
          <w:color w:val="auto"/>
        </w:rPr>
      </w:pPr>
    </w:p>
    <w:p>
      <w:pPr>
        <w:jc w:val="both"/>
        <w:ind w:firstLine="411"/>
        <w:spacing w:after="0" w:line="332" w:lineRule="auto"/>
        <w:rPr>
          <w:sz w:val="20"/>
          <w:szCs w:val="20"/>
          <w:color w:val="auto"/>
        </w:rPr>
      </w:pPr>
      <w:r>
        <w:rPr>
          <w:rFonts w:ascii="Arial" w:cs="Arial" w:eastAsia="Arial" w:hAnsi="Arial"/>
          <w:sz w:val="16"/>
          <w:szCs w:val="16"/>
          <w:color w:val="auto"/>
        </w:rPr>
        <w:t>We currently rely on third-party clinical research organizations to conduct our ongoing Phase 1 clinical trial of losmapimod and plan to rely on third-party clinical research organizations or third-party research collaboratives to conduct our planned clinical trials. We do not plan to independently conduct clinical trials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61" w:lineRule="exact"/>
        <w:rPr>
          <w:sz w:val="20"/>
          <w:szCs w:val="20"/>
          <w:color w:val="auto"/>
        </w:rPr>
      </w:pPr>
    </w:p>
    <w:p>
      <w:pPr>
        <w:jc w:val="both"/>
        <w:ind w:firstLine="537"/>
        <w:spacing w:after="0" w:line="253"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20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97"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61" w:lineRule="exact"/>
        <w:rPr>
          <w:sz w:val="20"/>
          <w:szCs w:val="20"/>
          <w:color w:val="auto"/>
        </w:rPr>
      </w:pPr>
    </w:p>
    <w:p>
      <w:pPr>
        <w:jc w:val="both"/>
        <w:ind w:firstLine="482"/>
        <w:spacing w:after="0" w:line="289" w:lineRule="auto"/>
        <w:rPr>
          <w:sz w:val="20"/>
          <w:szCs w:val="20"/>
          <w:color w:val="auto"/>
        </w:rPr>
      </w:pPr>
      <w:r>
        <w:rPr>
          <w:rFonts w:ascii="Arial" w:cs="Arial" w:eastAsia="Arial" w:hAnsi="Arial"/>
          <w:sz w:val="16"/>
          <w:szCs w:val="16"/>
          <w:color w:val="auto"/>
        </w:rPr>
        <w:t>We do not have any manufacturing facilities. Although we believe we have obtained sufficient losmapimod tablets from GSK to complete our planned Phase 2 clinical trials and that we have received a sufficient quantity of losmapimod API to complete further clinical trials in FSHD, we cannot be sure we have correctly estimated our drug product and API requirements or that such drug product or API will not expire before we want to use it. We intend to identify and engage a contract manufacturing organization to prepare our own API and to manufacture losmapimod tablets, but we may not be successful in entering into such arrangement or may be unable to do so on terms that are acceptable to us. Even if we have sufficient API to complete further clinical trials in FSHD, we would need to contract with a third-party manufacturer to convert the API into losmapimod tablets. While we believe that we have all the necessary information from GSK to enable any required technology transfer to a contract manufacturing organization, there can be no assurances that we will be able to effect such transfer in a timely manner.</w:t>
      </w:r>
    </w:p>
    <w:p>
      <w:pPr>
        <w:spacing w:after="0" w:line="172"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We expect to rely on third parties for the manufacture of FTX-HbF and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8"/>
          <w:szCs w:val="18"/>
          <w:color w:val="auto"/>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1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both"/>
        <w:ind w:firstLine="416"/>
        <w:spacing w:after="0" w:line="298" w:lineRule="auto"/>
        <w:rPr>
          <w:sz w:val="20"/>
          <w:szCs w:val="20"/>
          <w:color w:val="auto"/>
        </w:rPr>
      </w:pPr>
      <w:r>
        <w:rPr>
          <w:rFonts w:ascii="Arial" w:cs="Arial" w:eastAsia="Arial" w:hAnsi="Arial"/>
          <w:sz w:val="16"/>
          <w:szCs w:val="16"/>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67" w:lineRule="exact"/>
        <w:rPr>
          <w:sz w:val="20"/>
          <w:szCs w:val="20"/>
          <w:color w:val="auto"/>
        </w:rPr>
      </w:pPr>
    </w:p>
    <w:p>
      <w:pPr>
        <w:jc w:val="both"/>
        <w:ind w:right="20" w:firstLine="523"/>
        <w:spacing w:after="0" w:line="33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39" w:lineRule="exact"/>
        <w:rPr>
          <w:sz w:val="20"/>
          <w:szCs w:val="20"/>
          <w:color w:val="auto"/>
        </w:rPr>
      </w:pPr>
    </w:p>
    <w:p>
      <w:pPr>
        <w:jc w:val="both"/>
        <w:ind w:firstLine="424"/>
        <w:spacing w:after="0" w:line="298"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67"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may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139"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While we have retained all rights to and are developing on our own our current product candidates, we may in the future enter into development, distribution or marketing arrangements with third parties with respect to our existing or future product candidates.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Collaborations that we enter into may not be successful, and any success will depend heavily on the efforts and activities of such collaborators.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pose a number of risks, including the following:</w:t>
      </w:r>
    </w:p>
    <w:p>
      <w:pPr>
        <w:spacing w:after="0" w:line="23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amount and timing of efforts and resources that they will apply to these collaborations;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221"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2"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86" w:lineRule="exact"/>
        <w:rPr>
          <w:sz w:val="20"/>
          <w:szCs w:val="20"/>
          <w:color w:val="auto"/>
        </w:rPr>
      </w:pPr>
    </w:p>
    <w:p>
      <w:pPr>
        <w:jc w:val="both"/>
        <w:ind w:firstLine="608"/>
        <w:spacing w:after="0" w:line="25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98"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6"/>
          <w:szCs w:val="16"/>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186" w:lineRule="exact"/>
        <w:rPr>
          <w:sz w:val="20"/>
          <w:szCs w:val="20"/>
          <w:color w:val="auto"/>
        </w:rPr>
      </w:pPr>
    </w:p>
    <w:p>
      <w:pPr>
        <w:jc w:val="both"/>
        <w:ind w:firstLine="494"/>
        <w:spacing w:after="0" w:line="285" w:lineRule="auto"/>
        <w:rPr>
          <w:sz w:val="20"/>
          <w:szCs w:val="20"/>
          <w:color w:val="auto"/>
        </w:rPr>
      </w:pPr>
      <w:r>
        <w:rPr>
          <w:rFonts w:ascii="Arial" w:cs="Arial" w:eastAsia="Arial" w:hAnsi="Arial"/>
          <w:sz w:val="16"/>
          <w:szCs w:val="16"/>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are also restricted by GSK's right of first negotiation under our current license agreement with them and may in the future be restricted under other license agreements from entering into agreements on certain terms with potential collaborators.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80"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61" w:lineRule="exact"/>
        <w:rPr>
          <w:sz w:val="20"/>
          <w:szCs w:val="20"/>
          <w:color w:val="auto"/>
        </w:rPr>
      </w:pPr>
    </w:p>
    <w:p>
      <w:pPr>
        <w:jc w:val="both"/>
        <w:ind w:firstLine="399"/>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8" w:lineRule="exact"/>
        <w:rPr>
          <w:sz w:val="20"/>
          <w:szCs w:val="20"/>
          <w:color w:val="auto"/>
        </w:rPr>
      </w:pPr>
    </w:p>
    <w:p>
      <w:pPr>
        <w:jc w:val="both"/>
        <w:ind w:firstLine="514"/>
        <w:spacing w:after="0" w:line="254"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8" w:lineRule="exact"/>
        <w:rPr>
          <w:sz w:val="20"/>
          <w:szCs w:val="20"/>
          <w:color w:val="auto"/>
        </w:rPr>
      </w:pPr>
    </w:p>
    <w:p>
      <w:pPr>
        <w:jc w:val="both"/>
        <w:ind w:firstLine="410"/>
        <w:spacing w:after="0" w:line="286" w:lineRule="auto"/>
        <w:rPr>
          <w:sz w:val="20"/>
          <w:szCs w:val="20"/>
          <w:color w:val="auto"/>
        </w:rPr>
      </w:pPr>
      <w:r>
        <w:rPr>
          <w:rFonts w:ascii="Arial" w:cs="Arial" w:eastAsia="Arial" w:hAnsi="Arial"/>
          <w:sz w:val="16"/>
          <w:szCs w:val="16"/>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94" w:lineRule="exact"/>
        <w:rPr>
          <w:sz w:val="20"/>
          <w:szCs w:val="20"/>
          <w:color w:val="auto"/>
        </w:rPr>
      </w:pPr>
    </w:p>
    <w:p>
      <w:pPr>
        <w:jc w:val="both"/>
        <w:ind w:firstLine="416"/>
        <w:spacing w:after="0" w:line="289" w:lineRule="auto"/>
        <w:rPr>
          <w:sz w:val="20"/>
          <w:szCs w:val="20"/>
          <w:color w:val="auto"/>
        </w:rPr>
      </w:pPr>
      <w:r>
        <w:rPr>
          <w:rFonts w:ascii="Arial" w:cs="Arial" w:eastAsia="Arial" w:hAnsi="Arial"/>
          <w:sz w:val="16"/>
          <w:szCs w:val="16"/>
          <w:color w:val="auto"/>
        </w:rPr>
        <w:t>Currently, our patent portfolio related to FTX-HbF is in its earliest stages, including only provisional patent applications which do not themselves issue as patents. We have no issued patents related to FTX-HbF or our SCD or b-thalassemia programs. In order to continue to pursue protection based on provisional patent applications, we will need to file Patent Cooperation Treaty applications, foreign applications and/or U.S. non-provisional patent applications prior to applicable deadlines.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Our owned patent applications are not to the composition but, rather, are directed to certain methods of treating FSHD. We cannot be certain that any patents will be granted in respect of these patent applications. Even if such patent applications issue as patents, they will not prevent third parties from commercializing losmapimod for other indications.</w:t>
      </w:r>
    </w:p>
    <w:p>
      <w:pPr>
        <w:spacing w:after="0" w:line="172"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2" w:lineRule="exact"/>
        <w:rPr>
          <w:sz w:val="20"/>
          <w:szCs w:val="20"/>
          <w:color w:val="auto"/>
        </w:rPr>
      </w:pPr>
    </w:p>
    <w:p>
      <w:pPr>
        <w:jc w:val="both"/>
        <w:ind w:firstLine="425"/>
        <w:spacing w:after="0" w:line="286"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3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86" w:lineRule="exact"/>
        <w:rPr>
          <w:sz w:val="20"/>
          <w:szCs w:val="20"/>
          <w:color w:val="auto"/>
        </w:rPr>
      </w:pPr>
    </w:p>
    <w:p>
      <w:pPr>
        <w:jc w:val="both"/>
        <w:ind w:firstLine="386"/>
        <w:spacing w:after="0" w:line="291"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97"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39" w:lineRule="exact"/>
        <w:rPr>
          <w:sz w:val="20"/>
          <w:szCs w:val="20"/>
          <w:color w:val="auto"/>
        </w:rPr>
      </w:pPr>
    </w:p>
    <w:p>
      <w:pPr>
        <w:jc w:val="both"/>
        <w:ind w:firstLine="404"/>
        <w:spacing w:after="0" w:line="285"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0"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0" w:lineRule="exact"/>
        <w:rPr>
          <w:sz w:val="20"/>
          <w:szCs w:val="20"/>
          <w:color w:val="auto"/>
        </w:rPr>
      </w:pPr>
    </w:p>
    <w:p>
      <w:pPr>
        <w:jc w:val="both"/>
        <w:ind w:firstLine="470"/>
        <w:spacing w:after="0" w:line="291" w:lineRule="auto"/>
        <w:rPr>
          <w:sz w:val="20"/>
          <w:szCs w:val="20"/>
          <w:color w:val="auto"/>
        </w:rPr>
      </w:pPr>
      <w:r>
        <w:rPr>
          <w:rFonts w:ascii="Arial" w:cs="Arial" w:eastAsia="Arial" w:hAnsi="Arial"/>
          <w:sz w:val="16"/>
          <w:szCs w:val="16"/>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186"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7"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186"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81"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2"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86"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72"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74" w:lineRule="exact"/>
        <w:rPr>
          <w:sz w:val="20"/>
          <w:szCs w:val="20"/>
          <w:color w:val="auto"/>
        </w:rPr>
      </w:pPr>
    </w:p>
    <w:p>
      <w:pPr>
        <w:jc w:val="both"/>
        <w:ind w:right="20" w:firstLine="417"/>
        <w:spacing w:after="0" w:line="268"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materials, formulations or methods,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72" w:lineRule="exact"/>
        <w:rPr>
          <w:sz w:val="20"/>
          <w:szCs w:val="20"/>
          <w:color w:val="auto"/>
        </w:rPr>
      </w:pPr>
    </w:p>
    <w:p>
      <w:pPr>
        <w:jc w:val="both"/>
        <w:ind w:firstLine="612"/>
        <w:spacing w:after="0" w:line="294"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0" w:lineRule="exact"/>
        <w:rPr>
          <w:sz w:val="20"/>
          <w:szCs w:val="20"/>
          <w:color w:val="auto"/>
        </w:rPr>
      </w:pPr>
    </w:p>
    <w:p>
      <w:pPr>
        <w:jc w:val="both"/>
        <w:ind w:firstLine="377"/>
        <w:spacing w:after="0" w:line="286"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8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86" w:lineRule="exact"/>
        <w:rPr>
          <w:sz w:val="20"/>
          <w:szCs w:val="20"/>
          <w:color w:val="auto"/>
        </w:rPr>
      </w:pPr>
    </w:p>
    <w:p>
      <w:pPr>
        <w:jc w:val="both"/>
        <w:ind w:firstLine="442"/>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initiation and continuation of intellectual property litigation or other proceedings could compromise our ability to compete in the marketplace.</w:t>
      </w:r>
    </w:p>
    <w:p>
      <w:pPr>
        <w:spacing w:after="0" w:line="24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7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39" w:lineRule="exact"/>
        <w:rPr>
          <w:sz w:val="20"/>
          <w:szCs w:val="20"/>
          <w:color w:val="auto"/>
        </w:rPr>
      </w:pPr>
    </w:p>
    <w:p>
      <w:pPr>
        <w:jc w:val="both"/>
        <w:ind w:firstLine="550"/>
        <w:spacing w:after="0" w:line="286" w:lineRule="auto"/>
        <w:rPr>
          <w:sz w:val="20"/>
          <w:szCs w:val="20"/>
          <w:color w:val="auto"/>
        </w:rPr>
      </w:pPr>
      <w:r>
        <w:rPr>
          <w:rFonts w:ascii="Arial" w:cs="Arial" w:eastAsia="Arial" w:hAnsi="Arial"/>
          <w:sz w:val="16"/>
          <w:szCs w:val="16"/>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2"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7"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enforcement is not as strong as that in the United States. These products may compete with our products, and our patents or other intellectual property rights may not be effective or sufficient to prevent them from competing.</w:t>
      </w:r>
    </w:p>
    <w:p>
      <w:pPr>
        <w:spacing w:after="0" w:line="186"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97"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ind w:firstLine="369"/>
        <w:spacing w:after="0" w:line="298"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ind w:firstLine="371"/>
        <w:spacing w:after="0" w:line="289"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161" w:lineRule="exact"/>
        <w:rPr>
          <w:sz w:val="20"/>
          <w:szCs w:val="20"/>
          <w:color w:val="auto"/>
        </w:rPr>
      </w:pPr>
    </w:p>
    <w:p>
      <w:pPr>
        <w:jc w:val="both"/>
        <w:ind w:firstLine="563"/>
        <w:spacing w:after="0" w:line="306" w:lineRule="auto"/>
        <w:rPr>
          <w:sz w:val="20"/>
          <w:szCs w:val="20"/>
          <w:color w:val="auto"/>
        </w:rPr>
      </w:pPr>
      <w:r>
        <w:rPr>
          <w:rFonts w:ascii="Arial" w:cs="Arial" w:eastAsia="Arial" w:hAnsi="Arial"/>
          <w:sz w:val="16"/>
          <w:szCs w:val="16"/>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or disclosed intellectual property, including trade secrets or other proprietary information, of any such individual's current or former employer. Litigation may be necessary to defend against these claims.</w:t>
      </w:r>
    </w:p>
    <w:p>
      <w:pPr>
        <w:spacing w:after="0" w:line="186"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70"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others may be able to make product candidates that are similar to ours but that are not covered by the claims of the patents that we own;</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issued patents that we hold rights to may be held invalid or unenforceable, including as a result of legal challenges by our competitors;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97"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97"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72" w:lineRule="exact"/>
        <w:rPr>
          <w:sz w:val="20"/>
          <w:szCs w:val="20"/>
          <w:color w:val="auto"/>
        </w:rPr>
      </w:pPr>
    </w:p>
    <w:p>
      <w:pPr>
        <w:jc w:val="both"/>
        <w:ind w:firstLine="413"/>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186" w:lineRule="exact"/>
        <w:rPr>
          <w:sz w:val="20"/>
          <w:szCs w:val="20"/>
          <w:color w:val="auto"/>
        </w:rPr>
      </w:pPr>
    </w:p>
    <w:p>
      <w:pPr>
        <w:jc w:val="both"/>
        <w:ind w:firstLine="382"/>
        <w:spacing w:after="0" w:line="298" w:lineRule="auto"/>
        <w:rPr>
          <w:sz w:val="20"/>
          <w:szCs w:val="20"/>
          <w:color w:val="auto"/>
        </w:rPr>
      </w:pPr>
      <w:r>
        <w:rPr>
          <w:rFonts w:ascii="Arial" w:cs="Arial" w:eastAsia="Arial" w:hAnsi="Arial"/>
          <w:sz w:val="16"/>
          <w:szCs w:val="16"/>
          <w:color w:val="auto"/>
        </w:rPr>
        <w:t>We plan to apply for orphan drug designation for FSHD in the United States and Europe, and we may seek orphan drug designation for our other current or future product candidates.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67"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request for designation was materially defective or if the manufacturer is unable to assure sufficient quantity of the drug to meet the needs of patients with the rare disease or condition.</w:t>
      </w:r>
    </w:p>
    <w:p>
      <w:pPr>
        <w:spacing w:after="0" w:line="186" w:lineRule="exact"/>
        <w:rPr>
          <w:sz w:val="20"/>
          <w:szCs w:val="20"/>
          <w:color w:val="auto"/>
        </w:rPr>
      </w:pPr>
    </w:p>
    <w:p>
      <w:pPr>
        <w:jc w:val="both"/>
        <w:ind w:firstLine="384"/>
        <w:spacing w:after="0" w:line="256"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97"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225"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8"/>
          <w:szCs w:val="18"/>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74" w:lineRule="exact"/>
        <w:rPr>
          <w:sz w:val="20"/>
          <w:szCs w:val="20"/>
          <w:color w:val="auto"/>
        </w:rPr>
      </w:pPr>
    </w:p>
    <w:p>
      <w:pPr>
        <w:jc w:val="both"/>
        <w:ind w:firstLine="388"/>
        <w:spacing w:after="0" w:line="298"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product candidates qualify as breakthrough therapies, the FDA may later decide that the products no longer meet the conditions for qualification or decide that the time period for FDA review or approval will not be shortened.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Accelerated approval by the FDA, even if granted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biomarker efficacy endpoint that is reasonably likely to predict clinical benefit or on a clinical endpoint that can be measured earlier than irreversible morbidity or mortality, or IMM, that is reasonably likely to predict an effect on IMM or other clinical benefit. The FDA or other applicable regulatory agency makes the determination regarding whether a biomarker efficacy endpoint is reasonably likely to predict long-term clinical benefit.</w:t>
      </w:r>
    </w:p>
    <w:p>
      <w:pPr>
        <w:spacing w:after="0" w:line="170"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70"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74"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Even if we do receive accelerated approval, we may not experience a faster development or regulatory review or approval process, and receiving accelerated approval does not provide assurance of ultimate FDA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225" w:lineRule="exact"/>
        <w:rPr>
          <w:sz w:val="20"/>
          <w:szCs w:val="20"/>
          <w:color w:val="auto"/>
        </w:rPr>
      </w:pPr>
    </w:p>
    <w:p>
      <w:pPr>
        <w:jc w:val="both"/>
        <w:ind w:firstLine="473"/>
        <w:spacing w:after="0" w:line="287"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77"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United Kingdom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October 31, 2019 to allow the parties to negotiate a withdrawal agreement, which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 transition period in place, which is likely to cause significant market and economic disruption.</w:t>
      </w:r>
    </w:p>
    <w:p>
      <w:pPr>
        <w:spacing w:after="0" w:line="17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94"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72"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2"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94" w:lineRule="exact"/>
        <w:rPr>
          <w:sz w:val="20"/>
          <w:szCs w:val="20"/>
          <w:color w:val="auto"/>
        </w:rPr>
      </w:pPr>
    </w:p>
    <w:p>
      <w:pPr>
        <w:jc w:val="both"/>
        <w:ind w:firstLine="480"/>
        <w:spacing w:after="0" w:line="290"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186" w:lineRule="exact"/>
        <w:rPr>
          <w:sz w:val="20"/>
          <w:szCs w:val="20"/>
          <w:color w:val="auto"/>
        </w:rPr>
      </w:pPr>
    </w:p>
    <w:p>
      <w:pPr>
        <w:jc w:val="both"/>
        <w:ind w:firstLine="363"/>
        <w:spacing w:after="0" w:line="286"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142" w:lineRule="exact"/>
        <w:rPr>
          <w:sz w:val="20"/>
          <w:szCs w:val="20"/>
          <w:color w:val="auto"/>
        </w:rPr>
      </w:pPr>
    </w:p>
    <w:p>
      <w:pPr>
        <w:jc w:val="both"/>
        <w:ind w:firstLine="455"/>
        <w:spacing w:after="0" w:line="291" w:lineRule="auto"/>
        <w:rPr>
          <w:sz w:val="20"/>
          <w:szCs w:val="20"/>
          <w:color w:val="auto"/>
        </w:rPr>
      </w:pPr>
      <w:r>
        <w:rPr>
          <w:rFonts w:ascii="Arial" w:cs="Arial" w:eastAsia="Arial" w:hAnsi="Arial"/>
          <w:sz w:val="16"/>
          <w:szCs w:val="16"/>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188" w:lineRule="exact"/>
        <w:rPr>
          <w:sz w:val="20"/>
          <w:szCs w:val="20"/>
          <w:color w:val="auto"/>
        </w:rPr>
      </w:pPr>
    </w:p>
    <w:p>
      <w:pPr>
        <w:jc w:val="both"/>
        <w:ind w:left="108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24"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94"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94" w:lineRule="exact"/>
        <w:rPr>
          <w:sz w:val="20"/>
          <w:szCs w:val="20"/>
          <w:color w:val="auto"/>
        </w:rPr>
      </w:pPr>
    </w:p>
    <w:p>
      <w:pPr>
        <w:jc w:val="both"/>
        <w:ind w:firstLine="366"/>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94" w:lineRule="exact"/>
        <w:rPr>
          <w:sz w:val="20"/>
          <w:szCs w:val="20"/>
          <w:color w:val="auto"/>
        </w:rPr>
      </w:pPr>
    </w:p>
    <w:p>
      <w:pPr>
        <w:jc w:val="both"/>
        <w:ind w:firstLine="417"/>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5" w:lineRule="exact"/>
        <w:rPr>
          <w:sz w:val="20"/>
          <w:szCs w:val="20"/>
          <w:color w:val="auto"/>
        </w:rPr>
      </w:pPr>
    </w:p>
    <w:p>
      <w:pPr>
        <w:jc w:val="both"/>
        <w:ind w:right="20" w:firstLine="466"/>
        <w:spacing w:after="0" w:line="332"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 GDPR's requirements is rigorous and time intensive and requires significant resources and a review of our technologies, systems and practices, as well as those of any third-party collaborators, service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39"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70"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201"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174" w:lineRule="exact"/>
        <w:rPr>
          <w:sz w:val="20"/>
          <w:szCs w:val="20"/>
          <w:color w:val="auto"/>
        </w:rPr>
      </w:pPr>
    </w:p>
    <w:p>
      <w:pPr>
        <w:jc w:val="both"/>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Medicare Part D coverage gap discount program, in which manufacturers must agree to offer 70% point-of-sale discounts off negotiated prices;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7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0"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color w:val="auto"/>
        </w:rPr>
        <w:t>With enactment of the TCJA, which was signed by the President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an estimated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w:t>
      </w:r>
    </w:p>
    <w:p>
      <w:pPr>
        <w:spacing w:after="0" w:line="172" w:lineRule="exact"/>
        <w:rPr>
          <w:sz w:val="20"/>
          <w:szCs w:val="20"/>
          <w:color w:val="auto"/>
        </w:rPr>
      </w:pPr>
    </w:p>
    <w:p>
      <w:pPr>
        <w:jc w:val="both"/>
        <w:ind w:firstLine="430"/>
        <w:spacing w:after="0" w:line="286" w:lineRule="auto"/>
        <w:rPr>
          <w:sz w:val="20"/>
          <w:szCs w:val="20"/>
          <w:color w:val="auto"/>
        </w:rPr>
      </w:pPr>
      <w:r>
        <w:rPr>
          <w:rFonts w:ascii="Arial" w:cs="Arial" w:eastAsia="Arial" w:hAnsi="Arial"/>
          <w:sz w:val="16"/>
          <w:szCs w:val="16"/>
          <w:color w:val="auto"/>
        </w:rPr>
        <w:t>In addition, the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as well as add a definition of "price concession" in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81"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7" w:lineRule="exact"/>
        <w:rPr>
          <w:sz w:val="20"/>
          <w:szCs w:val="20"/>
          <w:color w:val="auto"/>
        </w:rPr>
      </w:pPr>
    </w:p>
    <w:p>
      <w:pPr>
        <w:jc w:val="both"/>
        <w:ind w:firstLine="370"/>
        <w:spacing w:after="0" w:line="285" w:lineRule="auto"/>
        <w:rPr>
          <w:sz w:val="20"/>
          <w:szCs w:val="20"/>
          <w:color w:val="auto"/>
        </w:rPr>
      </w:pPr>
      <w:r>
        <w:rPr>
          <w:rFonts w:ascii="Arial" w:cs="Arial" w:eastAsia="Arial" w:hAnsi="Arial"/>
          <w:sz w:val="16"/>
          <w:szCs w:val="16"/>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78" w:lineRule="exact"/>
        <w:rPr>
          <w:sz w:val="20"/>
          <w:szCs w:val="20"/>
          <w:color w:val="auto"/>
        </w:rPr>
      </w:pPr>
    </w:p>
    <w:p>
      <w:pPr>
        <w:jc w:val="both"/>
        <w:ind w:firstLine="410"/>
        <w:spacing w:after="0" w:line="289"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186"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72" w:lineRule="exact"/>
        <w:rPr>
          <w:sz w:val="20"/>
          <w:szCs w:val="20"/>
          <w:color w:val="auto"/>
        </w:rPr>
      </w:pPr>
    </w:p>
    <w:p>
      <w:pPr>
        <w:jc w:val="both"/>
        <w:ind w:firstLine="352"/>
        <w:spacing w:after="0" w:line="256"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7"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9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167" w:lineRule="exact"/>
        <w:rPr>
          <w:sz w:val="20"/>
          <w:szCs w:val="20"/>
          <w:color w:val="auto"/>
        </w:rPr>
      </w:pPr>
    </w:p>
    <w:p>
      <w:pPr>
        <w:jc w:val="both"/>
        <w:ind w:firstLine="410"/>
        <w:spacing w:after="0" w:line="253"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9"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6"/>
          <w:szCs w:val="16"/>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0" w:lineRule="exact"/>
        <w:rPr>
          <w:sz w:val="20"/>
          <w:szCs w:val="20"/>
          <w:color w:val="auto"/>
        </w:rPr>
      </w:pPr>
    </w:p>
    <w:p>
      <w:pPr>
        <w:jc w:val="both"/>
        <w:ind w:firstLine="487"/>
        <w:spacing w:after="0" w:line="290" w:lineRule="auto"/>
        <w:rPr>
          <w:sz w:val="20"/>
          <w:szCs w:val="20"/>
          <w:color w:val="auto"/>
        </w:rPr>
      </w:pPr>
      <w:r>
        <w:rPr>
          <w:rFonts w:ascii="Arial" w:cs="Arial" w:eastAsia="Arial" w:hAnsi="Arial"/>
          <w:sz w:val="16"/>
          <w:szCs w:val="16"/>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72"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39"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86" w:lineRule="exact"/>
        <w:rPr>
          <w:sz w:val="20"/>
          <w:szCs w:val="20"/>
          <w:color w:val="auto"/>
        </w:rPr>
      </w:pPr>
    </w:p>
    <w:p>
      <w:pPr>
        <w:jc w:val="both"/>
        <w:ind w:firstLine="467"/>
        <w:spacing w:after="0" w:line="286"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81"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jc w:val="both"/>
        <w:ind w:firstLine="409"/>
        <w:spacing w:after="0" w:line="255"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97"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6"/>
          <w:szCs w:val="16"/>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86"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control all matters submitted to stockholders for approval.</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closing of this offering, our executive officers and directors and our stockholders who owned more than 5% of our outstanding common stock</w:t>
      </w:r>
    </w:p>
    <w:p>
      <w:pPr>
        <w:spacing w:after="0" w:line="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before this offering will, in the aggregate, beneficially own shares representing approximately % of our capital stock. As a result, if these stockholders were to choose to act together, they would be able to control all matters submitted to our stockholders for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approval, as well as our management and affairs. For example, these persons, if they choose to act together, would control the election of directors and approval of any merger, consolidation or sale of all or substantially all of our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concentration of ownership control may:</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39"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Provisions in our certificate of incorporation and our bylaws that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 that will become effective upon the closing of this offering.</w:t>
      </w:r>
    </w:p>
    <w:p>
      <w:pPr>
        <w:spacing w:after="0" w:line="186"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jc w:val="both"/>
        <w:ind w:firstLine="431"/>
        <w:spacing w:after="0" w:line="303" w:lineRule="auto"/>
        <w:rPr>
          <w:sz w:val="20"/>
          <w:szCs w:val="20"/>
          <w:color w:val="auto"/>
        </w:rPr>
      </w:pPr>
      <w:r>
        <w:rPr>
          <w:rFonts w:ascii="Arial" w:cs="Arial" w:eastAsia="Arial" w:hAnsi="Arial"/>
          <w:sz w:val="15"/>
          <w:szCs w:val="15"/>
          <w:color w:val="auto"/>
        </w:rPr>
        <w:t>The initial public offering price of our common stock will be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To the extent outstanding options are exercised, you will incur further dilution. Based on an assumed</w:t>
      </w:r>
    </w:p>
    <w:p>
      <w:pPr>
        <w:spacing w:after="0" w:line="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6"/>
          <w:szCs w:val="16"/>
          <w:color w:val="auto"/>
        </w:rPr>
        <w:t>per share, which is the midpoint of the estimated price range set forth on the cover page of this prospectus, you will</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experience immediate dilution of $ per share, representing the difference between our pro forma as adjusted net tangible book value per share, after giving effect to this offering, and the assumed initial public offering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22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will be determined through negotiations with the underwriters. Although we have applied to have our common stock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3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jc w:val="both"/>
        <w:ind w:firstLine="393"/>
        <w:spacing w:after="0" w:line="306" w:lineRule="auto"/>
        <w:rPr>
          <w:sz w:val="20"/>
          <w:szCs w:val="20"/>
          <w:color w:val="auto"/>
        </w:rPr>
      </w:pPr>
      <w:r>
        <w:rPr>
          <w:rFonts w:ascii="Arial" w:cs="Arial" w:eastAsia="Arial" w:hAnsi="Arial"/>
          <w:sz w:val="16"/>
          <w:szCs w:val="16"/>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74"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results of or developments in preclinical studies and clinical trials of our product candidates or those of our competitors or potential collaborators;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jc w:val="both"/>
        <w:ind w:firstLine="485"/>
        <w:spacing w:after="0" w:line="29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Sales of a substantial number of shares of our common stock in the public market, or the perception in the market that the holders of a large number of shares</w:t>
      </w:r>
    </w:p>
    <w:p>
      <w:pPr>
        <w:spacing w:after="0" w:line="5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intend to sell shares, could reduce the market price of our common stock. After this offering, we will have shares of common stock outstanding based on the number of shares outstanding as of , 2019. This includes the shares that we are selling in this offering, which may be resold in the public</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market immediately without restriction, unless purchased by our affiliates or existing stockholders. The remaining shares are currently restricted as a result of securities laws or lock-up agreements but will become eligible to be sold at various times after the offering. Moreover, beginning 180 days after the completion of</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offering, holders of an aggregate of shares of our common stock will have rights, along with holders of an additional shares of our common stock issuable upon exercise of outstanding options, subject to specified conditions, to require us to file registration statements covering their shares or to include their shares in registration statements that we may file for ourselves or other stockholders. We also intend to register all shares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common stock that we may issue under our equity compensation plans. Once we register these shares, they can be freely sold in the public market upon issuance, subject to volume limitations applicable to affiliates and the lock-up agreements described in the "Underwriters" section of this prospectus.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We are an "emerging growth company," or EGC, as defined in the Jumpstart Our Business Startups Act of 2012, or the JOBS Act. We may remain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188" w:lineRule="exact"/>
        <w:rPr>
          <w:sz w:val="20"/>
          <w:szCs w:val="20"/>
          <w:color w:val="auto"/>
        </w:rPr>
      </w:pPr>
    </w:p>
    <w:p>
      <w:pPr>
        <w:ind w:left="1080" w:right="2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this prospectus, in addition to any required unaudited interim financial statements, with correspondingly reduced "Management's Discussion and Analysis of Financial Condition and Results of Operations" disclosure;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261"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86" w:lineRule="exact"/>
        <w:rPr>
          <w:sz w:val="20"/>
          <w:szCs w:val="20"/>
          <w:color w:val="auto"/>
        </w:rPr>
      </w:pPr>
    </w:p>
    <w:p>
      <w:pPr>
        <w:jc w:val="both"/>
        <w:ind w:right="20" w:firstLine="418"/>
        <w:spacing w:after="0" w:line="332" w:lineRule="auto"/>
        <w:rPr>
          <w:sz w:val="20"/>
          <w:szCs w:val="20"/>
          <w:color w:val="auto"/>
        </w:rPr>
      </w:pPr>
      <w:r>
        <w:rPr>
          <w:rFonts w:ascii="Arial" w:cs="Arial" w:eastAsia="Arial" w:hAnsi="Arial"/>
          <w:sz w:val="16"/>
          <w:szCs w:val="16"/>
          <w:color w:val="auto"/>
        </w:rPr>
        <w:t>We have taken advantage of reduced reporting obligations in this prospectus. In particular, in this prospectus, we have provided only two years of audited financial statements and have not included all of the executive compensation related information that would be required if we were not an EGC.</w:t>
      </w:r>
    </w:p>
    <w:p>
      <w:pPr>
        <w:spacing w:after="0" w:line="139" w:lineRule="exact"/>
        <w:rPr>
          <w:sz w:val="20"/>
          <w:szCs w:val="20"/>
          <w:color w:val="auto"/>
        </w:rPr>
      </w:pPr>
    </w:p>
    <w:p>
      <w:pPr>
        <w:jc w:val="both"/>
        <w:ind w:firstLine="355"/>
        <w:spacing w:after="0" w:line="332" w:lineRule="auto"/>
        <w:rPr>
          <w:sz w:val="20"/>
          <w:szCs w:val="20"/>
          <w:color w:val="auto"/>
        </w:rPr>
      </w:pPr>
      <w:r>
        <w:rPr>
          <w:rFonts w:ascii="Arial" w:cs="Arial" w:eastAsia="Arial" w:hAnsi="Arial"/>
          <w:sz w:val="16"/>
          <w:szCs w:val="16"/>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9"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86"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The Sarbanes-Oxley Act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72"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7" w:lineRule="exact"/>
        <w:rPr>
          <w:sz w:val="20"/>
          <w:szCs w:val="20"/>
          <w:color w:val="auto"/>
        </w:rPr>
      </w:pPr>
    </w:p>
    <w:p>
      <w:pPr>
        <w:jc w:val="both"/>
        <w:ind w:firstLine="469"/>
        <w:spacing w:after="0" w:line="287"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86"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that will become effective upon the closing of this offering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94"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of 1933, as amended, or the Securities Exchange Act of 1934, as amended.</w:t>
      </w:r>
    </w:p>
    <w:p>
      <w:pPr>
        <w:spacing w:after="0" w:line="16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31"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All statements, other than statements of historical fact, contained in this prospectus,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ongoing Phase 1 clinical trial and planned Phase 2b clinical trial and Phase 2 open label clinical trial of losmapimod;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IND-enabling studies and planned Phase 1 clinical trial of FTX-HbF;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timing of and our ability to submit applications for, obtain and maintain regulatory approvals for losmapimod and other product candidates;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and cash equivalents and proceeds of this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estimates regarding expenses, future revenue, timing of any future revenue, capital requirements and needs for additional financing;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402"/>
        <w:spacing w:after="0" w:line="268"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events could differ materially from the plans, intentions and expectations disclosed in the forward-looking statements we make. We have included important factors in the cautionary statements included in this prospectus,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67"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67" w:lineRule="exact"/>
        <w:rPr>
          <w:sz w:val="20"/>
          <w:szCs w:val="20"/>
          <w:color w:val="auto"/>
        </w:rPr>
      </w:pPr>
    </w:p>
    <w:p>
      <w:pPr>
        <w:jc w:val="both"/>
        <w:ind w:firstLine="529"/>
        <w:spacing w:after="0" w:line="290" w:lineRule="auto"/>
        <w:rPr>
          <w:sz w:val="20"/>
          <w:szCs w:val="20"/>
          <w:color w:val="auto"/>
        </w:rPr>
      </w:pPr>
      <w:r>
        <w:rPr>
          <w:rFonts w:ascii="Arial" w:cs="Arial" w:eastAsia="Arial" w:hAnsi="Arial"/>
          <w:sz w:val="16"/>
          <w:szCs w:val="16"/>
          <w:color w:val="auto"/>
        </w:rPr>
        <w:t>This prospectus includes statistical and other industry and market data that we obtained from industry publications and research, surveys and studies conducted by third parties as well as our own estimates of potential market opportunities. All of the market data used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52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6200" w:type="dxa"/>
            <w:vAlign w:val="bottom"/>
          </w:tcPr>
          <w:p>
            <w:pPr>
              <w:spacing w:after="0"/>
              <w:rPr>
                <w:sz w:val="17"/>
                <w:szCs w:val="17"/>
                <w:color w:val="auto"/>
              </w:rPr>
            </w:pPr>
          </w:p>
        </w:tc>
      </w:tr>
      <w:tr>
        <w:trPr>
          <w:trHeight w:val="667"/>
        </w:trPr>
        <w:tc>
          <w:tcPr>
            <w:tcW w:w="3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0160" w:type="dxa"/>
            <w:vAlign w:val="bottom"/>
            <w:gridSpan w:val="2"/>
          </w:tcPr>
          <w:p>
            <w:pPr>
              <w:jc w:val="right"/>
              <w:ind w:right="4832"/>
              <w:spacing w:after="0"/>
              <w:rPr>
                <w:sz w:val="20"/>
                <w:szCs w:val="20"/>
                <w:color w:val="auto"/>
              </w:rPr>
            </w:pPr>
            <w:r>
              <w:rPr>
                <w:rFonts w:ascii="Arial" w:cs="Arial" w:eastAsia="Arial" w:hAnsi="Arial"/>
                <w:sz w:val="18"/>
                <w:szCs w:val="18"/>
                <w:b w:val="1"/>
                <w:bCs w:val="1"/>
                <w:color w:val="auto"/>
              </w:rPr>
              <w:t>USE OF PROCEEDS</w:t>
            </w:r>
          </w:p>
        </w:tc>
      </w:tr>
      <w:tr>
        <w:trPr>
          <w:trHeight w:val="426"/>
        </w:trPr>
        <w:tc>
          <w:tcPr>
            <w:tcW w:w="300" w:type="dxa"/>
            <w:vAlign w:val="bottom"/>
          </w:tcPr>
          <w:p>
            <w:pPr>
              <w:spacing w:after="0"/>
              <w:rPr>
                <w:sz w:val="24"/>
                <w:szCs w:val="24"/>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w w:val="91"/>
              </w:rPr>
              <w:t>We estimate that the net proceeds from our issuance and sale of</w:t>
            </w:r>
          </w:p>
        </w:tc>
        <w:tc>
          <w:tcPr>
            <w:tcW w:w="6200" w:type="dxa"/>
            <w:vAlign w:val="bottom"/>
          </w:tcPr>
          <w:p>
            <w:pPr>
              <w:jc w:val="right"/>
              <w:spacing w:after="0"/>
              <w:rPr>
                <w:sz w:val="20"/>
                <w:szCs w:val="20"/>
                <w:color w:val="auto"/>
              </w:rPr>
            </w:pPr>
            <w:r>
              <w:rPr>
                <w:rFonts w:ascii="Arial" w:cs="Arial" w:eastAsia="Arial" w:hAnsi="Arial"/>
                <w:sz w:val="18"/>
                <w:szCs w:val="18"/>
                <w:color w:val="auto"/>
              </w:rPr>
              <w:t>shares of our common stock in this offering will be approximately</w:t>
            </w:r>
          </w:p>
        </w:tc>
      </w:t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gridSpan w:val="2"/>
          </w:tcPr>
          <w:p>
            <w:pPr>
              <w:ind w:left="520"/>
              <w:spacing w:after="0"/>
              <w:rPr>
                <w:sz w:val="20"/>
                <w:szCs w:val="20"/>
                <w:color w:val="auto"/>
              </w:rPr>
            </w:pPr>
            <w:r>
              <w:rPr>
                <w:rFonts w:ascii="Arial" w:cs="Arial" w:eastAsia="Arial" w:hAnsi="Arial"/>
                <w:sz w:val="18"/>
                <w:szCs w:val="18"/>
                <w:color w:val="auto"/>
              </w:rPr>
              <w:t>million, assuming an initial public offering price of $</w:t>
            </w:r>
          </w:p>
        </w:tc>
        <w:tc>
          <w:tcPr>
            <w:tcW w:w="6200" w:type="dxa"/>
            <w:vAlign w:val="bottom"/>
          </w:tcPr>
          <w:p>
            <w:pPr>
              <w:jc w:val="right"/>
              <w:spacing w:after="0"/>
              <w:rPr>
                <w:sz w:val="20"/>
                <w:szCs w:val="20"/>
                <w:color w:val="auto"/>
              </w:rPr>
            </w:pPr>
            <w:r>
              <w:rPr>
                <w:rFonts w:ascii="Arial" w:cs="Arial" w:eastAsia="Arial" w:hAnsi="Arial"/>
                <w:sz w:val="18"/>
                <w:szCs w:val="18"/>
                <w:color w:val="auto"/>
                <w:w w:val="92"/>
              </w:rPr>
              <w:t>per share, which is the midpoint of the price range set forth on the cover page of this</w:t>
            </w:r>
          </w:p>
        </w:tc>
      </w:tr>
    </w:tbl>
    <w:p>
      <w:pPr>
        <w:spacing w:after="0"/>
        <w:rPr>
          <w:sz w:val="20"/>
          <w:szCs w:val="20"/>
          <w:color w:val="auto"/>
        </w:rPr>
      </w:pPr>
      <w:r>
        <w:rPr>
          <w:rFonts w:ascii="Arial" w:cs="Arial" w:eastAsia="Arial" w:hAnsi="Arial"/>
          <w:sz w:val="16"/>
          <w:szCs w:val="16"/>
          <w:color w:val="auto"/>
        </w:rPr>
        <w:t>prospectus, after deducting estimated underwriting discounts and commissions and estimated offering expenses payable by us. If the underwriters exercise their</w:t>
      </w:r>
    </w:p>
    <w:p>
      <w:pPr>
        <w:spacing w:after="0" w:line="394" w:lineRule="exact"/>
        <w:rPr>
          <w:sz w:val="20"/>
          <w:szCs w:val="20"/>
          <w:color w:val="auto"/>
        </w:rPr>
      </w:pPr>
    </w:p>
    <w:p>
      <w:pPr>
        <w:spacing w:after="0"/>
        <w:tabs>
          <w:tab w:leader="none" w:pos="10520" w:val="left"/>
        </w:tabs>
        <w:rPr>
          <w:sz w:val="20"/>
          <w:szCs w:val="20"/>
          <w:color w:val="auto"/>
        </w:rPr>
      </w:pPr>
      <w:r>
        <w:rPr>
          <w:rFonts w:ascii="Arial" w:cs="Arial" w:eastAsia="Arial" w:hAnsi="Arial"/>
          <w:sz w:val="16"/>
          <w:szCs w:val="16"/>
          <w:color w:val="auto"/>
        </w:rPr>
        <w:t>option to purchase additional shares of our common stock in full, we estimate that the net proceeds from this offering will be approximately $</w:t>
      </w:r>
      <w:r>
        <w:rPr>
          <w:sz w:val="20"/>
          <w:szCs w:val="20"/>
          <w:color w:val="auto"/>
        </w:rPr>
        <w:tab/>
      </w:r>
      <w:r>
        <w:rPr>
          <w:rFonts w:ascii="Arial" w:cs="Arial" w:eastAsia="Arial" w:hAnsi="Arial"/>
          <w:sz w:val="16"/>
          <w:szCs w:val="16"/>
          <w:color w:val="auto"/>
        </w:rPr>
        <w:t>million.</w:t>
      </w:r>
    </w:p>
    <w:p>
      <w:pPr>
        <w:spacing w:after="0" w:line="248" w:lineRule="exact"/>
        <w:rPr>
          <w:sz w:val="20"/>
          <w:szCs w:val="20"/>
          <w:color w:val="auto"/>
        </w:rPr>
      </w:pPr>
    </w:p>
    <w:p>
      <w:pPr>
        <w:ind w:firstLine="372"/>
        <w:spacing w:after="0" w:line="286" w:lineRule="auto"/>
        <w:rPr>
          <w:sz w:val="20"/>
          <w:szCs w:val="20"/>
          <w:color w:val="auto"/>
        </w:rPr>
      </w:pPr>
      <w:r>
        <w:rPr>
          <w:rFonts w:ascii="Arial" w:cs="Arial" w:eastAsia="Arial" w:hAnsi="Arial"/>
          <w:sz w:val="16"/>
          <w:szCs w:val="16"/>
          <w:color w:val="auto"/>
        </w:rPr>
        <w:t>A $1.00 increase (decrease) in the assumed initial public offering price of $ per share, which is the midpoint of the price range set forth on the cover page of this prospectus, would increase (decrease) the net proceeds to us from this offering by approximately $ million, assuming the number of shares</w:t>
      </w:r>
    </w:p>
    <w:p>
      <w:pPr>
        <w:spacing w:after="0" w:line="300"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prospectus, would increase (decrease) the net proceeds to us from this offering by approximately $ million, assuming no change in the assumed initial public offering price per share and after deducting estimated underwriting discounts and commissions and estimated offering expenses payable by us.</w:t>
      </w:r>
    </w:p>
    <w:p>
      <w:pPr>
        <w:spacing w:after="0" w:line="147" w:lineRule="exact"/>
        <w:rPr>
          <w:sz w:val="20"/>
          <w:szCs w:val="20"/>
          <w:color w:val="auto"/>
        </w:rPr>
      </w:pPr>
    </w:p>
    <w:p>
      <w:pPr>
        <w:ind w:firstLine="484"/>
        <w:spacing w:after="0" w:line="268" w:lineRule="auto"/>
        <w:rPr>
          <w:sz w:val="20"/>
          <w:szCs w:val="20"/>
          <w:color w:val="auto"/>
        </w:rPr>
      </w:pPr>
      <w:r>
        <w:rPr>
          <w:rFonts w:ascii="Arial" w:cs="Arial" w:eastAsia="Arial" w:hAnsi="Arial"/>
          <w:sz w:val="18"/>
          <w:szCs w:val="18"/>
          <w:color w:val="auto"/>
        </w:rPr>
        <w:t>As of March 31, 2019, we had cash and cash equivalents of $62.5 million. We currently estimate that we will use the net proceeds from this offering, together with our existing cash and cash equivalents, as follows:</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losmapimod for FSHD;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our hemoglobinopathies program;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our ongoing product engine and discovery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programs,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Based on our planned use of the net proceeds from this offering, together with our existing cash and cash equivalents, we estimate that such funds will be</w:t>
      </w:r>
    </w:p>
    <w:p>
      <w:pPr>
        <w:spacing w:after="0" w:line="3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sufficient to fund our operating expenses and capital expenditure requirements into . We anticipate that the net proceeds from this offering together with our existing cash and cash equivalents will be sufficient to allow us to . We will require additional capital to advance losmapimod through</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 clinical trials, if required, to advance FTX-HbF through necessary clinical trials and to commercialize any of our product candidates, if we receive regulatory approval. We have based these estimates on assumptions that may prove to be wrong, including assumptions regarding the clinical trials necessary for FDA approval of our product candidates, and we could use our capital resources sooner than we currently expect. Due to the numerous risks and uncertainties associated with product development, including the risks and uncertainties with respect to successful enrollment and completion of clinical trials, at this time, we cannot reasonably estimate the amount of additional funding that will be necessary to complete the clinical development of losmapimod or any future product candidates. If we receive regulatory approval for losmapimod or other product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candidates, we expect to incur significant commercialization expenses related to product manufacturing, sales, marketing and distribution.</w:t>
      </w:r>
    </w:p>
    <w:p>
      <w:pPr>
        <w:spacing w:after="0" w:line="225" w:lineRule="exact"/>
        <w:rPr>
          <w:sz w:val="20"/>
          <w:szCs w:val="20"/>
          <w:color w:val="auto"/>
        </w:rPr>
      </w:pPr>
    </w:p>
    <w:p>
      <w:pPr>
        <w:ind w:firstLine="381"/>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408"/>
        <w:spacing w:after="0" w:line="298"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2019:</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 pro forma basis to give effect to (i) the automatic conversion of all outstanding shares of our preferred stock into an aggregate of 112,500,000 shares of common stock upon the closing of this offering and (ii) the filing and effectiveness of our certificate of incorporation; and</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 pro forma as adjusted basis to give further effect to our issuance and sale of shares of our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94" w:lineRule="exact"/>
        <w:rPr>
          <w:sz w:val="20"/>
          <w:szCs w:val="20"/>
          <w:color w:val="auto"/>
        </w:rPr>
      </w:pPr>
    </w:p>
    <w:p>
      <w:pPr>
        <w:sectPr>
          <w:pgSz w:w="11900" w:h="16838" w:orient="portrait"/>
          <w:cols w:equalWidth="0" w:num="2">
            <w:col w:w="600" w:space="480"/>
            <w:col w:w="10340"/>
          </w:cols>
          <w:pgMar w:left="240" w:top="131" w:right="239" w:bottom="1440" w:gutter="0" w:footer="0" w:header="0"/>
          <w:type w:val="continuous"/>
        </w:sectPr>
      </w:pPr>
    </w:p>
    <w:p>
      <w:pPr>
        <w:jc w:val="both"/>
        <w:ind w:firstLine="473"/>
        <w:spacing w:after="0" w:line="298"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our consolidated financial statements and the related notes appearing at the end of this prospectus and the "Selected Consolidated Financial Data" and "Management's Discussion and Analysis of Financial Condition and Results of Operations" sections of this prospectus.</w:t>
      </w:r>
    </w:p>
    <w:p>
      <w:pPr>
        <w:spacing w:after="0" w:line="216"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00" w:type="dxa"/>
            <w:vAlign w:val="bottom"/>
            <w:gridSpan w:val="10"/>
          </w:tcPr>
          <w:p>
            <w:pPr>
              <w:ind w:left="760"/>
              <w:spacing w:after="0"/>
              <w:rPr>
                <w:sz w:val="20"/>
                <w:szCs w:val="20"/>
                <w:color w:val="auto"/>
              </w:rPr>
            </w:pPr>
            <w:r>
              <w:rPr>
                <w:rFonts w:ascii="Arial" w:cs="Arial" w:eastAsia="Arial" w:hAnsi="Arial"/>
                <w:sz w:val="14"/>
                <w:szCs w:val="14"/>
                <w:b w:val="1"/>
                <w:bCs w:val="1"/>
                <w:color w:val="auto"/>
              </w:rPr>
              <w:t>As of March 31, 2019</w:t>
            </w:r>
          </w:p>
        </w:tc>
      </w:tr>
      <w:tr>
        <w:trPr>
          <w:trHeight w:val="129"/>
        </w:trPr>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Pro Forma</w:t>
            </w:r>
          </w:p>
        </w:tc>
        <w:tc>
          <w:tcPr>
            <w:tcW w:w="1280" w:type="dxa"/>
            <w:vAlign w:val="bottom"/>
            <w:gridSpan w:val="2"/>
          </w:tcPr>
          <w:p>
            <w:pPr>
              <w:spacing w:after="0"/>
              <w:rPr>
                <w:sz w:val="11"/>
                <w:szCs w:val="11"/>
                <w:color w:val="auto"/>
              </w:rPr>
            </w:pPr>
          </w:p>
        </w:tc>
      </w:tr>
      <w:tr>
        <w:trPr>
          <w:trHeight w:val="161"/>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5"/>
              </w:rPr>
              <w:t>As Adjusted</w:t>
            </w:r>
          </w:p>
        </w:tc>
        <w:tc>
          <w:tcPr>
            <w:tcW w:w="1280" w:type="dxa"/>
            <w:vAlign w:val="bottom"/>
            <w:gridSpan w:val="2"/>
          </w:tcPr>
          <w:p>
            <w:pPr>
              <w:spacing w:after="0"/>
              <w:rPr>
                <w:sz w:val="14"/>
                <w:szCs w:val="14"/>
                <w:color w:val="auto"/>
              </w:rPr>
            </w:pPr>
          </w:p>
        </w:tc>
      </w:tr>
      <w:tr>
        <w:trPr>
          <w:trHeight w:val="142"/>
        </w:trPr>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 thousands,</w:t>
            </w:r>
          </w:p>
        </w:tc>
        <w:tc>
          <w:tcPr>
            <w:tcW w:w="160" w:type="dxa"/>
            <w:vAlign w:val="bottom"/>
            <w:gridSpan w:val="2"/>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1"/>
              </w:rPr>
              <w:t>except share and</w:t>
            </w:r>
          </w:p>
        </w:tc>
        <w:tc>
          <w:tcPr>
            <w:tcW w:w="1040" w:type="dxa"/>
            <w:vAlign w:val="bottom"/>
            <w:gridSpan w:val="3"/>
          </w:tcPr>
          <w:p>
            <w:pPr>
              <w:jc w:val="right"/>
              <w:ind w:right="22"/>
              <w:spacing w:after="0" w:line="142" w:lineRule="exact"/>
              <w:rPr>
                <w:sz w:val="20"/>
                <w:szCs w:val="20"/>
                <w:color w:val="auto"/>
              </w:rPr>
            </w:pPr>
            <w:r>
              <w:rPr>
                <w:rFonts w:ascii="Arial" w:cs="Arial" w:eastAsia="Arial" w:hAnsi="Arial"/>
                <w:sz w:val="14"/>
                <w:szCs w:val="14"/>
                <w:b w:val="1"/>
                <w:bCs w:val="1"/>
                <w:color w:val="auto"/>
                <w:w w:val="91"/>
              </w:rPr>
              <w:t>per share data)</w:t>
            </w:r>
          </w:p>
        </w:tc>
        <w:tc>
          <w:tcPr>
            <w:tcW w:w="1280" w:type="dxa"/>
            <w:vAlign w:val="bottom"/>
            <w:gridSpan w:val="2"/>
          </w:tcPr>
          <w:p>
            <w:pPr>
              <w:spacing w:after="0"/>
              <w:rPr>
                <w:sz w:val="12"/>
                <w:szCs w:val="12"/>
                <w:color w:val="auto"/>
              </w:rPr>
            </w:pPr>
          </w:p>
        </w:tc>
      </w:tr>
      <w:tr>
        <w:trPr>
          <w:trHeight w:val="216"/>
        </w:trPr>
        <w:tc>
          <w:tcPr>
            <w:tcW w:w="7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6840" w:type="dxa"/>
            <w:vAlign w:val="bottom"/>
            <w:gridSpan w:val="5"/>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8"/>
        </w:trPr>
        <w:tc>
          <w:tcPr>
            <w:tcW w:w="6840" w:type="dxa"/>
            <w:vAlign w:val="bottom"/>
            <w:gridSpan w:val="5"/>
          </w:tcPr>
          <w:p>
            <w:pPr>
              <w:ind w:left="760"/>
              <w:spacing w:after="0" w:line="189" w:lineRule="exact"/>
              <w:rPr>
                <w:sz w:val="20"/>
                <w:szCs w:val="20"/>
                <w:color w:val="auto"/>
              </w:rPr>
            </w:pPr>
            <w:r>
              <w:rPr>
                <w:rFonts w:ascii="Arial" w:cs="Arial" w:eastAsia="Arial" w:hAnsi="Arial"/>
                <w:sz w:val="18"/>
                <w:szCs w:val="18"/>
                <w:color w:val="auto"/>
                <w:w w:val="90"/>
              </w:rPr>
              <w:t>Convertible preferred stock (Series A and B), $0.001 par value; 112,500,000 shares</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6140" w:type="dxa"/>
            <w:vAlign w:val="bottom"/>
            <w:gridSpan w:val="5"/>
          </w:tcPr>
          <w:p>
            <w:pPr>
              <w:ind w:left="160"/>
              <w:spacing w:after="0"/>
              <w:rPr>
                <w:sz w:val="20"/>
                <w:szCs w:val="20"/>
                <w:color w:val="auto"/>
              </w:rPr>
            </w:pPr>
            <w:r>
              <w:rPr>
                <w:rFonts w:ascii="Arial" w:cs="Arial" w:eastAsia="Arial" w:hAnsi="Arial"/>
                <w:sz w:val="18"/>
                <w:szCs w:val="18"/>
                <w:color w:val="auto"/>
                <w:w w:val="99"/>
              </w:rPr>
              <w:t>authorized, issued and outstanding, actual; no shares authorized, issued or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w w:val="90"/>
              </w:rPr>
              <w:t>outstanding, pro forma and pro forma as adjusted</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16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11"/>
        </w:trPr>
        <w:tc>
          <w:tcPr>
            <w:tcW w:w="7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780" w:type="dxa"/>
            <w:vAlign w:val="bottom"/>
          </w:tcPr>
          <w:p>
            <w:pPr>
              <w:spacing w:after="0"/>
              <w:rPr>
                <w:sz w:val="18"/>
                <w:szCs w:val="18"/>
                <w:color w:val="auto"/>
              </w:rPr>
            </w:pPr>
          </w:p>
        </w:tc>
        <w:tc>
          <w:tcPr>
            <w:tcW w:w="6140" w:type="dxa"/>
            <w:vAlign w:val="bottom"/>
            <w:gridSpan w:val="5"/>
          </w:tcPr>
          <w:p>
            <w:pPr>
              <w:ind w:left="160"/>
              <w:spacing w:after="0"/>
              <w:rPr>
                <w:sz w:val="20"/>
                <w:szCs w:val="20"/>
                <w:color w:val="auto"/>
              </w:rPr>
            </w:pPr>
            <w:r>
              <w:rPr>
                <w:rFonts w:ascii="Arial" w:cs="Arial" w:eastAsia="Arial" w:hAnsi="Arial"/>
                <w:sz w:val="18"/>
                <w:szCs w:val="18"/>
                <w:color w:val="auto"/>
                <w:w w:val="94"/>
              </w:rPr>
              <w:t>Preferred stock, $0.001 par value; no shares authorized, issued or outstanding,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140" w:type="dxa"/>
            <w:vAlign w:val="bottom"/>
            <w:gridSpan w:val="5"/>
          </w:tcPr>
          <w:p>
            <w:pPr>
              <w:ind w:left="340"/>
              <w:spacing w:after="0"/>
              <w:rPr>
                <w:sz w:val="20"/>
                <w:szCs w:val="20"/>
                <w:color w:val="auto"/>
              </w:rPr>
            </w:pPr>
            <w:r>
              <w:rPr>
                <w:rFonts w:ascii="Arial" w:cs="Arial" w:eastAsia="Arial" w:hAnsi="Arial"/>
                <w:sz w:val="18"/>
                <w:szCs w:val="18"/>
                <w:color w:val="auto"/>
                <w:w w:val="98"/>
              </w:rPr>
              <w:t>actual; 5,000,000 shares authorized, no shares issued or outstanding, pro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forma and pro forma as adjusted</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160" w:type="dxa"/>
            <w:vAlign w:val="bottom"/>
            <w:gridSpan w:val="3"/>
          </w:tcPr>
          <w:p>
            <w:pPr>
              <w:ind w:left="700"/>
              <w:spacing w:after="0"/>
              <w:rPr>
                <w:sz w:val="20"/>
                <w:szCs w:val="20"/>
                <w:color w:val="auto"/>
              </w:rPr>
            </w:pPr>
            <w:r>
              <w:rPr>
                <w:rFonts w:ascii="Arial" w:cs="Arial" w:eastAsia="Arial" w:hAnsi="Arial"/>
                <w:sz w:val="18"/>
                <w:szCs w:val="18"/>
                <w:color w:val="auto"/>
              </w:rPr>
              <w:t>—</w:t>
            </w:r>
          </w:p>
        </w:tc>
      </w:tr>
      <w:tr>
        <w:trPr>
          <w:trHeight w:val="209"/>
        </w:trPr>
        <w:tc>
          <w:tcPr>
            <w:tcW w:w="780" w:type="dxa"/>
            <w:vAlign w:val="bottom"/>
          </w:tcPr>
          <w:p>
            <w:pPr>
              <w:spacing w:after="0"/>
              <w:rPr>
                <w:sz w:val="18"/>
                <w:szCs w:val="18"/>
                <w:color w:val="auto"/>
              </w:rPr>
            </w:pPr>
          </w:p>
        </w:tc>
        <w:tc>
          <w:tcPr>
            <w:tcW w:w="61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5"/>
              </w:rPr>
              <w:t>Common stock, $0.001 par value; 147,500,000 shares authorized, 19,235,125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1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2"/>
              </w:rPr>
              <w:t>shares issued and 12,054,235 shares outstanding, actual; 200,000,000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1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4"/>
              </w:rPr>
              <w:t>authorized, 131,735,125 shares issued and 124,554,235 shares outstanding,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pro forma; 200,000,000 shares authorized,</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shares issued</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780" w:type="dxa"/>
            <w:vAlign w:val="bottom"/>
          </w:tcPr>
          <w:p>
            <w:pPr>
              <w:spacing w:after="0"/>
              <w:rPr>
                <w:sz w:val="19"/>
                <w:szCs w:val="19"/>
                <w:color w:val="auto"/>
              </w:rPr>
            </w:pPr>
          </w:p>
        </w:tc>
        <w:tc>
          <w:tcPr>
            <w:tcW w:w="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w:t>
            </w: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shares outstanding, pro forma as adjusted</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170,291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(104,967)</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780" w:type="dxa"/>
            <w:vAlign w:val="bottom"/>
          </w:tcPr>
          <w:p>
            <w:pPr>
              <w:spacing w:after="0"/>
              <w:rPr>
                <w:sz w:val="18"/>
                <w:szCs w:val="18"/>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Total stockholders' (deficit) equity</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7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574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411"/>
        </w:trPr>
        <w:tc>
          <w:tcPr>
            <w:tcW w:w="5740" w:type="dxa"/>
            <w:vAlign w:val="bottom"/>
            <w:gridSpan w:val="4"/>
          </w:tcPr>
          <w:p>
            <w:pPr>
              <w:spacing w:after="0"/>
              <w:rPr>
                <w:sz w:val="20"/>
                <w:szCs w:val="20"/>
                <w:color w:val="auto"/>
              </w:rPr>
            </w:pPr>
            <w:r>
              <w:rPr>
                <w:rFonts w:ascii="Arial" w:cs="Arial" w:eastAsia="Arial" w:hAnsi="Arial"/>
                <w:sz w:val="18"/>
                <w:szCs w:val="18"/>
                <w:color w:val="auto"/>
                <w:w w:val="96"/>
              </w:rPr>
              <w:t>A $1.00 increase (decrease) in the assumed initial public offering price of $</w:t>
            </w:r>
          </w:p>
        </w:tc>
        <w:tc>
          <w:tcPr>
            <w:tcW w:w="5280" w:type="dxa"/>
            <w:vAlign w:val="bottom"/>
            <w:gridSpan w:val="12"/>
          </w:tcPr>
          <w:p>
            <w:pPr>
              <w:ind w:left="160"/>
              <w:spacing w:after="0"/>
              <w:rPr>
                <w:sz w:val="20"/>
                <w:szCs w:val="20"/>
                <w:color w:val="auto"/>
              </w:rPr>
            </w:pPr>
            <w:r>
              <w:rPr>
                <w:rFonts w:ascii="Arial" w:cs="Arial" w:eastAsia="Arial" w:hAnsi="Arial"/>
                <w:sz w:val="18"/>
                <w:szCs w:val="18"/>
                <w:color w:val="auto"/>
                <w:w w:val="89"/>
              </w:rPr>
              <w:t>per share, which is the midpoint of the price range set forth on the cover</w:t>
            </w:r>
          </w:p>
        </w:tc>
      </w:tr>
    </w:tbl>
    <w:p>
      <w:pPr>
        <w:spacing w:after="0"/>
        <w:rPr>
          <w:sz w:val="20"/>
          <w:szCs w:val="20"/>
          <w:color w:val="auto"/>
        </w:rPr>
      </w:pPr>
      <w:r>
        <w:rPr>
          <w:rFonts w:ascii="Arial" w:cs="Arial" w:eastAsia="Arial" w:hAnsi="Arial"/>
          <w:sz w:val="16"/>
          <w:szCs w:val="16"/>
          <w:color w:val="auto"/>
        </w:rPr>
        <w:t>page of this prospectus, would increase (decrease) the pro forma as adjusted amount of each of cash and cash equivalents, additional paid-in capital, total</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color w:val="auto"/>
                <w:w w:val="96"/>
              </w:rPr>
              <w:t>stockholders' equity and total capitalization by $</w:t>
            </w:r>
          </w:p>
        </w:tc>
        <w:tc>
          <w:tcPr>
            <w:tcW w:w="7740" w:type="dxa"/>
            <w:vAlign w:val="bottom"/>
          </w:tcPr>
          <w:p>
            <w:pPr>
              <w:jc w:val="right"/>
              <w:ind w:right="4272"/>
              <w:spacing w:after="0"/>
              <w:rPr>
                <w:sz w:val="20"/>
                <w:szCs w:val="20"/>
                <w:color w:val="auto"/>
              </w:rPr>
            </w:pPr>
            <w:r>
              <w:rPr>
                <w:rFonts w:ascii="Arial" w:cs="Arial" w:eastAsia="Arial" w:hAnsi="Arial"/>
                <w:sz w:val="18"/>
                <w:szCs w:val="18"/>
                <w:color w:val="auto"/>
                <w:w w:val="96"/>
              </w:rPr>
              <w:t>million, assuming that the number of shares</w:t>
            </w:r>
          </w:p>
        </w:tc>
      </w:tr>
      <w:tr>
        <w:trPr>
          <w:trHeight w:val="426"/>
        </w:trPr>
        <w:tc>
          <w:tcPr>
            <w:tcW w:w="3680" w:type="dxa"/>
            <w:vAlign w:val="bottom"/>
          </w:tcPr>
          <w:p>
            <w:pPr>
              <w:spacing w:after="0"/>
              <w:rPr>
                <w:sz w:val="24"/>
                <w:szCs w:val="24"/>
                <w:color w:val="auto"/>
              </w:rPr>
            </w:pPr>
          </w:p>
        </w:tc>
        <w:tc>
          <w:tcPr>
            <w:tcW w:w="7740" w:type="dxa"/>
            <w:vAlign w:val="bottom"/>
          </w:tcPr>
          <w:p>
            <w:pPr>
              <w:jc w:val="right"/>
              <w:ind w:right="5532"/>
              <w:spacing w:after="0"/>
              <w:rPr>
                <w:sz w:val="20"/>
                <w:szCs w:val="20"/>
                <w:color w:val="auto"/>
              </w:rPr>
            </w:pPr>
            <w:r>
              <w:rPr>
                <w:rFonts w:ascii="Arial" w:cs="Arial" w:eastAsia="Arial" w:hAnsi="Arial"/>
                <w:sz w:val="18"/>
                <w:szCs w:val="18"/>
                <w:color w:val="auto"/>
              </w:rPr>
              <w:t>72</w:t>
            </w:r>
          </w:p>
        </w:tc>
      </w:tr>
      <w:tr>
        <w:trPr>
          <w:trHeight w:val="228"/>
        </w:trPr>
        <w:tc>
          <w:tcPr>
            <w:tcW w:w="3680" w:type="dxa"/>
            <w:vAlign w:val="bottom"/>
            <w:tcBorders>
              <w:bottom w:val="single" w:sz="8" w:color="808080"/>
            </w:tcBorders>
          </w:tcPr>
          <w:p>
            <w:pPr>
              <w:spacing w:after="0"/>
              <w:rPr>
                <w:sz w:val="19"/>
                <w:szCs w:val="19"/>
                <w:color w:val="auto"/>
              </w:rPr>
            </w:pPr>
          </w:p>
        </w:tc>
        <w:tc>
          <w:tcPr>
            <w:tcW w:w="7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common stock, additional paid-in capital, total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stockholders' equity and total capitalization by $ million, assuming no change in the assumed initial public offering price per share and after deducting estimated underwriting discounts and commissions and estimated offering expenses payable by us.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above does not include: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10,698,963 shares of common stock issuable upon the exercise of stock options outstanding as of March 31, 2019, at a weighted average exercise price of $1.09 per share, and an additional 658,000 shares of common stock issuable upon the exercise of stock options granted subsquent to March 31, 2019, at a weighted average exercise price of $1.58 per share;</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2,565,912 shares of common stock available for future issuance as of March 31, 2019 under our 2016 Stock Incentive Plan, as amended, or the 2016 Plan; and</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14,120,000 and 1,765,000 additional shares of our common stock that will become available for future issuance under our 2019 Stock Incentive Plan, of which our board of directors has granted options to purchase an aggregate of 2,159,544 shares of common stock to certain of our employees and non-employee directors effective upon the commencement of trading of our common stock on the Nasdaq Stock Market,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94"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Our historical net tangible book value (deficit) as of March 31, 2019 was $(99.9) million, or $(5.19) per share of common stock. Our historical net tangible book value (deficit) is the amount of our total tangible assets less our total liabilities and the carrying value of our preferred stock, which is not included within stockholders' (deficit) equity. Historical net tangible book value (deficit) per share represents historical net tangible book value (deficit) divided by the 19,235,125 shares of common stock outstanding as of March 31, 2019, including 7,180,890 shares of unvested restricted stock subject to repurchase by us.</w:t>
      </w:r>
    </w:p>
    <w:p>
      <w:pPr>
        <w:spacing w:after="0" w:line="167"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8"/>
          <w:szCs w:val="18"/>
          <w:color w:val="auto"/>
        </w:rPr>
        <w:t>Our pro forma net tangible book value as of March 31, 2019 was $65.3 million, or $0.50 per share of common stock. Pro forma net tangible book value represents the amount of our total tangible assets less our total liabilities, after giving effect to the automatic conversion of all outstanding shares of our preferred stock into an aggregate of 112,500,000 shares of common stock upon the closing of this offering. Pro forma net tangible book value per share represents pro forma net tangible book value divided by the total number of shares outstanding as of March 31, 2019, after giving effect to the pro forma adjustments described above.</w:t>
      </w:r>
    </w:p>
    <w:p>
      <w:pPr>
        <w:spacing w:after="0" w:line="197" w:lineRule="exact"/>
        <w:rPr>
          <w:sz w:val="20"/>
          <w:szCs w:val="20"/>
          <w:color w:val="auto"/>
        </w:rPr>
      </w:pPr>
    </w:p>
    <w:p>
      <w:pPr>
        <w:ind w:left="460"/>
        <w:spacing w:after="0"/>
        <w:tabs>
          <w:tab w:leader="none" w:pos="4980" w:val="left"/>
        </w:tabs>
        <w:rPr>
          <w:sz w:val="20"/>
          <w:szCs w:val="20"/>
          <w:color w:val="auto"/>
        </w:rPr>
      </w:pPr>
      <w:r>
        <w:rPr>
          <w:rFonts w:ascii="Arial" w:cs="Arial" w:eastAsia="Arial" w:hAnsi="Arial"/>
          <w:sz w:val="18"/>
          <w:szCs w:val="18"/>
          <w:color w:val="auto"/>
        </w:rPr>
        <w:t>After giving further effect to our issuance and sale of</w:t>
      </w:r>
      <w:r>
        <w:rPr>
          <w:sz w:val="20"/>
          <w:szCs w:val="20"/>
          <w:color w:val="auto"/>
        </w:rPr>
        <w:tab/>
      </w:r>
      <w:r>
        <w:rPr>
          <w:rFonts w:ascii="Arial" w:cs="Arial" w:eastAsia="Arial" w:hAnsi="Arial"/>
          <w:sz w:val="16"/>
          <w:szCs w:val="16"/>
          <w:color w:val="auto"/>
        </w:rPr>
        <w:t>shares of our common stock in this offering at an assumed initial public offering price of</w:t>
      </w:r>
    </w:p>
    <w:p>
      <w:pPr>
        <w:spacing w:after="0" w:line="15" w:lineRule="exact"/>
        <w:rPr>
          <w:sz w:val="20"/>
          <w:szCs w:val="20"/>
          <w:color w:val="auto"/>
        </w:rPr>
      </w:pPr>
    </w:p>
    <w:p>
      <w:pPr>
        <w:ind w:left="700" w:hanging="692"/>
        <w:spacing w:after="0"/>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page of this prospectus, and after deducting estimated underwriting discounts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and commissions and estimated offering expenses payable by us, our pro forma as adjusted net tangible book value as of March 31, 2019 would have been</w:t>
      </w: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million, or $ per share. This represents an immediate increase in pro forma as adjusted net tangible book value per share of $ to existing stockholders and immediate dilution of $ in pro forma as adjusted net tangible book value per share to new investors purchasing shares of common stock in</w:t>
      </w:r>
    </w:p>
    <w:p>
      <w:pPr>
        <w:spacing w:after="0" w:line="323" w:lineRule="auto"/>
        <w:rPr>
          <w:sz w:val="20"/>
          <w:szCs w:val="20"/>
          <w:color w:val="auto"/>
        </w:rPr>
      </w:pPr>
      <w:r>
        <w:rPr>
          <w:rFonts w:ascii="Arial" w:cs="Arial" w:eastAsia="Arial" w:hAnsi="Arial"/>
          <w:sz w:val="16"/>
          <w:szCs w:val="16"/>
          <w:color w:val="auto"/>
        </w:rPr>
        <w:t>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Historical net tangible book value (deficit) per share as of March 31, 2019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as of March 31, 2019</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Increase in pro forma as adjusted net tangible book value per share attributable to new investors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purchasing shares of common stock in this offering</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9"/>
        </w:trPr>
        <w:tc>
          <w:tcPr>
            <w:tcW w:w="72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of common stock in this offering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dilution information discussed above is illustrative only and will change based on the actual initial public offering price and other terms of this offering</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determined at pricing. A $1.00 increase (decrease) in the assumed initial public offering price of $ per share, which is the midpoint of the price range set forth on the cover page of this prospectus, would increase (decrease) our pro forma as adjusted net tangible book value per share after this offering by</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and dilution per share to new investors purchasing shares of common stock in this offering by $ , assuming that the number of shares offered by us, as set forth on the cover page of this prospectus, remains the same and after deducting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estimated underwriting discounts and commissions and estimated offering expenses payable by us. An increase of 1,000,000 shares in the number of shares offered by us, as set forth on the cover page of this prospectus, would increase our pro forma as adjusted net tangible book value per share after this offering by</w:t>
      </w:r>
    </w:p>
    <w:p>
      <w:pPr>
        <w:jc w:val="both"/>
        <w:spacing w:after="0" w:line="300" w:lineRule="auto"/>
        <w:rPr>
          <w:sz w:val="20"/>
          <w:szCs w:val="20"/>
          <w:color w:val="auto"/>
        </w:rPr>
      </w:pPr>
      <w:r>
        <w:rPr>
          <w:rFonts w:ascii="Arial" w:cs="Arial" w:eastAsia="Arial" w:hAnsi="Arial"/>
          <w:sz w:val="15"/>
          <w:szCs w:val="15"/>
          <w:color w:val="auto"/>
        </w:rPr>
        <w:t>$ and decrease the dilution per share to new investors purchasing shares of common stock in this offering by $ , assuming no change in the assumed initial public offering price per share and after deducting estimated underwriting discounts and commissions and estimated offering expenses payable by us. A decrease of 1,000,000 shares in the number of shares offered by us, as set forth on the cover page of this prospectus, would decrease our pro forma as adjusted net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tangible book value per share after this offering by $ and increase the dilution per share to new investors purchasing shares of common stock in this offering by $ , assuming no change in the assumed initial public offering price and after deducting estimated underwriting discounts and commissions and estimated offering expenses payable by us.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If the underwriters exercise their option to purchase additional shares in full, our pro forma as adjusted net tangible book value per share after this offering</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would be $ , representing an immediate increase in pro forma as adjusted net tangible book value per share of $ to existing stockholders and immediate dilution in pro forma as adjusted net tangible book value per share of $ to new investors purchasing shares of common stock in this offering, assuming an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198"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The following table summarizes, as of March 31, 2019, on the pro forma as adjusted basis described above, the total number of shares of common stock purchased from us on an as converted to common stock basis, the total consideration paid or to be paid and the average price per share paid or to be paid by</w:t>
      </w:r>
    </w:p>
    <w:p>
      <w:pPr>
        <w:jc w:val="both"/>
        <w:spacing w:after="0" w:line="254" w:lineRule="auto"/>
        <w:rPr>
          <w:sz w:val="20"/>
          <w:szCs w:val="20"/>
          <w:color w:val="auto"/>
        </w:rPr>
      </w:pPr>
      <w:r>
        <w:rPr>
          <w:rFonts w:ascii="Arial" w:cs="Arial" w:eastAsia="Arial" w:hAnsi="Arial"/>
          <w:sz w:val="18"/>
          <w:szCs w:val="18"/>
          <w:color w:val="auto"/>
        </w:rPr>
        <w:t>existing stockholders and by new investors in this offering at an assumed initial public offering price of $ per share, which is the midpoint of the price range set forth on the cover page of this prospectus, before deducting estimated underwriting discounts and commissions and estimated offering expenses payable by us. As the table shows, new investors purchasing shares of common stock in this offering will pay an average price per share substantially higher than our existing stockholders paid.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Shares Purchased</w:t>
            </w:r>
          </w:p>
        </w:tc>
        <w:tc>
          <w:tcPr>
            <w:tcW w:w="156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160" w:type="dxa"/>
            <w:vAlign w:val="bottom"/>
          </w:tcPr>
          <w:p>
            <w:pPr>
              <w:spacing w:after="0"/>
              <w:rPr>
                <w:sz w:val="14"/>
                <w:szCs w:val="14"/>
                <w:color w:val="auto"/>
              </w:rPr>
            </w:pPr>
          </w:p>
        </w:tc>
        <w:tc>
          <w:tcPr>
            <w:tcW w:w="2260" w:type="dxa"/>
            <w:vAlign w:val="bottom"/>
            <w:gridSpan w:val="3"/>
          </w:tcPr>
          <w:p>
            <w:pPr>
              <w:jc w:val="right"/>
              <w:ind w:right="1380"/>
              <w:spacing w:after="0"/>
              <w:rPr>
                <w:sz w:val="20"/>
                <w:szCs w:val="20"/>
                <w:color w:val="auto"/>
              </w:rPr>
            </w:pPr>
            <w:r>
              <w:rPr>
                <w:rFonts w:ascii="Arial" w:cs="Arial" w:eastAsia="Arial" w:hAnsi="Arial"/>
                <w:sz w:val="14"/>
                <w:szCs w:val="14"/>
                <w:b w:val="1"/>
                <w:bCs w:val="1"/>
                <w:color w:val="auto"/>
                <w:w w:val="92"/>
              </w:rPr>
              <w:t>Average Price</w:t>
            </w: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Per Share</w:t>
            </w:r>
          </w:p>
        </w:tc>
        <w:tc>
          <w:tcPr>
            <w:tcW w:w="1300" w:type="dxa"/>
            <w:vAlign w:val="bottom"/>
            <w:gridSpan w:val="2"/>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97"/>
              </w:rPr>
              <w:t>Investors purchasing shares of common stock in this offering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gridSpan w:val="2"/>
          </w:tcPr>
          <w:p>
            <w:pPr>
              <w:jc w:val="right"/>
              <w:ind w:right="812"/>
              <w:spacing w:after="0"/>
              <w:rPr>
                <w:sz w:val="20"/>
                <w:szCs w:val="20"/>
                <w:color w:val="auto"/>
              </w:rPr>
            </w:pPr>
            <w:r>
              <w:rPr>
                <w:rFonts w:ascii="Arial" w:cs="Arial" w:eastAsia="Arial" w:hAnsi="Arial"/>
                <w:sz w:val="18"/>
                <w:szCs w:val="18"/>
                <w:color w:val="auto"/>
                <w:w w:val="84"/>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88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404"/>
        </w:trPr>
        <w:tc>
          <w:tcPr>
            <w:tcW w:w="5880" w:type="dxa"/>
            <w:vAlign w:val="bottom"/>
            <w:gridSpan w:val="3"/>
          </w:tcPr>
          <w:p>
            <w:pPr>
              <w:ind w:left="38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5540" w:type="dxa"/>
            <w:vAlign w:val="bottom"/>
            <w:gridSpan w:val="11"/>
          </w:tcPr>
          <w:p>
            <w:pPr>
              <w:jc w:val="right"/>
              <w:ind w:right="20"/>
              <w:spacing w:after="0"/>
              <w:rPr>
                <w:sz w:val="20"/>
                <w:szCs w:val="20"/>
                <w:color w:val="auto"/>
              </w:rPr>
            </w:pPr>
            <w:r>
              <w:rPr>
                <w:rFonts w:ascii="Arial" w:cs="Arial" w:eastAsia="Arial" w:hAnsi="Arial"/>
                <w:sz w:val="18"/>
                <w:szCs w:val="18"/>
                <w:color w:val="auto"/>
                <w:w w:val="96"/>
              </w:rPr>
              <w:t>per share, which is the midpoint of the price range set forth on the cover</w:t>
            </w:r>
          </w:p>
        </w:tc>
      </w:tr>
      <w:tr>
        <w:trPr>
          <w:trHeight w:val="216"/>
        </w:trPr>
        <w:tc>
          <w:tcPr>
            <w:tcW w:w="7440" w:type="dxa"/>
            <w:vAlign w:val="bottom"/>
            <w:gridSpan w:val="7"/>
          </w:tcPr>
          <w:p>
            <w:pPr>
              <w:spacing w:after="0"/>
              <w:rPr>
                <w:sz w:val="20"/>
                <w:szCs w:val="20"/>
                <w:color w:val="auto"/>
              </w:rPr>
            </w:pPr>
            <w:r>
              <w:rPr>
                <w:rFonts w:ascii="Arial" w:cs="Arial" w:eastAsia="Arial" w:hAnsi="Arial"/>
                <w:sz w:val="18"/>
                <w:szCs w:val="18"/>
                <w:color w:val="auto"/>
                <w:w w:val="92"/>
              </w:rPr>
              <w:t>page of this prospectus, would increase (decrease) the total consideration paid by new investors by $</w:t>
            </w:r>
          </w:p>
        </w:tc>
        <w:tc>
          <w:tcPr>
            <w:tcW w:w="620" w:type="dxa"/>
            <w:vAlign w:val="bottom"/>
          </w:tcPr>
          <w:p>
            <w:pPr>
              <w:spacing w:after="0"/>
              <w:rPr>
                <w:sz w:val="18"/>
                <w:szCs w:val="18"/>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color w:val="auto"/>
                <w:w w:val="93"/>
              </w:rPr>
              <w:t>million and, in the case of an increase, would</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w w:val="91"/>
              </w:rPr>
              <w:t>increase the percentage of total consideration paid by new investors by</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10"/>
          </w:tcPr>
          <w:p>
            <w:pPr>
              <w:jc w:val="right"/>
              <w:spacing w:after="0"/>
              <w:rPr>
                <w:sz w:val="20"/>
                <w:szCs w:val="20"/>
                <w:color w:val="auto"/>
              </w:rPr>
            </w:pPr>
            <w:r>
              <w:rPr>
                <w:rFonts w:ascii="Arial" w:cs="Arial" w:eastAsia="Arial" w:hAnsi="Arial"/>
                <w:sz w:val="18"/>
                <w:szCs w:val="18"/>
                <w:color w:val="auto"/>
                <w:w w:val="87"/>
              </w:rPr>
              <w:t>percentage points and, in the case of a decrease, would decrease the</w:t>
            </w: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percentage of total consideration paid by new investors by</w:t>
            </w:r>
          </w:p>
        </w:tc>
        <w:tc>
          <w:tcPr>
            <w:tcW w:w="6220" w:type="dxa"/>
            <w:vAlign w:val="bottom"/>
            <w:gridSpan w:val="12"/>
          </w:tcPr>
          <w:p>
            <w:pPr>
              <w:jc w:val="right"/>
              <w:spacing w:after="0"/>
              <w:rPr>
                <w:sz w:val="20"/>
                <w:szCs w:val="20"/>
                <w:color w:val="auto"/>
              </w:rPr>
            </w:pPr>
            <w:r>
              <w:rPr>
                <w:rFonts w:ascii="Arial" w:cs="Arial" w:eastAsia="Arial" w:hAnsi="Arial"/>
                <w:sz w:val="18"/>
                <w:szCs w:val="18"/>
                <w:color w:val="auto"/>
                <w:w w:val="88"/>
              </w:rPr>
              <w:t>percentage points, assuming that the number of shares offered by us, as set forth on the</w:t>
            </w:r>
          </w:p>
        </w:tc>
      </w:tr>
    </w:tbl>
    <w:p>
      <w:pPr>
        <w:spacing w:after="0"/>
        <w:rPr>
          <w:sz w:val="20"/>
          <w:szCs w:val="20"/>
          <w:color w:val="auto"/>
        </w:rPr>
      </w:pPr>
      <w:r>
        <w:rPr>
          <w:rFonts w:ascii="Arial" w:cs="Arial" w:eastAsia="Arial" w:hAnsi="Arial"/>
          <w:sz w:val="15"/>
          <w:szCs w:val="15"/>
          <w:color w:val="auto"/>
        </w:rPr>
        <w:t>cover page of this prospectus, remains the same. An increase (decrease) of 1,000,000 shares in the number of shares offered by us, as set forth on the cover page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gridSpan w:val="3"/>
          </w:tcPr>
          <w:p>
            <w:pPr>
              <w:spacing w:after="0"/>
              <w:rPr>
                <w:sz w:val="20"/>
                <w:szCs w:val="20"/>
                <w:color w:val="auto"/>
              </w:rPr>
            </w:pPr>
            <w:r>
              <w:rPr>
                <w:rFonts w:ascii="Arial" w:cs="Arial" w:eastAsia="Arial" w:hAnsi="Arial"/>
                <w:sz w:val="18"/>
                <w:szCs w:val="18"/>
                <w:color w:val="auto"/>
                <w:w w:val="92"/>
              </w:rPr>
              <w:t>of this prospectus, would increase (decrease) the total consideration paid by new investors by $</w:t>
            </w:r>
          </w:p>
        </w:tc>
        <w:tc>
          <w:tcPr>
            <w:tcW w:w="4400" w:type="dxa"/>
            <w:vAlign w:val="bottom"/>
          </w:tcPr>
          <w:p>
            <w:pPr>
              <w:jc w:val="right"/>
              <w:spacing w:after="0"/>
              <w:rPr>
                <w:sz w:val="20"/>
                <w:szCs w:val="20"/>
                <w:color w:val="auto"/>
              </w:rPr>
            </w:pPr>
            <w:r>
              <w:rPr>
                <w:rFonts w:ascii="Arial" w:cs="Arial" w:eastAsia="Arial" w:hAnsi="Arial"/>
                <w:sz w:val="18"/>
                <w:szCs w:val="18"/>
                <w:color w:val="auto"/>
                <w:w w:val="94"/>
              </w:rPr>
              <w:t>million and, in the case of an increase, would increase the</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percentage of total consideration paid by new investors by</w:t>
            </w:r>
          </w:p>
        </w:tc>
        <w:tc>
          <w:tcPr>
            <w:tcW w:w="6720" w:type="dxa"/>
            <w:vAlign w:val="bottom"/>
            <w:gridSpan w:val="2"/>
          </w:tcPr>
          <w:p>
            <w:pPr>
              <w:jc w:val="right"/>
              <w:spacing w:after="0"/>
              <w:rPr>
                <w:sz w:val="20"/>
                <w:szCs w:val="20"/>
                <w:color w:val="auto"/>
              </w:rPr>
            </w:pPr>
            <w:r>
              <w:rPr>
                <w:rFonts w:ascii="Arial" w:cs="Arial" w:eastAsia="Arial" w:hAnsi="Arial"/>
                <w:sz w:val="18"/>
                <w:szCs w:val="18"/>
                <w:color w:val="auto"/>
                <w:w w:val="94"/>
              </w:rPr>
              <w:t>percentage points and, in the case of a decrease, would decrease the percentage of total</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consideration paid by new investors by</w:t>
            </w:r>
          </w:p>
        </w:tc>
        <w:tc>
          <w:tcPr>
            <w:tcW w:w="8120" w:type="dxa"/>
            <w:vAlign w:val="bottom"/>
            <w:gridSpan w:val="3"/>
          </w:tcPr>
          <w:p>
            <w:pPr>
              <w:jc w:val="right"/>
              <w:ind w:right="1672"/>
              <w:spacing w:after="0"/>
              <w:rPr>
                <w:sz w:val="20"/>
                <w:szCs w:val="20"/>
                <w:color w:val="auto"/>
              </w:rPr>
            </w:pPr>
            <w:r>
              <w:rPr>
                <w:rFonts w:ascii="Arial" w:cs="Arial" w:eastAsia="Arial" w:hAnsi="Arial"/>
                <w:sz w:val="18"/>
                <w:szCs w:val="18"/>
                <w:color w:val="auto"/>
                <w:w w:val="96"/>
              </w:rPr>
              <w:t>percentage points, assuming no change in the assumed initial public offering price.</w:t>
            </w:r>
          </w:p>
        </w:tc>
      </w:tr>
      <w:tr>
        <w:trPr>
          <w:trHeight w:val="432"/>
        </w:trPr>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20" w:type="dxa"/>
            <w:vAlign w:val="bottom"/>
          </w:tcPr>
          <w:p>
            <w:pPr>
              <w:jc w:val="right"/>
              <w:ind w:right="1132"/>
              <w:spacing w:after="0"/>
              <w:rPr>
                <w:sz w:val="20"/>
                <w:szCs w:val="20"/>
                <w:color w:val="auto"/>
              </w:rPr>
            </w:pPr>
            <w:r>
              <w:rPr>
                <w:rFonts w:ascii="Arial" w:cs="Arial" w:eastAsia="Arial" w:hAnsi="Arial"/>
                <w:sz w:val="18"/>
                <w:szCs w:val="18"/>
                <w:color w:val="auto"/>
              </w:rPr>
              <w:t>75</w:t>
            </w:r>
          </w:p>
        </w:tc>
        <w:tc>
          <w:tcPr>
            <w:tcW w:w="4400" w:type="dxa"/>
            <w:vAlign w:val="bottom"/>
          </w:tcPr>
          <w:p>
            <w:pPr>
              <w:spacing w:after="0"/>
              <w:rPr>
                <w:sz w:val="24"/>
                <w:szCs w:val="24"/>
                <w:color w:val="auto"/>
              </w:rPr>
            </w:pPr>
          </w:p>
        </w:tc>
      </w:tr>
      <w:tr>
        <w:trPr>
          <w:trHeight w:val="228"/>
        </w:trPr>
        <w:tc>
          <w:tcPr>
            <w:tcW w:w="33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exercise their option to</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purchase additional shares in full, the number of shares of our common stock held by existing stockholders would be reduced to % of the total number of shares of our common stock outstanding after this offering, and the number of shares of common stock held by new investors purchasing shares of common stock in this offering would be increased to % of the total number of shares of our common stock outstanding after this offering.</w:t>
      </w:r>
    </w:p>
    <w:p>
      <w:pPr>
        <w:spacing w:after="0" w:line="163"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The tables and discussion above are based on 19,235,125 shares of our common stock outstanding as of March 31, 2019, including 7,180,890 shares of unvested restricted stock subject to repurchase by us, and exclude:</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10,698,963 shares of common stock issuable upon the exercise of stock options outstanding as of March 31, 2019, at a weighted average exercise price of $1.09 per share, and an additional 658,000 shares of common stock issuable upon the exercise of stock options granted subsequent to March 31, 2019, at a weighted average exercise price of $1.58 per share;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2,565,912 shares of common stock available for future issuance as of March 31, 2019 under our 2016 Plan; and</w:t>
      </w:r>
    </w:p>
    <w:p>
      <w:pPr>
        <w:spacing w:after="0" w:line="238"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14,120,000 and 1,765,000 additional shares of our common stock that will become available for future issuance under our 2019 Stock Incentive Plan, of which our board of directors has granted options to purchase an aggregate of 2,159,544 shares of common stock to certain of our employees and non-employee directors effective upon the commencement of trading of our common stock on the Nasdaq Stock Market,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pacing w:after="0" w:line="198" w:lineRule="exact"/>
        <w:rPr>
          <w:sz w:val="20"/>
          <w:szCs w:val="20"/>
          <w:color w:val="auto"/>
        </w:rPr>
      </w:pPr>
    </w:p>
    <w:p>
      <w:pPr>
        <w:jc w:val="both"/>
        <w:ind w:firstLine="404"/>
        <w:spacing w:after="0" w:line="298" w:lineRule="auto"/>
        <w:rPr>
          <w:sz w:val="20"/>
          <w:szCs w:val="20"/>
          <w:color w:val="auto"/>
        </w:rPr>
      </w:pPr>
      <w:r>
        <w:rPr>
          <w:rFonts w:ascii="Arial" w:cs="Arial" w:eastAsia="Arial" w:hAnsi="Arial"/>
          <w:sz w:val="16"/>
          <w:szCs w:val="16"/>
          <w:color w:val="auto"/>
        </w:rPr>
        <w:t>To the extent that outstanding stock options are exercised, new stock options are issued, or we issue additional shares of common stock in the future, there will be further dilution to investors purchasing shares of common stock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i w:val="1"/>
          <w:iCs w:val="1"/>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2017 and 2018 and the consolidated balance sheet data as of December 31, 2017 and 2018 from our annual consolidated financial statements appearing at the end of this prospectus. The consolidated statement of operations data for the three months ended March 31, 2018 and 2019 and the consolidated balance sheet data as of March 31, 2019 have been derived from our interim consolidated financial statements appearing at the end of this prospectus and have been prepared on the same basis as the annual consolidated financial statements. In the opinion of management, the interim data reflect all normal recurring adjustments necessary for the fair presentation of the financial information in those statements. Our historical results are not necessarily indicative of the results that may be expected in the future, and our results for any interim period are not necessarily indicative of the results that should be expected for any full year or any other period.</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518"/>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478"/>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438"/>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gridSpan w:val="12"/>
          </w:tcPr>
          <w:p>
            <w:pPr>
              <w:jc w:val="right"/>
              <w:ind w:right="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gridSpan w:val="3"/>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(22,964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(32,588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Cumulative convertible preferred stock dividends</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(2,407)</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(6,559)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0"/>
        </w:trPr>
        <w:tc>
          <w:tcPr>
            <w:tcW w:w="5220" w:type="dxa"/>
            <w:vAlign w:val="bottom"/>
            <w:gridSpan w:val="3"/>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(25,371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(39,147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(7,768</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(39,884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Net loss per share attributable to common stockholders, basic and</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w w:val="90"/>
              </w:rPr>
              <w:t>Weighted average number of common shares used in net loss per share</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attributable to common stockholders, basic and diluted</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net loss per share attributable to common stockholders, basic</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and diluted</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w w:val="90"/>
              </w:rPr>
              <w:t>Pro forma weighted average number of common shares used in net loss</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gridSpan w:val="2"/>
          </w:tcPr>
          <w:p>
            <w:pPr>
              <w:ind w:left="160"/>
              <w:spacing w:after="0" w:line="263" w:lineRule="exact"/>
              <w:rPr>
                <w:sz w:val="20"/>
                <w:szCs w:val="20"/>
                <w:color w:val="auto"/>
              </w:rPr>
            </w:pPr>
            <w:r>
              <w:rPr>
                <w:rFonts w:ascii="Arial" w:cs="Arial" w:eastAsia="Arial" w:hAnsi="Arial"/>
                <w:sz w:val="18"/>
                <w:szCs w:val="18"/>
                <w:color w:val="auto"/>
                <w:w w:val="93"/>
              </w:rPr>
              <w:t>per share attributable to common stockholders, basic and diluted</w:t>
            </w:r>
            <w:r>
              <w:rPr>
                <w:rFonts w:ascii="Arial" w:cs="Arial" w:eastAsia="Arial" w:hAnsi="Arial"/>
                <w:sz w:val="29"/>
                <w:szCs w:val="29"/>
                <w:color w:val="auto"/>
                <w:w w:val="93"/>
                <w:vertAlign w:val="superscript"/>
              </w:rPr>
              <w:t>(1)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76,655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118,580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Note 12 to our annual and interim consolidated financial statements appearing at the end of this prospectus for details on the calculation of basic and diluted net loss per share attributable to common stockholders and unaudited basic and diluted pro forma net loss per share attributable to common stockholders.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5"/>
              </w:rPr>
              <w:t>As of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3"/>
            <w:vMerge w:val="restart"/>
          </w:tcPr>
          <w:p>
            <w:pPr>
              <w:jc w:val="center"/>
              <w:ind w:right="138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62"/>
        </w:trPr>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72,797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62,452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Working (deficit) capital</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69,866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85,771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(33,265)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(63,670)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(99,687)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1520" w:type="dxa"/>
            <w:vAlign w:val="bottom"/>
            <w:gridSpan w:val="3"/>
          </w:tcPr>
          <w:p>
            <w:pPr>
              <w:ind w:left="1140"/>
              <w:spacing w:after="0"/>
              <w:rPr>
                <w:sz w:val="20"/>
                <w:szCs w:val="20"/>
                <w:color w:val="auto"/>
              </w:rPr>
            </w:pPr>
            <w:r>
              <w:rPr>
                <w:rFonts w:ascii="Arial" w:cs="Arial" w:eastAsia="Arial" w:hAnsi="Arial"/>
                <w:sz w:val="18"/>
                <w:szCs w:val="18"/>
                <w:color w:val="auto"/>
              </w:rPr>
              <w:t>(1)</w:t>
            </w:r>
          </w:p>
        </w:tc>
        <w:tc>
          <w:tcPr>
            <w:tcW w:w="56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We define working (deficit) capital as current assets less current liabilities.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2"/>
          </w:tcPr>
          <w:p>
            <w:pPr>
              <w:jc w:val="right"/>
              <w:ind w:right="140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554"/>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"Selected Consolidated Financial Data" section of this prospectus and our consolidated financial statements and related notes appearing at the end of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542"/>
        <w:spacing w:after="0" w:line="294" w:lineRule="auto"/>
        <w:rPr>
          <w:sz w:val="20"/>
          <w:szCs w:val="20"/>
          <w:color w:val="auto"/>
        </w:rPr>
      </w:pPr>
      <w:r>
        <w:rPr>
          <w:rFonts w:ascii="Arial" w:cs="Arial" w:eastAsia="Arial" w:hAnsi="Arial"/>
          <w:sz w:val="16"/>
          <w:szCs w:val="16"/>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in-licensings, producing drug substance and drug product material for use in clinical trials and conducting pre-clinical studies and early clinical trials. To date, we have funded our operations primarily through the issuance of convertible notes and convertible preferred stock. Since inception, we have raised an aggregate of $140.0 million of gross proceeds to fund our operations through the issuance of convertible notes and convertible preferred stock.</w:t>
      </w:r>
    </w:p>
    <w:p>
      <w:pPr>
        <w:spacing w:after="0" w:line="170" w:lineRule="exact"/>
        <w:rPr>
          <w:sz w:val="20"/>
          <w:szCs w:val="20"/>
          <w:color w:val="auto"/>
        </w:rPr>
      </w:pPr>
    </w:p>
    <w:p>
      <w:pPr>
        <w:jc w:val="both"/>
        <w:ind w:firstLine="406"/>
        <w:spacing w:after="0" w:line="294" w:lineRule="auto"/>
        <w:rPr>
          <w:sz w:val="20"/>
          <w:szCs w:val="20"/>
          <w:color w:val="auto"/>
        </w:rPr>
      </w:pPr>
      <w:r>
        <w:rPr>
          <w:rFonts w:ascii="Arial" w:cs="Arial" w:eastAsia="Arial" w:hAnsi="Arial"/>
          <w:sz w:val="16"/>
          <w:szCs w:val="16"/>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$23.0 million and $32.6 million for the years ended December 31, 2017 and 2018, respectively, and $36.8 million for the three months ended March 31, 2019. As of March 31, 2019, we had an accumulated deficit of $105.0 million. We expect our expenses and operating losses will increase substantially over the next several years in connection with our ongoing activities, as we:</w:t>
      </w:r>
    </w:p>
    <w:p>
      <w:pPr>
        <w:spacing w:after="0" w:line="183" w:lineRule="exact"/>
        <w:rPr>
          <w:sz w:val="20"/>
          <w:szCs w:val="20"/>
          <w:color w:val="auto"/>
        </w:rPr>
      </w:pPr>
    </w:p>
    <w:p>
      <w:pPr>
        <w:ind w:left="1080" w:right="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1 clinical trial and planned Phase 2b clinical trial and Phase 2 open label clinical trial;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IND-enabling studies and prepare for a planned Phase 1 clinical trial of FTX-HbF;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regulatory approval;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86"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74"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2019, we had $62.5 million in cash and cash equivalents. We believe that the anticipated net proceeds from this offering, together with our</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existing cash and cash equivalents, will enable us to fund our operating expenses and capital expenditure requirements through . We have based this estimate on assumptions that may prove to be wrong, and we could exhaust our available capital resources sooner than we expect. See "—Liquidity and Capital Resources."</w:t>
      </w:r>
    </w:p>
    <w:p>
      <w:pPr>
        <w:spacing w:after="0" w:line="198"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auto"/>
        </w:rPr>
        <w:t>Without giving effect to the anticipated net proceeds from this offering, based on our current operating plan, we expect that our existing cash and cash equivalents will be sufficient to fund our operating expenses and capital expenditure requirements into the first quarter of 2020. To finance our operations beyond that point we will need to raise additional capital, which cannot be assured. We have concluded that this circumstance raises substantial doubt about our ability to continue as a going concern for at least one year from the date that our consolidated financial statements for the year ended December 31, 2018 and our consolidated financial statements for the three months ended March 31, 2019 were issued. See Note 1 to our annual and interim consolidated financial statements appearing at the end of this prospectus for additional information on our assessment.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6"/>
          <w:szCs w:val="16"/>
          <w:color w:val="auto"/>
        </w:rPr>
        <w:t>We have not generated any revenue from product sales and do not expect to generate any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6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We may also in the future enter into license or collaboration agreements for our product candidates or intellectual property, and we may generate revenue in the future from payments as a result of such license or collaboration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Research and development expenses represent costs incurred by us for the discovery, development, and manufacture of our product candidates and include:</w:t>
      </w:r>
    </w:p>
    <w:p>
      <w:pPr>
        <w:spacing w:after="0" w:line="273" w:lineRule="exact"/>
        <w:rPr>
          <w:sz w:val="20"/>
          <w:szCs w:val="20"/>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contract manufacturing organizations, or CMOs, and consultants;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in-process research and development, or IPR&amp;D, expenses, which relate to IPR&amp;D acquired as part of an asset acquisition for which there is no alternative future use;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86"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97"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years ended December 31, 2017 and 2018, and for the three months ended March 31, 2018 and 2019. Pre-development candidate expenses, unallocated expenses and internal research and development expenses are classified separately. We nominated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losmapimod as a development candidate in December 2017. FSHD external expenses include IPR&amp;D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FSHD external expenses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Pre-development candidate expenses and unallocated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4,029</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Internal research and development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60" w:type="dxa"/>
            <w:vAlign w:val="bottom"/>
            <w:shd w:val="clear" w:color="auto" w:fill="CCEEFF"/>
          </w:tcPr>
          <w:p>
            <w:pPr>
              <w:spacing w:after="0"/>
              <w:rPr>
                <w:sz w:val="18"/>
                <w:szCs w:val="18"/>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211"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U.S. Food and Drug Administration, or FDA, or any comparable foreign regulatory authority;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ability to establish and operate a manufacturing facility, or secure manufacturing supply through relationships with third parties;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and regulatory exclusivity, both in the United States and internationally;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86" w:lineRule="exact"/>
        <w:rPr>
          <w:sz w:val="20"/>
          <w:szCs w:val="20"/>
          <w:color w:val="auto"/>
        </w:rPr>
      </w:pPr>
    </w:p>
    <w:p>
      <w:pPr>
        <w:jc w:val="both"/>
        <w:ind w:firstLine="494"/>
        <w:spacing w:after="0" w:line="288" w:lineRule="auto"/>
        <w:rPr>
          <w:sz w:val="20"/>
          <w:szCs w:val="20"/>
          <w:color w:val="auto"/>
        </w:rPr>
      </w:pPr>
      <w:r>
        <w:rPr>
          <w:rFonts w:ascii="Arial" w:cs="Arial" w:eastAsia="Arial" w:hAnsi="Arial"/>
          <w:sz w:val="16"/>
          <w:szCs w:val="16"/>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and FTX-HbF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9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390"/>
        <w:spacing w:after="0" w:line="268" w:lineRule="auto"/>
        <w:rPr>
          <w:sz w:val="20"/>
          <w:szCs w:val="20"/>
          <w:color w:val="auto"/>
        </w:rPr>
      </w:pPr>
      <w:r>
        <w:rPr>
          <w:rFonts w:ascii="Arial" w:cs="Arial" w:eastAsia="Arial" w:hAnsi="Arial"/>
          <w:sz w:val="18"/>
          <w:szCs w:val="18"/>
          <w:color w:val="auto"/>
        </w:rPr>
        <w:t>Other income, net consists primarily of interest income related to our investments in cash equivalents and proceeds from the sale of drug material to a third party during February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our results of operations for the three months ended March 31, 2018 and 2019, along with the changes in those items in dollars: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68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(37,227)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(36,843)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98"/>
        <w:spacing w:after="0" w:line="332" w:lineRule="auto"/>
        <w:rPr>
          <w:sz w:val="20"/>
          <w:szCs w:val="20"/>
          <w:color w:val="auto"/>
        </w:rPr>
      </w:pPr>
      <w:r>
        <w:rPr>
          <w:rFonts w:ascii="Arial" w:cs="Arial" w:eastAsia="Arial" w:hAnsi="Arial"/>
          <w:sz w:val="16"/>
          <w:szCs w:val="16"/>
          <w:color w:val="auto"/>
        </w:rPr>
        <w:t>Research and development expense increased by $29.0 million from $5.6 million for the three months ended March 31, 2018 to $34.6 million for the three months ended March 31, 2019. The increase in research and development expense was primarily attributable to the following:</w:t>
      </w:r>
    </w:p>
    <w:p>
      <w:pPr>
        <w:spacing w:after="0" w:line="153" w:lineRule="exact"/>
        <w:rPr>
          <w:sz w:val="20"/>
          <w:szCs w:val="20"/>
          <w:color w:val="auto"/>
        </w:rPr>
      </w:pPr>
    </w:p>
    <w:p>
      <w:pPr>
        <w:ind w:left="1080" w:right="2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$25.6 million in increased IPR&amp;D expenses associated with the recognition of the fair value attributable to the right of reference and license agreement with GSK during the three months ended March 31, 2019;</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$1.8 million in increased costs for external clinical activities as we advanced losmapimod into a Phase 1 clinical trial and conducted preparatory studies in anticipation of initiating Phase 2 clinical trials in mid-2019;</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$0.8 million in increased personnel-related costs due to increased headcount, including $0.2 million of increased stock-based compensation expense;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$0.3 million in increased laboratory supplies to support our expanding research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422"/>
        <w:spacing w:after="0" w:line="332" w:lineRule="auto"/>
        <w:rPr>
          <w:sz w:val="20"/>
          <w:szCs w:val="20"/>
          <w:color w:val="auto"/>
        </w:rPr>
      </w:pPr>
      <w:r>
        <w:rPr>
          <w:rFonts w:ascii="Arial" w:cs="Arial" w:eastAsia="Arial" w:hAnsi="Arial"/>
          <w:sz w:val="16"/>
          <w:szCs w:val="16"/>
          <w:color w:val="auto"/>
        </w:rPr>
        <w:t>General and administrative expenses increased by $0.9 million from $1.7 million for the three months ended March 31, 2018 to $2.6 million for the three months ended March 31, 2019. The increase in general and administrative expenses was primarily attributable to the following:</w:t>
      </w:r>
    </w:p>
    <w:p>
      <w:pPr>
        <w:spacing w:after="0" w:line="166" w:lineRule="exact"/>
        <w:rPr>
          <w:sz w:val="20"/>
          <w:szCs w:val="20"/>
          <w:color w:val="auto"/>
        </w:rPr>
      </w:pPr>
    </w:p>
    <w:p>
      <w:pPr>
        <w:ind w:left="108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$0.6 million in increased personnel-related costs, primarily due to increased general and administrative headcount to support the growth of our research and development organization, including $0.2 million of increased stock-based compensation expense;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$0.2 million in increased consulting and professional fees, including for legal services, market research, recruiting, accounting, and tax.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auto"/>
        </w:rPr>
        <w:t>Other income, net increased by less than $0.1 million from $0.4 million for the three months ended March 31, 2018 to $0.4 million for the three months ended March 31, 2019. Other income, net during the three months ended March 31, 2019 was primarily attributable to investment income of $0.4 million from cash equivalents. During the three months ended March 31, 2018, other income, net related primarily to the sale of drug material to a third party for $0.4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our results of operations for the years ended December 31, 2017 and 2018, along with the changes in those items in dollars: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36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6,690</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3,815</w:t>
            </w: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10,505</w:t>
            </w:r>
          </w:p>
        </w:tc>
        <w:tc>
          <w:tcPr>
            <w:tcW w:w="160" w:type="dxa"/>
            <w:vAlign w:val="bottom"/>
          </w:tcPr>
          <w:p>
            <w:pPr>
              <w:spacing w:after="0"/>
              <w:rPr>
                <w:sz w:val="18"/>
                <w:szCs w:val="18"/>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(33,498)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 income, net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881</w:t>
            </w:r>
          </w:p>
        </w:tc>
      </w:tr>
      <w:tr>
        <w:trPr>
          <w:trHeight w:val="20"/>
        </w:trPr>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(22,964)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(32,588)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w:t>
            </w:r>
          </w:p>
        </w:tc>
      </w:tr>
      <w:tr>
        <w:trPr>
          <w:trHeight w:val="20"/>
        </w:trPr>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 increased by $6.7 million from $18.5 million for the year ended December 31, 2017 to $25.2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in research and development expense was primarily attributable to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$2.4 million in increased facility-related costs, including rent and other costs related to our new facility lease that commenced in December 2017, depreciation and other utility and maintenance costs;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$1.6 million in increased external manufacturing costs related to losmapimod and increased chemistry efforts for our hemoglobinopathies program;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$1.3 million in increased personnel-related costs due to increased headcount, including $0.3 million of increased stock-based compensation expense;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$0.9 million in increased costs for preparatory studies in anticipation of initiating losmapimod clinical trials in 2019;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$0.4 million in increased laboratory supplies to support our expanding research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General and administrative expenses increased by $3.8 million from $4.5 million for the year ended December 31, 2017 to $8.3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in general and administrative expenses was primarily attributable to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$1.9 million in increased personnel-related costs, primarily due to increased general and administrative headcount to support the growth of our research and development organization, including $0.5 million of increased stock-based compensation expense;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$1.1 million in increased consulting and professional fees, including for legal services, market research, recruiting, accounting and tax; and</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 million in increased facility-related costs, including rent and other costs related to our new facility lease that commenced in December 2017, depreciation and other utility and maintenance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20" w:firstLine="564"/>
        <w:spacing w:after="0" w:line="332" w:lineRule="auto"/>
        <w:rPr>
          <w:sz w:val="20"/>
          <w:szCs w:val="20"/>
          <w:color w:val="auto"/>
        </w:rPr>
      </w:pPr>
      <w:r>
        <w:rPr>
          <w:rFonts w:ascii="Arial" w:cs="Arial" w:eastAsia="Arial" w:hAnsi="Arial"/>
          <w:sz w:val="16"/>
          <w:szCs w:val="16"/>
          <w:color w:val="auto"/>
        </w:rPr>
        <w:t>Other income, net increased by $0.9 million from less than $0.1 million for the year ended December 31, 2017 to $0.9 million for the year ended December 31, 2018. The increase in other income, net was primarily attributable to an increase in investment income of $0.5 million during the year 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due to higher cash equivalents in 2018 and the sale of drug material to a third party in February 2018 for $0.4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We have primarily funded our operations through March 31, 2019 with aggregate gross proceeds of $140.0 million from the issuance of convertible notes and convertible preferred stock. As of March 31, 2019, we had cash and cash equivalents of $62.5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information regarding our cash flows for the years ended December 31, 2017 and 2018, and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2019:</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(9,897)</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01"/>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Net (decrease) increase in cash, cash equivalents, and</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73,482</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(10,345)</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Net cash used in operating activities was $9.9 million during the three months ended March 31, 2019 compared to net cash used in operating activities of $6.6 million during the three months ended March 31, 2018. The increase in net cash used in operating activities of $3.3 million was due to an increase in net loss of $29.9 million for the three months ended March 31, 2019 as compared to the three months ended March 31, 2018, partially offset by a net increase in non-cash expenses of $26.3 million primarily due to an increase in IPR&amp;D expenses of $25.6 million and an increase in stock-based compensation expense of $0.4 million, and a net increase in cash provided by changes in our operating assets and liabilities of $0.3 million.</w:t>
      </w:r>
    </w:p>
    <w:p>
      <w:pPr>
        <w:spacing w:after="0" w:line="170"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color w:val="auto"/>
        </w:rPr>
        <w:t>Net cash used in operating activities was $22.6 million during the year ended December 31, 2018 compared to net cash used in operating activities of $20.1 million during the year ended December 31, 2017. The increase in net cash used in operating activities of $2.5 million was due to an increase in net loss of $9.6 million for the year ended December 31, 2018 as compared to the year ended December 31, 2017, partially offset by a net increase in cash provided by changes in our operating assets and liabilities of $5.7 million, primarily due to the receipt of $4.6 million during the year ended December 31, 2018 associated with the leasehold improvement allowance related to our new facility lease that commenced in December 2017, and a net increase in non-cash expenses of $1.4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433"/>
        <w:spacing w:after="0" w:line="259" w:lineRule="auto"/>
        <w:rPr>
          <w:sz w:val="20"/>
          <w:szCs w:val="20"/>
          <w:color w:val="auto"/>
        </w:rPr>
      </w:pPr>
      <w:r>
        <w:rPr>
          <w:rFonts w:ascii="Arial" w:cs="Arial" w:eastAsia="Arial" w:hAnsi="Arial"/>
          <w:sz w:val="18"/>
          <w:szCs w:val="18"/>
          <w:color w:val="auto"/>
        </w:rPr>
        <w:t>Net cash used in investing activities was $0.4 million during the three months ended March 31, 2019 compared to net cash used in investing activities of $0.8 million during the three months ended March 31, 2018. Net cash used in investing activities for the three months ended March 31, 2019 and 2018 primarily consisted of purchases of property and equipment.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3"/>
        <w:spacing w:after="0" w:line="256" w:lineRule="auto"/>
        <w:rPr>
          <w:sz w:val="20"/>
          <w:szCs w:val="20"/>
          <w:color w:val="auto"/>
        </w:rPr>
      </w:pPr>
      <w:r>
        <w:rPr>
          <w:rFonts w:ascii="Arial" w:cs="Arial" w:eastAsia="Arial" w:hAnsi="Arial"/>
          <w:sz w:val="18"/>
          <w:szCs w:val="18"/>
          <w:color w:val="auto"/>
        </w:rPr>
        <w:t>Net cash used in investing activities was $9.0 million during the year ended December 31, 2018 compared to net cash used in investing activities of $1.9 million during the year ended December 31, 2017. Net cash used in investing activities for the years ended December 31, 2018 and 2017 consisted of purchases of property and equipment. The increase in net cash used in investing activities of $7.1 million was primarily due to an increase in purchases of property and equipment associated with our new facility lease that commenced in December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jc w:val="both"/>
        <w:ind w:firstLine="394"/>
        <w:spacing w:after="0" w:line="298" w:lineRule="auto"/>
        <w:rPr>
          <w:sz w:val="20"/>
          <w:szCs w:val="20"/>
          <w:color w:val="auto"/>
        </w:rPr>
      </w:pPr>
      <w:r>
        <w:rPr>
          <w:rFonts w:ascii="Arial" w:cs="Arial" w:eastAsia="Arial" w:hAnsi="Arial"/>
          <w:sz w:val="16"/>
          <w:szCs w:val="16"/>
          <w:color w:val="auto"/>
        </w:rPr>
        <w:t>Net cash used in financing activities was less than $0.1 million during the three months ended March 31, 2019 compared to net cash provided by financing activities of $12.6 million during the three months ended March 31, 2018. The cash provided by financing activities during the three months ended March 31, 2018 was primarily the result of $12.7 million of net proceeds received from private placements of our Series A preferred stock. The net cash used in financing activities for the three months ended March 31, 2019 was primarily the result of the payment of costs associated with the issuance of Series B preferred stock.</w:t>
      </w:r>
    </w:p>
    <w:p>
      <w:pPr>
        <w:spacing w:after="0" w:line="167" w:lineRule="exact"/>
        <w:rPr>
          <w:sz w:val="20"/>
          <w:szCs w:val="20"/>
          <w:color w:val="auto"/>
        </w:rPr>
      </w:pPr>
    </w:p>
    <w:p>
      <w:pPr>
        <w:jc w:val="both"/>
        <w:ind w:firstLine="431"/>
        <w:spacing w:after="0" w:line="298" w:lineRule="auto"/>
        <w:rPr>
          <w:sz w:val="20"/>
          <w:szCs w:val="20"/>
          <w:color w:val="auto"/>
        </w:rPr>
      </w:pPr>
      <w:r>
        <w:rPr>
          <w:rFonts w:ascii="Arial" w:cs="Arial" w:eastAsia="Arial" w:hAnsi="Arial"/>
          <w:sz w:val="16"/>
          <w:szCs w:val="16"/>
          <w:color w:val="auto"/>
        </w:rPr>
        <w:t>Net cash provided by financing activities was $105.0 million during the year ended December 31, 2018 compared to $17.7 million during the year ended December 31, 2017. The cash provided by financing activities during the year ended December 31, 2018 was primarily the result of $105.1 million of net proceeds received from private placements of our Series A and Series B preferred stock. The cash provided by financing activities for the year ended December 31, 2017 was primarily the result of $17.6 million of net proceeds received from private placements of our Series A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upon the closing of this offering, we expect to incur additional costs associated with operating as a public company. As a result, we expect to incur substantial operating losses and negative operating cash flows for the foreseeable future.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Based on our current operating plan, we expect that the anticipated net proceeds from this offering, together with our existing cash and cash equivalents, will</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enable us to fund our operating expenses and capital expenditure requirements through . However, we have based this estimate on assumptions that may prove to be wrong and we could exhaust our capital resources sooner than we expect.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1 clinical trial of losmapimod;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2b clinical trial and planned Phase 2 open label clinical trial of losmapimod and our planned Phase 1 clinical trial of FTX-HbF;</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arrangements;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94"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94"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or debt financings and collaboration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or other strategic transactions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ind w:firstLine="473"/>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2018 and the effects that these obligations are expected to have on our liquidity and cash flows in future periods: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1 to 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3 to 5</w:t>
            </w:r>
          </w:p>
        </w:tc>
        <w:tc>
          <w:tcPr>
            <w:tcW w:w="1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More Than</w:t>
            </w: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8"/>
                <w:szCs w:val="28"/>
                <w:color w:val="auto"/>
                <w:vertAlign w:val="superscript"/>
              </w:rPr>
              <w:t>(1)</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Capital lease obligation</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1680" w:hanging="531"/>
        <w:spacing w:after="0" w:line="268" w:lineRule="auto"/>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 which expires in June 2028. The minimum lease payments above do not include any related common area maintenance charges or real estate taxes.</w:t>
      </w:r>
    </w:p>
    <w:p>
      <w:pPr>
        <w:spacing w:after="0" w:line="186" w:lineRule="exact"/>
        <w:rPr>
          <w:sz w:val="20"/>
          <w:szCs w:val="20"/>
          <w:color w:val="auto"/>
        </w:rPr>
      </w:pPr>
    </w:p>
    <w:p>
      <w:pPr>
        <w:ind w:firstLine="473"/>
        <w:spacing w:after="0" w:line="268" w:lineRule="auto"/>
        <w:rPr>
          <w:sz w:val="20"/>
          <w:szCs w:val="20"/>
          <w:color w:val="auto"/>
        </w:rPr>
      </w:pPr>
      <w:r>
        <w:rPr>
          <w:rFonts w:ascii="Arial" w:cs="Arial" w:eastAsia="Arial" w:hAnsi="Arial"/>
          <w:sz w:val="18"/>
          <w:szCs w:val="18"/>
          <w:color w:val="auto"/>
        </w:rPr>
        <w:t>Under our right of reference and license agreement that we entered into in February 2019 with affiliates of GSK, we have payment obligations that are contingent upon the occurrence of future events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such as our achievement of specified clinical, regulatory and sales milestones and are required to make royalty payments in connection with the sale of products developed under the agreement. Specifically, we may owe GSK up to $37.5 million in certain specified clinical and regulatory milestones, of which $2.5 million is due upon the initiation of a Phase 2 clinical trial, and up to $60.0 million in certain specified sales milestones and royalties on product sales, if any. We have not included any such contingent milestone or royalty payment obligations in the table above, which is presented as of December 31, 2018. In addition, the amount (in the case of potential royalty payments), timing and likelihood of such payments are not always known. For additional information regarding this license agreement, including our payment obligations thereunder, see "Business—Right of Reference and License Agreement with GlaxoSmithKline," Note 14 to our annual consolidated financial statements included elsewhere in this prospectus and Note 9 to our interim consolidated financial statements included elsewhere in this prospectus.</w:t>
      </w:r>
    </w:p>
    <w:p>
      <w:pPr>
        <w:spacing w:after="0" w:line="172"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We enter into contracts in the normal course of business with CROs, CMOs and other third parties for clinical trials, pre-clinical research studies, synthetic chemistry and testing and manufacturing services. These contracts are generally cancelable by us upon up to 30 days' prior written notice. Payments due upon cancellation consist only of payments for services provided or expenses incurred, including noncancelable obligations of our service providers, up to and through the date of cancellation. These payments are not included in the preceding table as the amount and timing of these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172"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annual consolidated financial statements included elsewhere in this prospectus for a description of our other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6" w:lineRule="exact"/>
        <w:rPr>
          <w:sz w:val="20"/>
          <w:szCs w:val="20"/>
          <w:color w:val="auto"/>
        </w:rPr>
      </w:pPr>
    </w:p>
    <w:p>
      <w:pPr>
        <w:jc w:val="both"/>
        <w:ind w:firstLine="407"/>
        <w:spacing w:after="0" w:line="290"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2"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We measure stock-based compensation expense related to all restricted stock awards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172"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color w:val="auto"/>
        </w:rPr>
        <w:t>We determine the fair value of restricted stock awards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As a result of the lack of a public market for the trading of our common stock and a lack of company-specific historical and implied volatility data, we base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 and Series B Preferred Stock</w:t>
      </w:r>
    </w:p>
    <w:p>
      <w:pPr>
        <w:spacing w:after="0" w:line="225" w:lineRule="exact"/>
        <w:rPr>
          <w:sz w:val="20"/>
          <w:szCs w:val="20"/>
          <w:color w:val="auto"/>
        </w:rPr>
      </w:pPr>
    </w:p>
    <w:p>
      <w:pPr>
        <w:jc w:val="both"/>
        <w:ind w:firstLine="387"/>
        <w:spacing w:after="0" w:line="284" w:lineRule="auto"/>
        <w:rPr>
          <w:sz w:val="20"/>
          <w:szCs w:val="20"/>
          <w:color w:val="auto"/>
        </w:rPr>
      </w:pPr>
      <w:r>
        <w:rPr>
          <w:rFonts w:ascii="Arial" w:cs="Arial" w:eastAsia="Arial" w:hAnsi="Arial"/>
          <w:sz w:val="16"/>
          <w:szCs w:val="16"/>
          <w:color w:val="auto"/>
        </w:rPr>
        <w:t>As previously described, we are required to estimate the fair value of our common stock underlying our stock-based awards when estimating the grant date fair value of those awards. Additionally, we were required to estimate the fair value of the Series B preferred stock issued pursuant to the right of reference and license agreement that we entered into with GSK in February 2019. As there has been no public market for our common stock or Series B preferred stock to date, the estimated fair value of our common stock and Series B preferred stock has been determined by our board of directors and management, respectively, as of the date of each equity issuance considering our most recently available third-party valuations of common stock or Series B preferred stock, and our assessment of additional objective and subjective factors. These third-party valuations were performed in accordance with the guidance outlined in the American Institute of Certified Public Accountants' Accounting and Valuation Guide, Valuation of Privately-Held-Company Equity Securities Issued as Compensation. Our common stock valuations were prepared using the guideline public company method and/or the precedent transaction method to estimate our equity value, and we utilized the option-pricing method, or OPM, or the hybrid method to allocate equity value to our common stock and preferred stock. The hybrid method is a probability-weighted expected return method, or PWERM, where the equity value in one or more of the scenarios is allocated using an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or an initial public offering, or IPO. The PWERM is a scenario-based method that estimates the fair value of common stock and preferred stock based upon an analysis of future values for the company, assuming various outcomes. The common stock and preferred stock value is based on the probability-weighted present value of expected future investment returns considering each of the possible outcomes available, as well as the rights of each class of stock. The future value of the common stock and preferred stock under each outcome is discounted back to the valuation date at an appropriate risk-adjusted discount rate and probability weighted to arrive at an indication of value for the common stock. In our application of the hybrid method, we considered an IPO scenario under the PWERM framework, in which the shares of convertible preferred stock are assumed to convert to common stock, and a non-IPO scenario modeled using an OPM. Our Series B preferred stock valuation was prepared using the hybrid method. The relative probability of the IPO scenario was determined based on an analysis of market conditions at the time and our expectations as to the timing and likely prospects of the IPO at each valuation date. In our application of the guideline public company method, we considered recently completed IPOs as indicators of our estimated future value in an IPO.</w:t>
      </w:r>
    </w:p>
    <w:p>
      <w:pPr>
        <w:spacing w:after="0" w:line="180" w:lineRule="exact"/>
        <w:rPr>
          <w:sz w:val="20"/>
          <w:szCs w:val="20"/>
          <w:color w:val="auto"/>
        </w:rPr>
      </w:pPr>
    </w:p>
    <w:p>
      <w:pPr>
        <w:jc w:val="both"/>
        <w:ind w:firstLine="425"/>
        <w:spacing w:after="0" w:line="289" w:lineRule="auto"/>
        <w:rPr>
          <w:sz w:val="20"/>
          <w:szCs w:val="20"/>
          <w:color w:val="auto"/>
        </w:rPr>
      </w:pPr>
      <w:r>
        <w:rPr>
          <w:rFonts w:ascii="Arial" w:cs="Arial" w:eastAsia="Arial" w:hAnsi="Arial"/>
          <w:sz w:val="16"/>
          <w:szCs w:val="16"/>
          <w:color w:val="auto"/>
        </w:rPr>
        <w:t>Based on our early stage of development and other relevant factors, our board of directors determined that the OPM was the most appropriate method for allocating our enterprise value to determine the estimated fair value of our common stock for the valuations performed as of December 31, 2016, December 31, 2017 and June 1, 2018, which resulted in our board of directors determining that the fair value of our common stock was $0.42 per share, $0.47 per share and $0.69 per share, respectively. Following the issuance of the Series B preferred stock in August 2018, our board of directors determined that the hybrid method was the most appropriate method for allocating our enterprise value to determine the estimated fair value of our common stock for valuations performed as of August 24, 2018, November 30, 2018, March 15, 2019 and May 10, 2019, which resulted in our board of directors determining that the fair value of our common stock was $1.09 per share, $1.12 per share, $1.19 per share and $1.58 per share, respectively. Our board of directors determined that it was appropriate to change the methodology for determining the fair value of our common stock to the hybrid method beginning with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August 24, 2018 valuation as greater certainty developed regarding a possible IPO upon the issuance of the Series B preferred stock. Management determined that the value of our Series B preferred stock was $2.04 per share as of February 8, 2019.</w:t>
      </w:r>
    </w:p>
    <w:p>
      <w:pPr>
        <w:spacing w:after="0" w:line="186" w:lineRule="exact"/>
        <w:rPr>
          <w:sz w:val="20"/>
          <w:szCs w:val="20"/>
          <w:color w:val="auto"/>
        </w:rPr>
      </w:pPr>
    </w:p>
    <w:p>
      <w:pPr>
        <w:ind w:firstLine="417"/>
        <w:spacing w:after="0" w:line="268" w:lineRule="auto"/>
        <w:rPr>
          <w:sz w:val="20"/>
          <w:szCs w:val="20"/>
          <w:color w:val="auto"/>
        </w:rPr>
      </w:pPr>
      <w:r>
        <w:rPr>
          <w:rFonts w:ascii="Arial" w:cs="Arial" w:eastAsia="Arial" w:hAnsi="Arial"/>
          <w:sz w:val="18"/>
          <w:szCs w:val="18"/>
          <w:color w:val="auto"/>
        </w:rPr>
        <w:t>Our board of directors and management considered various objective and subjective factors to determine the fair value of our common stock and Series B preferred stock, respectively, including:</w:t>
      </w:r>
    </w:p>
    <w:p>
      <w:pPr>
        <w:spacing w:after="0" w:line="19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valuations of our common stock and Series B preferred stock performed by independent third-party valuation specialists;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stage of development and business strategy, including the status of research and development efforts of our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analysis of IPOs and the valuation of similar publicly traded companies in the biopharmaceutical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financial position, including our levels of available capital resources;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likelihood and potential timing of achieving a liquidity event, such as an IPO, in light of prevailing market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biopharmaceutical industry.</w:t>
      </w:r>
    </w:p>
    <w:p>
      <w:pPr>
        <w:spacing w:after="0" w:line="225"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The assumptions underlying these valuations represent our best estimates, which involve inherent uncertainties and the application of judgment. As a result, if factors or expected outcomes change and we use significantly different assumptions or estimates, our stock-based compensation expense or in-process research and development expense could be materially different.</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Stock-Based Awards</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following table presents the grant dates, numbers of underlying shares of common stock, the per share purchase prices and exercise prices, and the fair values of the underlying common stock as of the grant dates for awards granted between January 1, 2018 and May 31, 2019, along with the fair value per award on the date of grant: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Per Share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Subject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Value of Award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or Purchase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Stock 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on Grant</w:t>
            </w:r>
          </w:p>
        </w:tc>
        <w:tc>
          <w:tcPr>
            <w:tcW w:w="0" w:type="dxa"/>
            <w:vAlign w:val="bottom"/>
          </w:tcPr>
          <w:p>
            <w:pPr>
              <w:spacing w:after="0"/>
              <w:rPr>
                <w:sz w:val="1"/>
                <w:szCs w:val="1"/>
                <w:color w:val="auto"/>
              </w:rPr>
            </w:pPr>
          </w:p>
        </w:tc>
      </w:tr>
      <w:tr>
        <w:trPr>
          <w:trHeight w:val="176"/>
        </w:trPr>
        <w:tc>
          <w:tcPr>
            <w:tcW w:w="2660" w:type="dxa"/>
            <w:vAlign w:val="bottom"/>
            <w:gridSpan w:val="4"/>
          </w:tcPr>
          <w:p>
            <w:pPr>
              <w:spacing w:after="0"/>
              <w:rPr>
                <w:sz w:val="20"/>
                <w:szCs w:val="20"/>
                <w:color w:val="auto"/>
              </w:rPr>
            </w:pPr>
            <w:r>
              <w:rPr>
                <w:rFonts w:ascii="Arial" w:cs="Arial" w:eastAsia="Arial" w:hAnsi="Arial"/>
                <w:sz w:val="14"/>
                <w:szCs w:val="14"/>
                <w:b w:val="1"/>
                <w:bCs w:val="1"/>
                <w:color w:val="auto"/>
              </w:rPr>
              <w:t>Grant Date</w:t>
            </w:r>
          </w:p>
        </w:tc>
        <w:tc>
          <w:tcPr>
            <w:tcW w:w="1280" w:type="dxa"/>
            <w:vAlign w:val="bottom"/>
          </w:tcPr>
          <w:p>
            <w:pPr>
              <w:jc w:val="right"/>
              <w:ind w:right="134"/>
              <w:spacing w:after="0"/>
              <w:rPr>
                <w:sz w:val="20"/>
                <w:szCs w:val="20"/>
                <w:color w:val="auto"/>
              </w:rPr>
            </w:pPr>
            <w:r>
              <w:rPr>
                <w:rFonts w:ascii="Arial" w:cs="Arial" w:eastAsia="Arial" w:hAnsi="Arial"/>
                <w:sz w:val="14"/>
                <w:szCs w:val="14"/>
                <w:b w:val="1"/>
                <w:bCs w:val="1"/>
                <w:color w:val="auto"/>
              </w:rPr>
              <w:t>Type of Award</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Grant Date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4"/>
              </w:rPr>
              <w:t>Date</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1/23/2018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1,580,013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0.47</w:t>
            </w:r>
            <w:r>
              <w:rPr>
                <w:rFonts w:ascii="Arial" w:cs="Arial" w:eastAsia="Arial" w:hAnsi="Arial"/>
                <w:sz w:val="14"/>
                <w:szCs w:val="14"/>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2/23/2018</w:t>
            </w:r>
          </w:p>
        </w:tc>
        <w:tc>
          <w:tcPr>
            <w:tcW w:w="1280" w:type="dxa"/>
            <w:vAlign w:val="bottom"/>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0.47</w:t>
            </w:r>
            <w:r>
              <w:rPr>
                <w:rFonts w:ascii="Arial" w:cs="Arial" w:eastAsia="Arial" w:hAnsi="Arial"/>
                <w:sz w:val="14"/>
                <w:szCs w:val="14"/>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6/20/2018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0.69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6/20/2018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578,932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0.69</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7/11/2018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0.69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10/17/2018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502,370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1.09</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12/13/2018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1.12</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12/18/2018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2,125,000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1.12</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1/22/2019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7,043,661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1.12</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3/20/2019</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1.19</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5/21/2019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1.58</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5" w:lineRule="auto"/>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restricted stock, the Per Share Estimated Fair Value of Award on Grant Date reflects the weighted average fair value of restricted stock at the date of grant, which is equal to the fair value of our common stock as of the date of grant as determined by our board of directors, less the applicable purchase price of the restricted stock. For stock options, the Per Share Estimated Fair Value of Award on Grant Date reflects the weighted average fair value of stock options as estimated at the date of grant using the Black-Scholes option-pricing model.</w:t>
      </w:r>
    </w:p>
    <w:p>
      <w:pPr>
        <w:spacing w:after="0" w:line="223"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undertook a retrospective valuation of the fair value of our common stock as of December 31, 2017 and this value represents our estimated fair value per common share in accordance with such retrospective valuation.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 in Connection with Initial Public Offering</w:t>
      </w:r>
    </w:p>
    <w:p>
      <w:pPr>
        <w:spacing w:after="0" w:line="225" w:lineRule="exact"/>
        <w:rPr>
          <w:sz w:val="20"/>
          <w:szCs w:val="20"/>
          <w:color w:val="auto"/>
        </w:rPr>
      </w:pPr>
    </w:p>
    <w:p>
      <w:pPr>
        <w:jc w:val="both"/>
        <w:ind w:firstLine="355"/>
        <w:spacing w:after="0" w:line="306" w:lineRule="auto"/>
        <w:rPr>
          <w:sz w:val="20"/>
          <w:szCs w:val="20"/>
          <w:color w:val="auto"/>
        </w:rPr>
      </w:pPr>
      <w:r>
        <w:rPr>
          <w:rFonts w:ascii="Arial" w:cs="Arial" w:eastAsia="Arial" w:hAnsi="Arial"/>
          <w:sz w:val="16"/>
          <w:szCs w:val="16"/>
          <w:color w:val="auto"/>
        </w:rPr>
        <w:t>Our board of directors has approved, effective upon the commencement of trading of our common stock on the Nasdaq Stock Market, grants of stock options to purchase an aggregate of 2,159,544 shares of our common stock at a purchase price per share equal to the estimated fair market value of our common stock on such date of grant, which our board of directors determined to be equal to the initial public offering price of our common stock in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75"/>
        <w:spacing w:after="0" w:line="290"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annual and interim consolidated financial statements appearing at the end of this prospectus, these standards will not have a material impact on our financial statements or do not otherwise apply to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As of March 31, 2019, we had cash and cash equivalents of $62.5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67"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6"/>
          <w:szCs w:val="16"/>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March 31, 2019, we had minimal or no liabilities denominated in foreign currencies.</w:t>
      </w:r>
    </w:p>
    <w:p>
      <w:pPr>
        <w:spacing w:after="0" w:line="161" w:lineRule="exact"/>
        <w:rPr>
          <w:sz w:val="20"/>
          <w:szCs w:val="20"/>
          <w:color w:val="auto"/>
        </w:rPr>
      </w:pPr>
    </w:p>
    <w:p>
      <w:pPr>
        <w:jc w:val="both"/>
        <w:ind w:firstLine="427"/>
        <w:spacing w:after="0" w:line="332"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had a material effect on our business, financial condition or results of operations during the years ended December 31, 2017 and 2018 or the three months ended March 31, 2018 and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IPO,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will not be subject to new or revised accounting standards at the same time that they become applicable to other public companies that are not EGCs. As a result, our consolidated financial statements may not be comparable to companies that comply with new or revised accounting pronouncements as of public company effective dates.</w:t>
      </w:r>
    </w:p>
    <w:p>
      <w:pPr>
        <w:spacing w:after="0" w:line="17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8"/>
          <w:szCs w:val="18"/>
          <w:color w:val="auto"/>
        </w:rPr>
        <w:t>We may remain classified as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relational database, to guide target selection and to generate hypotheses on other targets that might be relevant along a gene regulatory pathway.</w:t>
      </w:r>
    </w:p>
    <w:p>
      <w:pPr>
        <w:spacing w:after="0" w:line="167"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6"/>
          <w:szCs w:val="16"/>
          <w:color w:val="auto"/>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p38a/b mitogen activated protein kinase, or p38a/b. We utilized our product engine to discover that inhibition of p38a/b reduced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in muscle cells derived from patients with FSHD. The mis-expression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the known root cause of FSHD. There are no approved therapies for FSHD, one of the most common forms of muscular dystrophy, with an estimated patient population of 16,000 to 38,000 in the United States.</w:t>
      </w:r>
    </w:p>
    <w:p>
      <w:pPr>
        <w:spacing w:after="0" w:line="170"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 xml:space="preserve">Following our discovery of the role of p38a/b inhibitors in the reduction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GSK had previously treated nearly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201"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8"/>
          <w:szCs w:val="18"/>
          <w:color w:val="auto"/>
        </w:rPr>
        <w:t>We plan to conduct a randomized, double-blind placebo-controlled Phase 2b clinical trial to investigate whether treatment with losmapimod reduces DUX4-driven gene expression in affected skeletal muscle. In this Phase 2b clinical trial, we will also evaluate the safety and tolerability of losmapimod. We plan to concurrently conduct an open label Phase 2 clinical trial to investigate the safety and tolerability of chronic treatment with losmapimod in patients with FSHD. In this open label trial, we will also evaluate the ability of losmapimod to reduce DUX4-driven gene expression in affected skeletal muscle over varying treatment durations. We expect to initiate the Phase 2b clinical trial at multiple sites in the United States and Europe and the open label Phase 2 clinical trial in Europe in mid-2019. We expect to complete a Phase 1 clinical trial in healthy volunteers and patients with FSHD in 2019. We utilized data from GSK's clinical trials of losmapimod and our preclinical data to submit in May 2019 an IND, and clinical trial applications, or CTAs, in Europe and Canada, that will enable us to advance our clinical development plan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losmapimod in FSHD, including initiating a Phase 2b clinical trial in mid-2019. The FDA accepted the IND in June 2019. The timing of the initiation of the Phase 2b clinical trial is not dependent on the completion of the Phase 1 clinical trial.</w:t>
      </w:r>
    </w:p>
    <w:p>
      <w:pPr>
        <w:spacing w:after="0" w:line="186" w:lineRule="exact"/>
        <w:rPr>
          <w:sz w:val="20"/>
          <w:szCs w:val="20"/>
          <w:color w:val="auto"/>
        </w:rPr>
      </w:pPr>
    </w:p>
    <w:p>
      <w:pPr>
        <w:jc w:val="both"/>
        <w:ind w:firstLine="367"/>
        <w:spacing w:after="0" w:line="288" w:lineRule="auto"/>
        <w:rPr>
          <w:sz w:val="20"/>
          <w:szCs w:val="20"/>
          <w:color w:val="auto"/>
        </w:rPr>
      </w:pPr>
      <w:r>
        <w:rPr>
          <w:rFonts w:ascii="Arial" w:cs="Arial" w:eastAsia="Arial" w:hAnsi="Arial"/>
          <w:sz w:val="16"/>
          <w:szCs w:val="16"/>
          <w:color w:val="auto"/>
        </w:rPr>
        <w:t>We are additionally conducting several preparatory studies to assess biomarker endpoints and clinical outcome assessments and are participating in a natural history study that will follow 150 subjects with FSHD in the United States and 70 subjects in Europe over 18 months. We expect to utilize the data generated from our preparatory studies and the natural history study to inform future clinical trial designs and discussions with regulatory agencies. We believe that these preparatory studies and the safety data from GSK's prior losmapimod clinical trials, together with safety and efficacy data generated from our Phase 1 and Phase 2 clinical trials, may enable us to apply for accelerated approval of losmapimod for the treatment of FSHD. If we observe positive results in our Phase 2b clinical trial based on our proposed biomarker efficacy endpoint of measuring DUX4-driven gene expression in muscle biopsies, we plan to discuss accelerated approval with regulatory agencies and may seek accelerated approval if such regulatory agencies agree that our biomarker endpoint is sufficiently predictive of clinical benefit. The FDA or other regulatory authorities may require us to conduct comparability assessments of GSK-manufactured tablets to tablets manufactured by us or another party.</w:t>
      </w:r>
    </w:p>
    <w:p>
      <w:pPr>
        <w:spacing w:after="0" w:line="174"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 xml:space="preserve">Our second product candidate, FTX-HbF, is a small molecule designed to upregulate fetal hemoglobin in patients with SCD and b-thalassemia. SCD is a genetic blood disorder caused by a mutation in the b-subunit gene, or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mutation results in the formation of abnormal hemoglobin, which causes red blood cells, or RBCs, to change from a round shape into a sickle shape that significantly impairs their function. b-thalassemia is a rare blood disorder caused by various genetic mutations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can significantly impair the production of RBCs.</w:t>
      </w:r>
    </w:p>
    <w:p>
      <w:pPr>
        <w:spacing w:after="0" w:line="167"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color w:val="auto"/>
        </w:rPr>
        <w:t xml:space="preserve">We designed FTX-HbF to compensate for the root cause of these hemoglobinopathies by inducing the expression of the two g-globin genes, </w:t>
      </w:r>
      <w:r>
        <w:rPr>
          <w:rFonts w:ascii="Arial" w:cs="Arial" w:eastAsia="Arial" w:hAnsi="Arial"/>
          <w:sz w:val="16"/>
          <w:szCs w:val="16"/>
          <w:i w:val="1"/>
          <w:iCs w:val="1"/>
          <w:color w:val="auto"/>
        </w:rPr>
        <w:t>HBG1/2</w:t>
      </w:r>
      <w:r>
        <w:rPr>
          <w:rFonts w:ascii="Arial" w:cs="Arial" w:eastAsia="Arial" w:hAnsi="Arial"/>
          <w:sz w:val="16"/>
          <w:szCs w:val="16"/>
          <w:color w:val="auto"/>
        </w:rPr>
        <w:t xml:space="preserve">, whose expression is normally silenced shortly after birth.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encode for g-globin, a component of fetal hemoglobin, which is known to compensate for the presence of abnormal hemoglobin in SCD and b-thalassemia. 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activation of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in preclinical studies with FTX-HbF. We have also observed that FTX-HbF demonstrated robust levels of fetal hemoglobin elevation with no adverse effect on important cellular health markers. We have initiated IND-enabling studies and plan to submit an IND for FTX-HbF in mid-2020.</w:t>
      </w:r>
    </w:p>
    <w:p>
      <w:pPr>
        <w:spacing w:after="0" w:line="170" w:lineRule="exact"/>
        <w:rPr>
          <w:sz w:val="20"/>
          <w:szCs w:val="20"/>
          <w:color w:val="auto"/>
        </w:rPr>
      </w:pPr>
    </w:p>
    <w:p>
      <w:pPr>
        <w:jc w:val="both"/>
        <w:ind w:firstLine="524"/>
        <w:spacing w:after="0" w:line="291" w:lineRule="auto"/>
        <w:rPr>
          <w:sz w:val="20"/>
          <w:szCs w:val="20"/>
          <w:color w:val="auto"/>
        </w:rPr>
      </w:pPr>
      <w:r>
        <w:rPr>
          <w:rFonts w:ascii="Arial" w:cs="Arial" w:eastAsia="Arial" w:hAnsi="Arial"/>
          <w:sz w:val="16"/>
          <w:szCs w:val="16"/>
          <w:color w:val="auto"/>
        </w:rPr>
        <w:t>According to the National Institutes of Health, or NIH, there are approximately 7,000 rare, genetically defined human diseases, many of which have inadequate or no approved treatments. We plan to utilize our product engine to complete four new drug target identification screens in 2019 in Duchenne muscular dystrophy, Friedreich ataxia, myotonic dystrophy 1 and a-synucleinopathies. We also expect to complete an additional six screens in 2020.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In addition to drug targets that we prioritize for internal development, we may identify other drug targets that we would consider for development through partnerships.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designed our proprietary product engine with potential application across a broad array of genetically defined diseases with a known root cause. The following chart summarizes key information about our lead product candidates.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148590</wp:posOffset>
            </wp:positionV>
            <wp:extent cx="5591175" cy="857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9117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summarizes key information about our discovery stage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148590</wp:posOffset>
            </wp:positionV>
            <wp:extent cx="5556885" cy="951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5688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auto"/>
        </w:rPr>
        <w:t>We are leveraging the broad applicability of our proprietary product engine to discover and develop small molecule therapies that modulate gene expression to address the known root cause of genetically defined diseases in areas of high unmet medical need, with an initial focus on rare diseases. We believe that our initial product candidates for the treatment of FSHD, SCD and b-thalassemia may have the potential to treat patients with these debilitating and, in some cases, life-threatening illnesses. The key components of our strategy include:</w:t>
      </w:r>
    </w:p>
    <w:p>
      <w:pPr>
        <w:spacing w:after="0" w:line="211" w:lineRule="exact"/>
        <w:rPr>
          <w:sz w:val="20"/>
          <w:szCs w:val="20"/>
          <w:color w:val="auto"/>
        </w:rPr>
      </w:pPr>
    </w:p>
    <w:p>
      <w:pPr>
        <w:jc w:val="both"/>
        <w:ind w:left="1080" w:hanging="532"/>
        <w:spacing w:after="0" w:line="25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develop losmapimod for the treatment of FSHD. </w:t>
      </w:r>
      <w:r>
        <w:rPr>
          <w:rFonts w:ascii="Arial" w:cs="Arial" w:eastAsia="Arial" w:hAnsi="Arial"/>
          <w:sz w:val="18"/>
          <w:szCs w:val="18"/>
          <w:color w:val="auto"/>
        </w:rPr>
        <w:t>We aim to rapidly develop losmapimod for the treatment of FSHD through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regulatory approval. We plan to initiate a Phase 2b clinical trial of losmapimod in mid-2019 and, subject to positive results, plan to meet with regulators to discuss the potential to pursue accelerated approval given the significant unmet medical need in FSHD and the absence of approved therapies for patients.</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FTX-HbF into clinical development. </w:t>
      </w:r>
      <w:r>
        <w:rPr>
          <w:rFonts w:ascii="Arial" w:cs="Arial" w:eastAsia="Arial" w:hAnsi="Arial"/>
          <w:sz w:val="18"/>
          <w:szCs w:val="18"/>
          <w:color w:val="auto"/>
        </w:rPr>
        <w:t>We have initiated IND-enabling studies of FTX-HbF and we aim to submit an IND in mid-2020.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develop FTX-HbF for the treatment of SCD and certain types of b-thalassemia.</w:t>
      </w:r>
    </w:p>
    <w:p>
      <w:pPr>
        <w:spacing w:after="0" w:line="199"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apply our proprietary product engine to grow our portfolio of product candidates for the treatment of genetically defined diseases. </w:t>
      </w:r>
      <w:r>
        <w:rPr>
          <w:rFonts w:ascii="Arial" w:cs="Arial" w:eastAsia="Arial" w:hAnsi="Arial"/>
          <w:sz w:val="16"/>
          <w:szCs w:val="16"/>
          <w:color w:val="auto"/>
        </w:rPr>
        <w:t>We have developed a rigorous assessment and selection process to determine which of the approximately 7,000 rare, genetically defined diseases we intend to evaluate in drug target identification activities. We are applying our product engine to discover drug targets to modulate gene expression and develop product candidates for the potential treatment of the root cause of the disease. We plan to utilize our product engine to complete four new drug target identification screens in 2019 and an additional six screens in 2020, and we expect to advance the most compelling programs identified for development.</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expand our product engine capabilities. </w:t>
      </w:r>
      <w:r>
        <w:rPr>
          <w:rFonts w:ascii="Arial" w:cs="Arial" w:eastAsia="Arial" w:hAnsi="Arial"/>
          <w:sz w:val="16"/>
          <w:szCs w:val="16"/>
          <w:color w:val="auto"/>
        </w:rPr>
        <w:t>Our product engine incorporates patient-derived cell lines and/or other relevant human 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lines, our annotated small molecule compound library and customized CRISPR libraries. We intend to further expand our product engine capabilities, including FulcrumSeek, to enhance the therapeutic reach and productivity of our drug discovery process.</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the commercial potential of our product candidates. </w:t>
      </w:r>
      <w:r>
        <w:rPr>
          <w:rFonts w:ascii="Arial" w:cs="Arial" w:eastAsia="Arial" w:hAnsi="Arial"/>
          <w:sz w:val="16"/>
          <w:szCs w:val="16"/>
          <w:color w:val="auto"/>
        </w:rPr>
        <w:t>We have retained all rights to our lead product candidates focused on rare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genetically defined diseases, and plan to commercialize any approved product using a targeted sales infrastructure. We may in the future pursue commercialization partnerships for certain product candidates and/or markets outside the United States.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enter into strategic partnerships to maximize the value of our product engine and pipeline. </w:t>
      </w:r>
      <w:r>
        <w:rPr>
          <w:rFonts w:ascii="Arial" w:cs="Arial" w:eastAsia="Arial" w:hAnsi="Arial"/>
          <w:sz w:val="18"/>
          <w:szCs w:val="18"/>
          <w:color w:val="auto"/>
        </w:rPr>
        <w:t>Given the breadth of opportunities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product engine to discover drug targets and develop product candidates for genetically defined diseases, we may enter into strategic partnerships for certain drug targets, product candidates or disease areas. Partnerships may provide an attractive avenue for expanding the impact of our proprietary product engine.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Regulation</w:t>
      </w:r>
    </w:p>
    <w:p>
      <w:pPr>
        <w:spacing w:after="0" w:line="231" w:lineRule="exact"/>
        <w:rPr>
          <w:sz w:val="20"/>
          <w:szCs w:val="20"/>
          <w:color w:val="auto"/>
        </w:rPr>
      </w:pPr>
    </w:p>
    <w:p>
      <w:pPr>
        <w:jc w:val="both"/>
        <w:ind w:firstLine="631"/>
        <w:spacing w:after="0" w:line="294" w:lineRule="auto"/>
        <w:rPr>
          <w:sz w:val="20"/>
          <w:szCs w:val="20"/>
          <w:color w:val="auto"/>
        </w:rPr>
      </w:pPr>
      <w:r>
        <w:rPr>
          <w:rFonts w:ascii="Arial" w:cs="Arial" w:eastAsia="Arial" w:hAnsi="Arial"/>
          <w:sz w:val="16"/>
          <w:szCs w:val="16"/>
          <w:color w:val="auto"/>
        </w:rPr>
        <w:t>The human genome provides the blueprint, or genetic code, for life. The sequencing of the human genome has enabled significant insights into understanding the genetic underpinnings of many diseases. Genes are the fundamental units of biology, but the gene itself is rather static. The identity and function of each cell is determined by a specific set of factors that activate or repress mechanisms that regulate genes in the desired manner. There are many mechanisms that control the human genome by up or down regulating gene expression, and these regulatory mechanisms are controlled by various pathways and signals. Defects in a gene or any of these regulatory mechanisms can result in aberrant expression or silencing of a gene that may lead to disease.</w:t>
      </w:r>
    </w:p>
    <w:p>
      <w:pPr>
        <w:spacing w:after="0" w:line="170"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graphic below illustrates the key steps in the gene expression process in cells and how they are under the control of a variety of regulatory signals and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123190</wp:posOffset>
            </wp:positionV>
            <wp:extent cx="5617210" cy="3627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1721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Opportunity</w:t>
      </w:r>
    </w:p>
    <w:p>
      <w:pPr>
        <w:spacing w:after="0" w:line="225" w:lineRule="exact"/>
        <w:rPr>
          <w:sz w:val="20"/>
          <w:szCs w:val="20"/>
          <w:color w:val="auto"/>
        </w:rPr>
      </w:pPr>
    </w:p>
    <w:p>
      <w:pPr>
        <w:jc w:val="both"/>
        <w:ind w:firstLine="564"/>
        <w:spacing w:after="0" w:line="298" w:lineRule="auto"/>
        <w:rPr>
          <w:sz w:val="20"/>
          <w:szCs w:val="20"/>
          <w:color w:val="auto"/>
        </w:rPr>
      </w:pPr>
      <w:r>
        <w:rPr>
          <w:rFonts w:ascii="Arial" w:cs="Arial" w:eastAsia="Arial" w:hAnsi="Arial"/>
          <w:sz w:val="16"/>
          <w:szCs w:val="16"/>
          <w:color w:val="auto"/>
        </w:rPr>
        <w:t>We have the ability to develop, scale and characterize complex cellular models of human disorders of gene mis-regulation. Our current drug target identification and development efforts are focused on rare neuromuscular disorders, hemoglobinopathies and CNS diseases. We also anticipate utilizing our product engine to discover drug targets for genetically defined diseases in other therapeutic areas. Our target identification and validation process provides a systematic way to approach the identification of unique drug targets that, when activated or inhibited, may increase or decrease gene expression in genetically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defined diseases with the aim of restoring a healthy or functional phenotype. Our product engine is designed to be agnostic to cell type, pathway and therapeutic modality. While our drug target selection process is guided by our strategy to advance small molecule therapeutics that treat the root cause of disease into clinical development, we also may identify drug targets that might be addressable by other treatment modalities, such as antisense oligonucleotides, or ASOs, small interfering RNAs, or siRNAs, or antibodies.</w:t>
      </w:r>
    </w:p>
    <w:p>
      <w:pPr>
        <w:spacing w:after="0" w:line="197"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We are continuing to expand our proprietary relational database, FulcrumSeek, which is designed to facilitate the process by which we assess diseases and generate drug target hypotheses through our computational biology expertise. We screen our proprietary small molecule library and customized CRISPR libraries across healthy and diseased human skeletal muscle cells, cardiac muscle cells, brain cells and blood cells. The data from these screens allow us to develop a broader understanding of biology that may be relevant in disease. With the completion of each additional screening, FulcrumSeek increases in size, and our insights and knowledge are further expanded.</w:t>
      </w:r>
    </w:p>
    <w:p>
      <w:pPr>
        <w:spacing w:after="0" w:line="197"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According to the NIH there are approximately 7,000 rare, genetically defined human diseases, many of which have inadequate or no approved treatments. We believe that our approach to selecting and modeling certain of these human diseases with patient-derived tissue-relevant cells, followed by screening with our proprietary small molecule library and customized CRISPR libraries, could be broadly applied to the identification of drug targets that have the potential to balance the expression of many genes known to drive or ameliorate disease.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31"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The ability to intervene in gene regulatory pathways that control gene expression provides the basis of our product engine. Our approach is to broadly search for mechanisms that can change gene expression in the desired manner. These drug targets may be intracellular targets or extracellular targets that affect a signaling pathway. Key considerations we use to determine which genetically defined diseases are suitable to evaluate in drug target identification activities include:</w:t>
      </w:r>
    </w:p>
    <w:p>
      <w:pPr>
        <w:spacing w:after="0" w:line="211" w:lineRule="exact"/>
        <w:rPr>
          <w:sz w:val="20"/>
          <w:szCs w:val="20"/>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Unmet medical need and market opportunity</w:t>
      </w:r>
      <w:r>
        <w:rPr>
          <w:rFonts w:ascii="Arial" w:cs="Arial" w:eastAsia="Arial" w:hAnsi="Arial"/>
          <w:sz w:val="18"/>
          <w:szCs w:val="18"/>
          <w:color w:val="auto"/>
        </w:rPr>
        <w:t>: we consider the severity of disease, the number of patients who could be treated and the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landscape.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Clear mechanistic link between a root cause genetic defect and disease</w:t>
      </w:r>
      <w:r>
        <w:rPr>
          <w:rFonts w:ascii="Arial" w:cs="Arial" w:eastAsia="Arial" w:hAnsi="Arial"/>
          <w:sz w:val="18"/>
          <w:szCs w:val="18"/>
          <w:color w:val="auto"/>
        </w:rPr>
        <w:t>: we evaluate whether there is genetic validation of the gene's role in</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and the effect of gene modulation on disease.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Drug discovery execution</w:t>
      </w:r>
      <w:r>
        <w:rPr>
          <w:rFonts w:ascii="Arial" w:cs="Arial" w:eastAsia="Arial" w:hAnsi="Arial"/>
          <w:sz w:val="18"/>
          <w:szCs w:val="18"/>
          <w:color w:val="auto"/>
        </w:rPr>
        <w:t>: we consider whether relevant patient-derived tissue-specific cell models and assays are available or whether we can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such models using our expertise.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Clinical feasibility</w:t>
      </w:r>
      <w:r>
        <w:rPr>
          <w:rFonts w:ascii="Arial" w:cs="Arial" w:eastAsia="Arial" w:hAnsi="Arial"/>
          <w:sz w:val="18"/>
          <w:szCs w:val="18"/>
          <w:color w:val="auto"/>
        </w:rPr>
        <w:t>: we evaluate potential biomarker and clinical endpoints, whether there is a meaningful treatment window and whether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an accessible patient population to undertake clinical trials in a reasonable time frame.</w:t>
      </w:r>
    </w:p>
    <w:p>
      <w:pPr>
        <w:spacing w:after="0" w:line="186"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auto"/>
        </w:rPr>
        <w:t>Our product engine is designed to enable us to address diseases in which genes are mis-expressed, silenced or result in mutated gene products, such as RNA or protein, due to an underlying genetic defect. There are varied approaches to treating disease by balancing gene expression including reducing the expression of a gene that causes disease (</w:t>
      </w:r>
      <w:r>
        <w:rPr>
          <w:rFonts w:ascii="Arial" w:cs="Arial" w:eastAsia="Arial" w:hAnsi="Arial"/>
          <w:sz w:val="16"/>
          <w:szCs w:val="16"/>
          <w:i w:val="1"/>
          <w:iCs w:val="1"/>
          <w:color w:val="auto"/>
        </w:rPr>
        <w:t>e.g., DUX4</w:t>
      </w:r>
      <w:r>
        <w:rPr>
          <w:rFonts w:ascii="Arial" w:cs="Arial" w:eastAsia="Arial" w:hAnsi="Arial"/>
          <w:sz w:val="16"/>
          <w:szCs w:val="16"/>
          <w:color w:val="auto"/>
        </w:rPr>
        <w:t xml:space="preserve"> in FSHD), increasing the expression of an under-expressed gene (</w:t>
      </w:r>
      <w:r>
        <w:rPr>
          <w:rFonts w:ascii="Arial" w:cs="Arial" w:eastAsia="Arial" w:hAnsi="Arial"/>
          <w:sz w:val="16"/>
          <w:szCs w:val="16"/>
          <w:i w:val="1"/>
          <w:iCs w:val="1"/>
          <w:color w:val="auto"/>
        </w:rPr>
        <w:t>e.g., FXN</w:t>
      </w:r>
      <w:r>
        <w:rPr>
          <w:rFonts w:ascii="Arial" w:cs="Arial" w:eastAsia="Arial" w:hAnsi="Arial"/>
          <w:sz w:val="16"/>
          <w:szCs w:val="16"/>
          <w:color w:val="auto"/>
        </w:rPr>
        <w:t xml:space="preserve"> in Friedreich ataxia) or expressing a compensatory gene (</w:t>
      </w:r>
      <w:r>
        <w:rPr>
          <w:rFonts w:ascii="Arial" w:cs="Arial" w:eastAsia="Arial" w:hAnsi="Arial"/>
          <w:sz w:val="16"/>
          <w:szCs w:val="16"/>
          <w:i w:val="1"/>
          <w:iCs w:val="1"/>
          <w:color w:val="auto"/>
        </w:rPr>
        <w:t>e.g., HBG1/2</w:t>
      </w:r>
      <w:r>
        <w:rPr>
          <w:rFonts w:ascii="Arial" w:cs="Arial" w:eastAsia="Arial" w:hAnsi="Arial"/>
          <w:sz w:val="16"/>
          <w:szCs w:val="16"/>
          <w:color w:val="auto"/>
        </w:rPr>
        <w:t xml:space="preserve"> in SCD and b-thalassemia). Our preclinical modeling of the relevant tissue is critical for success, and we believe this is best achieved using human cell systems derived from patients with the disease. We primarily seek to identify drug targets that may balance gene expression in these human cell systems and that are amenable to drugging using a small molecule. In addition to drug targets that we prioritize for internal development, we may identify other drug targets that we would consider for development through partnerships.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Product Engine</w:t>
      </w:r>
    </w:p>
    <w:p>
      <w:pPr>
        <w:spacing w:after="0" w:line="225"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6"/>
          <w:szCs w:val="16"/>
          <w:color w:val="auto"/>
        </w:rPr>
        <w:t>Our product engine is a high-throughput discovery platform that we designed to identify and validate drug targets that balance the expression of the genes known to drive or ameliorate disease. We employ a systematic methodology that starts with selecting genetically defined diseases with a known root cause. We obtain patient-derived tissue-relevant cell lines or other relevant human cell lines. We then differentiate these cell lines into those most relevant for the disease pathology, including skeletal muscle myotubes, cardiomyocytes, neurons and RBCs, which we then scale up, characterize and prepare for screening. We also generate methods to quantify the desired modulation of expression of the gene of interest in these cell lines. We apply our annotated small molecule compound library and customized CRISPR libraries to the cells to assess for the desired modulation. We confirm drug target hits with multiple modalities and undertake further validation in several patient-derived tissue-relevant cell lines. Additional studies in these cell models are conducted to understand how the modulation of the gene of interest affects cellular function. We employ computational biology using our FulcrumSeek database and other databases to guide drug target selection and generate hypotheses on other drug targets that might be related along a gene regulatory pathway.</w:t>
      </w:r>
    </w:p>
    <w:p>
      <w:pPr>
        <w:spacing w:after="0" w:line="174" w:lineRule="exact"/>
        <w:rPr>
          <w:sz w:val="20"/>
          <w:szCs w:val="20"/>
          <w:color w:val="auto"/>
        </w:rPr>
      </w:pPr>
    </w:p>
    <w:p>
      <w:pPr>
        <w:jc w:val="both"/>
        <w:ind w:firstLine="359"/>
        <w:spacing w:after="0" w:line="256" w:lineRule="auto"/>
        <w:rPr>
          <w:sz w:val="20"/>
          <w:szCs w:val="20"/>
          <w:color w:val="auto"/>
        </w:rPr>
      </w:pPr>
      <w:r>
        <w:rPr>
          <w:rFonts w:ascii="Arial" w:cs="Arial" w:eastAsia="Arial" w:hAnsi="Arial"/>
          <w:sz w:val="18"/>
          <w:szCs w:val="18"/>
          <w:color w:val="auto"/>
        </w:rPr>
        <w:t>To further optimize and increase productivity of our product engine, we have continued to invest in customized lab automation and applied technologies. We believe that these investments have increased assay throughput and robustness and have expanded the breadth of biological parameters we can effectively measure in our assay systems. We believe that we have built a robust product engine to conduct drug target screening at scale in physiologically-relevant assay systems.</w:t>
      </w:r>
    </w:p>
    <w:p>
      <w:pPr>
        <w:spacing w:after="0" w:line="19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designed our discovery and development model to recapitulate this systematic approach of applying our product engine to each new disease that we evaluate with the goal of providing disease-modifying therapies to patients. The following graphic presents an overview of our drug target identification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93980</wp:posOffset>
            </wp:positionV>
            <wp:extent cx="5771515" cy="3215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7151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Patient-Derived Tissue-Relevant Cell Models</w:t>
      </w:r>
    </w:p>
    <w:p>
      <w:pPr>
        <w:spacing w:after="0" w:line="225" w:lineRule="exact"/>
        <w:rPr>
          <w:sz w:val="20"/>
          <w:szCs w:val="20"/>
          <w:color w:val="auto"/>
        </w:rPr>
      </w:pPr>
    </w:p>
    <w:p>
      <w:pPr>
        <w:jc w:val="both"/>
        <w:ind w:firstLine="516"/>
        <w:spacing w:after="0" w:line="253" w:lineRule="auto"/>
        <w:rPr>
          <w:sz w:val="20"/>
          <w:szCs w:val="20"/>
          <w:color w:val="auto"/>
        </w:rPr>
      </w:pPr>
      <w:r>
        <w:rPr>
          <w:rFonts w:ascii="Arial" w:cs="Arial" w:eastAsia="Arial" w:hAnsi="Arial"/>
          <w:sz w:val="18"/>
          <w:szCs w:val="18"/>
          <w:color w:val="auto"/>
        </w:rPr>
        <w:t>Accurate modeling of human disease is critical for drug discovery endeavors, and we have the ability to model disease and identify drug targets that modulate gene expression in patient-derived, differentiated cells. These cells provide the appropriate context in which to understand signaling pathways that affect human gene expression and function, and have the potential to increase the translatability from preclinical studies to clinical trials. Prior to initiating screening activities, we characterize and expand the cells. We also create a cell line where the genetic defect associated with the disease has been corrected, or use a cell line from a healthy individual, in order to compare the gene regulation between diseased and normal cells. If the degree of gene activation or repression required to have a functional benefit is not known, we will undertake physiological characterization of these cell lines in order to define what threshold of gene regulation is functionally relevant.</w:t>
      </w:r>
    </w:p>
    <w:p>
      <w:pPr>
        <w:spacing w:after="0" w:line="201"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Our process to characterize patient-derived cell models, produce cells at scale and develop suitable screens to identify drug targets typically takes between six and nine months. Depending on the disease, we may design the screen to measure effects on RNA and/or protein.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Identification</w:t>
      </w:r>
    </w:p>
    <w:p>
      <w:pPr>
        <w:spacing w:after="0" w:line="225"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color w:val="auto"/>
        </w:rPr>
        <w:t>We employ three approaches to identify drug targets that can potentially modulate gene expression to treat genetically defined diseases at the root cause— two lab-based library screening approaches as well as computational biology using our FulcrumSeek database and other databases. We then evaluate possible drug targets identified from these efforts with the goal to advance programs into lead optimization.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Molecule Probe Library Screening</w:t>
      </w:r>
    </w:p>
    <w:p>
      <w:pPr>
        <w:spacing w:after="0" w:line="225"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Our small molecule probe library is annotated, which means it consists of known, well-characterized molecules that interact with biochemical mechanisms and that have cellular activity. The purpose of our small molecule probe library is to identify and interrogate mechanisms that regulate the expression of the gene of interest. We designed our library with the intent to optimize biological diversity, in contrast with other small molecule screening approaches that optimize chemical diversity. The library was developed by our medicinal chemists who reviewed primary and patent literature to identify probe molecules that interact with known biochemical targets. They selected chemical probes based on their cellular activity, potency and selectivity. In order to expand our library beyond commercially-available small molecules, we undertook a custom synthesis campaign to generate compounds that were not available from commercial sources. Our library currently includes more than 4,000 small molecules relating to approximately 2,000 biochemical targets covering a wide breadth of pharmacology, including chromatin modifiers, transcription regulation and RNA processing, kinases and metabolic enzymes. Our library will continue to expand as we identify and acquire new mechanistic probes.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CRISPR Screening</w:t>
      </w:r>
    </w:p>
    <w:p>
      <w:pPr>
        <w:spacing w:after="0" w:line="225"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auto"/>
        </w:rPr>
        <w:t>We may also use a customized CRISPR library screening, which is an approach to interrogate the genome by selectively knocking out, reducing or increasing gene expression, for target identification. We have chosen to use CRISPR libraries as complementary or additional screening tools for drug target identification alongside our small molecule screening approach. We use both an array-based CRISPR library and our pooled, custom-designed CRISPR library. Pooled CRISPR screening is an approach to target identification in which we combine cells and reagents in a single tube to simplify the experimental procedures. Pooled CRISPR screening is not suitable for all cell types, and we use array-based CRISPR screening where appropriate. Specific targets that modulate the gene of interest can be identified via CRISPR library screening, and these targets can then be validated for our drug discovery endeavors. If small molecules that interact with these targets are identified from the literature, they are then obtained for further pharmacological validation. If no known chemical matter is available, we may establish a screen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identify chemical matter that interacts with the drug target. This chemical matter would serve as a starting point for medicinal chemistry work. Alternatively, we may seek partnerships for development using other modalities.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FulcrumSeek and Computational Biology</w:t>
      </w:r>
    </w:p>
    <w:p>
      <w:pPr>
        <w:spacing w:after="0" w:line="22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The primary role of FulcrumSeek and our computational biology capabilities is to generate drug target and biomarker hypotheses using externally generated patient data and internal screening data. Our approach is to leverage our network biology capabilities and expertise to determine how pathways interact with each other in a cell, to develop a network map of regulatory interactions that control gene expression and cellular function and propose targets that potentially could be pursued to address the root cause of diseases of interest. In each case, we explore these hypotheses through biological experimentation designed to validate predicted drug targets and biomarkers. We use confirmatory studies to aid in the refinement of our computational models in an iterative manner.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Validation</w:t>
      </w:r>
    </w:p>
    <w:p>
      <w:pPr>
        <w:spacing w:after="0" w:line="225" w:lineRule="exact"/>
        <w:rPr>
          <w:sz w:val="20"/>
          <w:szCs w:val="20"/>
          <w:color w:val="auto"/>
        </w:rPr>
      </w:pPr>
    </w:p>
    <w:p>
      <w:pPr>
        <w:jc w:val="both"/>
        <w:ind w:firstLine="483"/>
        <w:spacing w:after="0" w:line="255" w:lineRule="auto"/>
        <w:rPr>
          <w:sz w:val="20"/>
          <w:szCs w:val="20"/>
          <w:color w:val="auto"/>
        </w:rPr>
      </w:pPr>
      <w:r>
        <w:rPr>
          <w:rFonts w:ascii="Arial" w:cs="Arial" w:eastAsia="Arial" w:hAnsi="Arial"/>
          <w:sz w:val="18"/>
          <w:szCs w:val="18"/>
          <w:color w:val="auto"/>
        </w:rPr>
        <w:t>Our initial focus on drug target validation is to establish a robust link between the drug target that we identified through our screening approaches and modulation of the expression of the root cause gene of interest. Our validation work seeks to evaluate identified drug targets in a manner that allows us to prioritize targets where we may be able to deliver safe and effective therapies to patients. We conduct our validation tests using a diverse set of pharmacological tools and multiple genetic reagents to profile their effect on orthogonal read-outs of gene expression (RNA and protein) and the subsequent effects on physiological function.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important elements of our systematic approach to drug target validation include:</w:t>
      </w:r>
    </w:p>
    <w:p>
      <w:pPr>
        <w:spacing w:after="0" w:line="239" w:lineRule="exact"/>
        <w:rPr>
          <w:sz w:val="20"/>
          <w:szCs w:val="20"/>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different treatment modalities to interact with the drug target: </w:t>
      </w:r>
      <w:r>
        <w:rPr>
          <w:rFonts w:ascii="Arial" w:cs="Arial" w:eastAsia="Arial" w:hAnsi="Arial"/>
          <w:sz w:val="18"/>
          <w:szCs w:val="18"/>
          <w:color w:val="auto"/>
        </w:rPr>
        <w:t>we evaluate whether small molecules and genomic modulation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similarly affect expression of the gene of interest.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Efficacy: </w:t>
      </w:r>
      <w:r>
        <w:rPr>
          <w:rFonts w:ascii="Arial" w:cs="Arial" w:eastAsia="Arial" w:hAnsi="Arial"/>
          <w:sz w:val="18"/>
          <w:szCs w:val="18"/>
          <w:color w:val="auto"/>
        </w:rPr>
        <w:t>we attempt to establish a link between the identified drug target and the level of the expression of the gene of interest.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we evaluate whether modulation of the target and the resulting changes in gene expression cause undesired effects, including an</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cell health markers to ensure there is minimal cellular toxicity.</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Profiling cell lines from multiple patients: </w:t>
      </w:r>
      <w:r>
        <w:rPr>
          <w:rFonts w:ascii="Arial" w:cs="Arial" w:eastAsia="Arial" w:hAnsi="Arial"/>
          <w:sz w:val="18"/>
          <w:szCs w:val="18"/>
          <w:color w:val="auto"/>
        </w:rPr>
        <w:t>we analyze the modulation of the drug target to determine whether the original cell line used to screen</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is representative of disease in other patients.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Verification: </w:t>
      </w:r>
      <w:r>
        <w:rPr>
          <w:rFonts w:ascii="Arial" w:cs="Arial" w:eastAsia="Arial" w:hAnsi="Arial"/>
          <w:sz w:val="18"/>
          <w:szCs w:val="18"/>
          <w:color w:val="auto"/>
        </w:rPr>
        <w:t>we conduct studies designed to ensure that the modulation of the drug target and the resulting change in gene expression leads to a</w:t>
      </w:r>
      <w:r>
        <w:rPr>
          <w:rFonts w:ascii="Arial" w:cs="Arial" w:eastAsia="Arial" w:hAnsi="Arial"/>
          <w:sz w:val="18"/>
          <w:szCs w:val="18"/>
          <w:i w:val="1"/>
          <w:iCs w:val="1"/>
          <w:color w:val="auto"/>
        </w:rPr>
        <w:t xml:space="preserve"> </w:t>
      </w:r>
      <w:r>
        <w:rPr>
          <w:rFonts w:ascii="Arial" w:cs="Arial" w:eastAsia="Arial" w:hAnsi="Arial"/>
          <w:sz w:val="18"/>
          <w:szCs w:val="18"/>
          <w:color w:val="auto"/>
        </w:rPr>
        <w:t>desired functional effect.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Prioritization: </w:t>
      </w:r>
      <w:r>
        <w:rPr>
          <w:rFonts w:ascii="Arial" w:cs="Arial" w:eastAsia="Arial" w:hAnsi="Arial"/>
          <w:sz w:val="16"/>
          <w:szCs w:val="16"/>
          <w:color w:val="auto"/>
        </w:rPr>
        <w:t>we prioritize drug targets based on our assessment of our ability to deliver a candidate for clinical development based on that target.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Candidate Discovery and Characterization</w:t>
      </w:r>
    </w:p>
    <w:p>
      <w:pPr>
        <w:spacing w:after="0" w:line="225"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Following target identification and target validation, we initiate medicinal chemistry and drug discovery activities to advance a development candidate that is suitable for testing in clinical trials. This work optimizes characteristics that are important for an orally available small molecule, including potency, selectivity, pharmacokinetic, or PK, and safety parameters. There is an opportunity to bypass or considerably accelerate discovery and characterization activities if we identify and validate an attractive drug target that has been pursued previously by others in different indications. For example, available chemical matter and support from the scientific literature regarding p38a/b enabled us to rapidly identify our product candidate for the treatment of FSHD.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A key element of our preclinical compound profiling approach is to investigate a development candidate across many patient-derived tissue-relevant cells. We choose these cells based on our assessment of the patient heterogeneity that may be encountered in clinical trials. The purpose of this analysis is to enable us to understand if the activity of the molecule differs among cells with different genetic subtypes, or if a patient stratification strategy is appropriate for clinical trials.</w:t>
      </w:r>
    </w:p>
    <w:p>
      <w:pPr>
        <w:spacing w:after="0" w:line="197"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auto"/>
        </w:rPr>
        <w:t>Many genetically defined diseases are not well modeled with animal models because such models do not have appropriate predictive validity. In these cases, we seek to develop an engraftment model where patient-derived human cells are engrafted into the relevant tissue of a host, immunodeficient mouse to produce a chimeric mouse. We may use these chimeric mice to assess gene regulation in the engrafted human cells, and for the efficient development of PK-pharmacodynamic, or PK/PD, relationships that will be the basis of therapeutic index calculations and human dose projections.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a Small Molecule Approach</w:t>
      </w:r>
    </w:p>
    <w:p>
      <w:pPr>
        <w:spacing w:after="0" w:line="225"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color w:val="auto"/>
        </w:rPr>
        <w:t>We believe that our approach to the treatment of genetically defined diseases using orally available, small molecule therapeutics may offer significant advantages over other treatment modalities due to:</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Biodistribution: </w:t>
      </w:r>
      <w:r>
        <w:rPr>
          <w:rFonts w:ascii="Arial" w:cs="Arial" w:eastAsia="Arial" w:hAnsi="Arial"/>
          <w:sz w:val="18"/>
          <w:szCs w:val="18"/>
          <w:color w:val="auto"/>
        </w:rPr>
        <w:t>small molecules can achieve broad distribution in the body. The ability to access tissues broadly is particularly relevant in</w:t>
      </w:r>
      <w:r>
        <w:rPr>
          <w:rFonts w:ascii="Arial" w:cs="Arial" w:eastAsia="Arial" w:hAnsi="Arial"/>
          <w:sz w:val="18"/>
          <w:szCs w:val="18"/>
          <w:i w:val="1"/>
          <w:iCs w:val="1"/>
          <w:color w:val="auto"/>
        </w:rPr>
        <w:t xml:space="preserve"> </w:t>
      </w:r>
      <w:r>
        <w:rPr>
          <w:rFonts w:ascii="Arial" w:cs="Arial" w:eastAsia="Arial" w:hAnsi="Arial"/>
          <w:sz w:val="18"/>
          <w:szCs w:val="18"/>
          <w:color w:val="auto"/>
        </w:rPr>
        <w:t>neuromuscular disorders where multiple muscles are affected by disease, or in CNS diseases where brain permeability may be limited with other treatment modalities.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Tolerability: </w:t>
      </w:r>
      <w:r>
        <w:rPr>
          <w:rFonts w:ascii="Arial" w:cs="Arial" w:eastAsia="Arial" w:hAnsi="Arial"/>
          <w:sz w:val="18"/>
          <w:szCs w:val="18"/>
          <w:color w:val="auto"/>
        </w:rPr>
        <w:t>small molecules have a limited risk of immunogenicity and lack procedural risk relative to administering other treatment modalities,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ASOs and gene therapies.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and quality: </w:t>
      </w:r>
      <w:r>
        <w:rPr>
          <w:rFonts w:ascii="Arial" w:cs="Arial" w:eastAsia="Arial" w:hAnsi="Arial"/>
          <w:sz w:val="18"/>
          <w:szCs w:val="18"/>
          <w:color w:val="auto"/>
        </w:rPr>
        <w:t>the production and quality control of drug supplies for clinical development are well understood. Specialized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generally not required, and many vendors offer services for manufacturing. We believe small molecule manufacturing may provide cost advantages relative to other modalities.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Patient access: </w:t>
      </w:r>
      <w:r>
        <w:rPr>
          <w:rFonts w:ascii="Arial" w:cs="Arial" w:eastAsia="Arial" w:hAnsi="Arial"/>
          <w:sz w:val="18"/>
          <w:szCs w:val="18"/>
          <w:color w:val="auto"/>
        </w:rPr>
        <w:t>small molecule, oral medicines can be administered by the patient and do not require complicated in-patient procedures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only available in a limited number of treatment centers.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Candidates</w:t>
      </w:r>
    </w:p>
    <w:p>
      <w:pPr>
        <w:spacing w:after="0" w:line="23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 xml:space="preserve">We have used our proprietary product engine and screening efforts to identify drug targets for our lead product candidates. We in-licensed our first product candidate, losmapimod, after we discovered that it could reduce aberrant expression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which is the known root cause of FSHD. We expect to initiate a randomized Phase 2b clinical trial in mid-2019. We designed our second product candidate, FTX-HbF, to upregulate fetal hemoglobin, which we believe would compensate for abnormal hemoglobin in SCD and certain types of b-thalassemia. We aim to submit an IND for FTX-HbF in mid-2020. 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130175</wp:posOffset>
            </wp:positionV>
            <wp:extent cx="5711190" cy="875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1119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Facioscapulohumeral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Facioscapulohumeral Muscular Dystrophy</w:t>
      </w:r>
    </w:p>
    <w:p>
      <w:pPr>
        <w:spacing w:after="0" w:line="225"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Facioscapulohumeral muscular dystrophy is a rare, progressive and disabling disease for which there are no approved treatments. FSHD is one of the most common forms of muscular dystrophy and affects both sexes equally, with onset typically in teens and young adults. FSHD is characterized by progressive 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facial muscles that can cause an inability to smile or communicate, difficulty using arms for activities of daily living and difficulty getting out of bed, with many patients ultimately becoming dependent upon the use of a wheelchair for daily mobility activities. The majority of patients with FSHD also report experiencing chronic pain, anxiety and depression. The diagnosis and treatment of patients with FSHD is typically performed by neurologists.</w:t>
      </w:r>
    </w:p>
    <w:p>
      <w:pPr>
        <w:spacing w:after="0" w:line="172" w:lineRule="exact"/>
        <w:rPr>
          <w:sz w:val="20"/>
          <w:szCs w:val="20"/>
          <w:color w:val="auto"/>
        </w:rPr>
      </w:pPr>
    </w:p>
    <w:p>
      <w:pPr>
        <w:jc w:val="both"/>
        <w:ind w:firstLine="540"/>
        <w:spacing w:after="0" w:line="294" w:lineRule="auto"/>
        <w:rPr>
          <w:sz w:val="20"/>
          <w:szCs w:val="20"/>
          <w:color w:val="auto"/>
        </w:rPr>
      </w:pPr>
      <w:r>
        <w:rPr>
          <w:rFonts w:ascii="Arial" w:cs="Arial" w:eastAsia="Arial" w:hAnsi="Arial"/>
          <w:sz w:val="16"/>
          <w:szCs w:val="16"/>
          <w:color w:val="auto"/>
        </w:rPr>
        <w:t>The FSH Society estimated that the prevalence of FSHD in the United States is approximately 1 in 20,000 people. A recent study conducted in the Netherlands reported a more frequent prevalence of 1 in 8,333. Based on these estimates and a U.S. population of 320 million, we estimate that the patient population is between 16,000 to 38,000 in the United States. We believe that there may be additional patients who are not formally diagnosed due to a perceived difficulty of obtaining a diagnosis and the fact that there are no approved treatments. Approximately two-thirds of cases are familial-inherited in an autosomal dominant fashion and one-third of cases are sporadic. FSHD affects all ethnic groups with similar incidence and prevalence.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FSHD Biology</w:t>
      </w:r>
    </w:p>
    <w:p>
      <w:pPr>
        <w:spacing w:after="0" w:line="225"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 xml:space="preserve">FSHD is caused by aberrant expression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in skeletal muscle resulting in the inappropriate presence of DUX4 protein, a transcription factor causing the expression of other genes. Normally DUX4-driven gene expression is limited to early embryonic development, after which time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silenced. In patients with FSHD, aberrant production of DUX4 protein in skeletal muscle regulates other genes encoding proteins, some of which are toxic to the muscle. Evidence of aberrant DUX4-driven gene expression is the major molecular signature that distinguishes muscle tissue affected by FSHD from healthy muscle. The result of aberrant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in FSHD is death of muscle and its replacement by fat, resulting in skeletal muscle weakness and progressive disability. We believe that reducing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and its downstream transcriptional program could provide a disease-modifying therapeutic approach for the treatment of FSHD at its root cause.</w:t>
      </w:r>
    </w:p>
    <w:p>
      <w:pPr>
        <w:spacing w:after="0" w:line="172"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 xml:space="preserve">In all patients with FSHD,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is unsilenced, or de-repressed, as a result of one of two different types of genetic alterations, leading to FSHD1 or FSHD2. Approximately 95% of patients have FSHD1 and approximately 5% of patients have FSHD2. FSHD1 is caused by the contraction of an array of DNA, known as a D4Z4 repeat, from greater than ten repeat units to nine or fewer units. This contraction causes de-repression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Patients with FSHD2 do not have meaningful D4Z4 repeat contraction, but have mutations in a regulatory gene, known as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that normally contributes to the repression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via DNA methylation.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 xml:space="preserve">The figure below illustrates how genetic mutations in the D4Z4 repeat array (FSHD1) or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(FSHD2) result in aberrant expression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in skeletal muscle.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123190</wp:posOffset>
            </wp:positionV>
            <wp:extent cx="3970655" cy="25298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7065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 Engine Identified the Drug Target for FSHD</w:t>
      </w:r>
    </w:p>
    <w:p>
      <w:pPr>
        <w:spacing w:after="0" w:line="225" w:lineRule="exact"/>
        <w:rPr>
          <w:sz w:val="20"/>
          <w:szCs w:val="20"/>
          <w:color w:val="auto"/>
        </w:rPr>
      </w:pPr>
    </w:p>
    <w:p>
      <w:pPr>
        <w:jc w:val="both"/>
        <w:ind w:firstLine="384"/>
        <w:spacing w:after="0" w:line="290" w:lineRule="auto"/>
        <w:rPr>
          <w:sz w:val="20"/>
          <w:szCs w:val="20"/>
          <w:color w:val="auto"/>
        </w:rPr>
      </w:pPr>
      <w:r>
        <w:rPr>
          <w:rFonts w:ascii="Arial" w:cs="Arial" w:eastAsia="Arial" w:hAnsi="Arial"/>
          <w:sz w:val="16"/>
          <w:szCs w:val="16"/>
          <w:color w:val="auto"/>
        </w:rPr>
        <w:t xml:space="preserve">We utilized patient-derived FSHD1 muscle cells, known as myotubes, and screened them with our small molecule probe library to identify drug targets that reduced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We identified several potential drug targets, however the modulation of the majority of the targets adversely affected the health or differentiation of muscle cells. One drug target that we identified from our screening efforts for which we did not observe adverse cell health issues was p38a/b, which had been studied extensively in other diseases, but had not been reported to be linked to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or FSHD until we conducted our screening efforts. We evaluated multiple small molecule p38a/b inhibitors and observed a consistent reduction of both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DUX4-driven gene transcripts with each p38a/b inhibitor. We conducted further validation experiments to confirm that inhibition of p38a using genetic approaches such as siRNA and CRISPR single-guide RNAs, also led to a reduction in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Losmapimod</w:t>
      </w:r>
    </w:p>
    <w:p>
      <w:pPr>
        <w:spacing w:after="0" w:line="225"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After identifying p38a/b as a potential drug target, we evaluated multiple small molecule inhibitors of p38a/b. Each of these inhibitors had previously been evaluated in clinical trials for the treatment of various diseases but never in muscle disorders. As a result of our evaluation and relative to other p38a/b inhibitors, we identified losmapimod as the preferred development candidate based on substantial and attractive preclinical and clinical data regarding safety, PK and target inhibition, and its advanced stage of development. Losmapimod was originally evaluated by GSK in nearly 3,500 subjects in clinical trials across multiple indications and in multiple countries. GSK did not evaluate losmapimod in FSHD or in any other muscle disorder. Although GSK did not pursue regulatory approval in the indications evaluated, losmapimod demonstrated an attractive PK, PD, safety and tolerability profile, including in chronic dosing.</w:t>
      </w:r>
    </w:p>
    <w:p>
      <w:pPr>
        <w:spacing w:after="0" w:line="174" w:lineRule="exact"/>
        <w:rPr>
          <w:sz w:val="20"/>
          <w:szCs w:val="20"/>
          <w:color w:val="auto"/>
        </w:rPr>
      </w:pPr>
    </w:p>
    <w:p>
      <w:pPr>
        <w:jc w:val="both"/>
        <w:ind w:firstLine="523"/>
        <w:spacing w:after="0" w:line="294" w:lineRule="auto"/>
        <w:rPr>
          <w:sz w:val="20"/>
          <w:szCs w:val="20"/>
          <w:color w:val="auto"/>
        </w:rPr>
      </w:pPr>
      <w:r>
        <w:rPr>
          <w:rFonts w:ascii="Arial" w:cs="Arial" w:eastAsia="Arial" w:hAnsi="Arial"/>
          <w:sz w:val="16"/>
          <w:szCs w:val="16"/>
          <w:color w:val="auto"/>
        </w:rPr>
        <w:t xml:space="preserve">As shown in the figure on the left below, we observed in preclinical studies using losmapimod that inhibition of the p38a/b pathway reduced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downstream gene expression, as measured by the mRNA transcribed by </w:t>
      </w:r>
      <w:r>
        <w:rPr>
          <w:rFonts w:ascii="Arial" w:cs="Arial" w:eastAsia="Arial" w:hAnsi="Arial"/>
          <w:sz w:val="16"/>
          <w:szCs w:val="16"/>
          <w:i w:val="1"/>
          <w:iCs w:val="1"/>
          <w:color w:val="auto"/>
        </w:rPr>
        <w:t>MBD3L2</w:t>
      </w:r>
      <w:r>
        <w:rPr>
          <w:rFonts w:ascii="Arial" w:cs="Arial" w:eastAsia="Arial" w:hAnsi="Arial"/>
          <w:sz w:val="16"/>
          <w:szCs w:val="16"/>
          <w:color w:val="auto"/>
        </w:rPr>
        <w:t xml:space="preserve">, a gene that is only expressed following </w:t>
      </w:r>
      <w:r>
        <w:rPr>
          <w:rFonts w:ascii="Arial" w:cs="Arial" w:eastAsia="Arial" w:hAnsi="Arial"/>
          <w:sz w:val="16"/>
          <w:szCs w:val="16"/>
          <w:i w:val="1"/>
          <w:iCs w:val="1"/>
          <w:color w:val="auto"/>
        </w:rPr>
        <w:t>DUX4</w:t>
      </w:r>
      <w:r>
        <w:rPr>
          <w:rFonts w:ascii="Arial" w:cs="Arial" w:eastAsia="Arial" w:hAnsi="Arial"/>
          <w:sz w:val="16"/>
          <w:szCs w:val="16"/>
          <w:color w:val="auto"/>
        </w:rPr>
        <w:t xml:space="preserve"> activation. In the study, we demonstrated that </w:t>
      </w:r>
      <w:r>
        <w:rPr>
          <w:rFonts w:ascii="Arial" w:cs="Arial" w:eastAsia="Arial" w:hAnsi="Arial"/>
          <w:sz w:val="16"/>
          <w:szCs w:val="16"/>
          <w:i w:val="1"/>
          <w:iCs w:val="1"/>
          <w:color w:val="auto"/>
        </w:rPr>
        <w:t>MBD3L2</w:t>
      </w:r>
      <w:r>
        <w:rPr>
          <w:rFonts w:ascii="Arial" w:cs="Arial" w:eastAsia="Arial" w:hAnsi="Arial"/>
          <w:sz w:val="16"/>
          <w:szCs w:val="16"/>
          <w:color w:val="auto"/>
        </w:rPr>
        <w:t xml:space="preserve"> was representative of broader DUX4-driven gene expression changes in myotubes. We assessed the ability of losmapimod to inhibit p38a/b by measuring the effect on the phosphorylation of a downstream protein called heat shock protein 27, or HSP27. The level of phosphorylation of HSP27 has been used in previous clinical trials, including by GSK, as a biomarker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measure the degree of p38a/b inhibition. As shown in the figure on the right below, we also observed reduced cell death, or apoptosis, in FSHD myotubes, as measured by active caspase-3. We used active caspase-3 to quantify cell death because it is a protein that has been shown to be an important regulator of the apoptosis pathway in myotubes.</w:t>
      </w:r>
    </w:p>
    <w:p>
      <w:pPr>
        <w:sectPr>
          <w:pgSz w:w="11900" w:h="16838" w:orient="portrait"/>
          <w:cols w:equalWidth="0" w:num="1">
            <w:col w:w="11420"/>
          </w:cols>
          <w:pgMar w:left="240" w:top="131" w:right="239" w:bottom="1440" w:gutter="0" w:footer="0" w:header="0"/>
        </w:sectPr>
      </w:pPr>
    </w:p>
    <w:p>
      <w:pPr>
        <w:spacing w:after="0" w:line="188" w:lineRule="exact"/>
        <w:rPr>
          <w:sz w:val="20"/>
          <w:szCs w:val="20"/>
          <w:color w:val="auto"/>
        </w:rPr>
      </w:pPr>
    </w:p>
    <w:p>
      <w:pPr>
        <w:jc w:val="center"/>
        <w:ind w:left="840"/>
        <w:spacing w:after="0"/>
        <w:rPr>
          <w:sz w:val="20"/>
          <w:szCs w:val="20"/>
          <w:color w:val="auto"/>
        </w:rPr>
      </w:pPr>
      <w:r>
        <w:rPr>
          <w:rFonts w:ascii="Arial" w:cs="Arial" w:eastAsia="Arial" w:hAnsi="Arial"/>
          <w:sz w:val="15"/>
          <w:szCs w:val="15"/>
          <w:b w:val="1"/>
          <w:bCs w:val="1"/>
          <w:color w:val="auto"/>
        </w:rPr>
        <w:t>Losmapimod reduced DUX4 protein levels and</w:t>
      </w:r>
    </w:p>
    <w:p>
      <w:pPr>
        <w:spacing w:after="0" w:line="5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DUX4-driven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298450</wp:posOffset>
            </wp:positionV>
            <wp:extent cx="2495550" cy="19551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95550" cy="1955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780"/>
        <w:spacing w:after="0"/>
        <w:rPr>
          <w:sz w:val="20"/>
          <w:szCs w:val="20"/>
          <w:color w:val="auto"/>
        </w:rPr>
      </w:pPr>
      <w:r>
        <w:rPr>
          <w:rFonts w:ascii="Arial" w:cs="Arial" w:eastAsia="Arial" w:hAnsi="Arial"/>
          <w:sz w:val="15"/>
          <w:szCs w:val="15"/>
          <w:b w:val="1"/>
          <w:bCs w:val="1"/>
          <w:color w:val="auto"/>
        </w:rPr>
        <w:t>Losmapimod reduced apoptosis in FSHD</w:t>
      </w:r>
    </w:p>
    <w:p>
      <w:pPr>
        <w:spacing w:after="0" w:line="56"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myotubes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161290</wp:posOffset>
            </wp:positionV>
            <wp:extent cx="2495550" cy="1938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95550" cy="1938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The dotted lines in each graphic above indicate the Cmin (left) and Cmax (right) observed in a clinical trial conducted by GSK that used a 15 mg twice per day dose of losmapimod. Cmin represents the minimum concentration in plasma prior to administration of a subsequent dose and Cmax represents the highest concentration in plasma after administration of a dose.</w:t>
      </w:r>
    </w:p>
    <w:p>
      <w:pPr>
        <w:spacing w:after="0" w:line="194" w:lineRule="exact"/>
        <w:rPr>
          <w:sz w:val="20"/>
          <w:szCs w:val="20"/>
          <w:color w:val="auto"/>
        </w:rPr>
      </w:pPr>
    </w:p>
    <w:p>
      <w:pPr>
        <w:jc w:val="both"/>
        <w:ind w:firstLine="458"/>
        <w:spacing w:after="0" w:line="288" w:lineRule="auto"/>
        <w:rPr>
          <w:sz w:val="20"/>
          <w:szCs w:val="20"/>
          <w:color w:val="auto"/>
        </w:rPr>
      </w:pPr>
      <w:r>
        <w:rPr>
          <w:rFonts w:ascii="Arial" w:cs="Arial" w:eastAsia="Arial" w:hAnsi="Arial"/>
          <w:sz w:val="16"/>
          <w:szCs w:val="16"/>
          <w:color w:val="auto"/>
        </w:rPr>
        <w:t>After identifying losmapimod, we in-licensed the molecule from GSK because we believed that its safety and pharmacology history would significantly expedite our development plan and enhance our future regulatory submissions. In February 2019, we obtained an exclusive worldwide license from GSK to the losmapimod patents and preclinical and clinical data for all indications, subject to certain conditions. This license includes a letter of reference for the U.S. Food and Drug Administration, or FDA, providing us the right to reference all the previous INDs that had been filed by GSK for losmapimod, as well as a license to their losmapimod data, including the original preclinical study and clinical trial reports. We also received active pharmaceutical ingredient, or API, and losmapimod tablets that had been manufactured by GSK. We plan to use the API and tablets to support our clinical development of losmapimod in FSHD, including our planned Phase 2 clinical trials. We utilized the GSK data and our preclinical data to submit an IND in the United States and CTAs in Europe and Canada in May 2019 that will enable us to advance our clinical development plan for losmapimod in FSHD, including initiating a Phase 2b clinical trial. The IND was accepted by the FDA in June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225" w:lineRule="exact"/>
        <w:rPr>
          <w:sz w:val="20"/>
          <w:szCs w:val="20"/>
          <w:color w:val="auto"/>
        </w:rPr>
      </w:pPr>
    </w:p>
    <w:p>
      <w:pPr>
        <w:jc w:val="both"/>
        <w:ind w:firstLine="415"/>
        <w:spacing w:after="0" w:line="291" w:lineRule="auto"/>
        <w:rPr>
          <w:sz w:val="20"/>
          <w:szCs w:val="20"/>
          <w:color w:val="auto"/>
        </w:rPr>
      </w:pPr>
      <w:r>
        <w:rPr>
          <w:rFonts w:ascii="Arial" w:cs="Arial" w:eastAsia="Arial" w:hAnsi="Arial"/>
          <w:sz w:val="16"/>
          <w:szCs w:val="16"/>
          <w:color w:val="auto"/>
        </w:rPr>
        <w:t xml:space="preserve">We conducted several preclinical studies designed to evaluate the ability of losmapimod to reduce DUX4-driven gene expression. In a preclinical study of losmapimod, we treated myotubes from primary cell lines of eight FSHD1 and three FSHD2 patients for four days with different concentrations of losmapimod or vehicle as a negative control. To model the effect of losmapimod treatment on DUX4-driven gene expression across diverse disease-causing genotypes, we measured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 levels relative to the transcript levels of </w:t>
      </w:r>
      <w:r>
        <w:rPr>
          <w:rFonts w:ascii="Arial" w:cs="Arial" w:eastAsia="Arial" w:hAnsi="Arial"/>
          <w:sz w:val="16"/>
          <w:szCs w:val="16"/>
          <w:i w:val="1"/>
          <w:iCs w:val="1"/>
          <w:color w:val="auto"/>
        </w:rPr>
        <w:t>POLR2A</w:t>
      </w:r>
      <w:r>
        <w:rPr>
          <w:rFonts w:ascii="Arial" w:cs="Arial" w:eastAsia="Arial" w:hAnsi="Arial"/>
          <w:sz w:val="16"/>
          <w:szCs w:val="16"/>
          <w:color w:val="auto"/>
        </w:rPr>
        <w:t xml:space="preserve">, a gene whose expression is not regulated by DUX4 protein. We observed that clinically achievable concentrations of losmapimod (30 to 100 nM) decreased DUX4-driven expression by 50% to 65%, as measured by quantitative polymerase chain reaction amplification of the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transcripts. The observed treatment effect was similar in all cells tested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regardless of genotype. We believe that this data suggests that losmapimod has the potential to treat FSHD patients across all genotypes.</w:t>
      </w:r>
    </w:p>
    <w:p>
      <w:pPr>
        <w:spacing w:after="0" w:line="225"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auto"/>
        </w:rPr>
        <w:t>The graphic below shows the least square mean estimates for DUX4-driven gene expression from 11 FSHD primary cells and healthy cells treated with losmapimod presented as mean and 95% confidence intervals, which demonstrates that losmapimod reduced DUX4-driven gene expression, as measured by MBD3L2 and POLR2A transcript levels in a concentration-dependent manner.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DUX4-driven gene expression at increasing concentrations of 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152400</wp:posOffset>
            </wp:positionV>
            <wp:extent cx="3447415" cy="257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4741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6"/>
          <w:szCs w:val="16"/>
          <w:color w:val="auto"/>
        </w:rPr>
        <w:t>In our preclinical studies, we have also observed that treatment of FSHD patient-derived myotubes with losmapimod is highly specific for DUX4-driven gene expression. We conducted a study in which we measured the FSHD gene expression signature and observed a minimal impact on myogenesis when healthy human myotubes were treated with losmapimod. We treated FSHD cells with losmapimod for five days and a subsequent RNA-seq analysis revealed that only 89 transcripts (0.45%) out of approximately 20,000 protein coding genes were differentially expressed more than four-fold. Of these 89 differentially expressed transcripts, 90% were transcripts directly regulated by DUX4. We believe that this is strong evidence that the effects of losmapimod in affected skeletal muscle are highly specific for the treatment of the root cause of FSHD. Importantly, we did not observe changes in levels of myogenin, a transcriptional activator that promotes transcription of muscle-specific genes and plays a role in muscle differentiation, cell cycle exit and muscle atrophy, and observed minimal impact on other myogenic factors during myoblast differentiation into myotubes.</w:t>
      </w:r>
    </w:p>
    <w:p>
      <w:pPr>
        <w:spacing w:after="0" w:line="172" w:lineRule="exact"/>
        <w:rPr>
          <w:sz w:val="20"/>
          <w:szCs w:val="20"/>
          <w:color w:val="auto"/>
        </w:rPr>
      </w:pPr>
    </w:p>
    <w:p>
      <w:pPr>
        <w:jc w:val="both"/>
        <w:ind w:right="20" w:firstLine="493"/>
        <w:spacing w:after="0" w:line="268" w:lineRule="auto"/>
        <w:rPr>
          <w:sz w:val="20"/>
          <w:szCs w:val="20"/>
          <w:color w:val="auto"/>
        </w:rPr>
      </w:pPr>
      <w:r>
        <w:rPr>
          <w:rFonts w:ascii="Arial" w:cs="Arial" w:eastAsia="Arial" w:hAnsi="Arial"/>
          <w:sz w:val="18"/>
          <w:szCs w:val="18"/>
          <w:color w:val="auto"/>
        </w:rPr>
        <w:t>The graphic below depicts the gene expression signature in FSHD at increasing concentrations of losmapimod as compared to a high concentration of losmapimod in healthy wild type, or WT, myotubes.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graphic, darker pink tones indicate more gene expression and darker blue tones indicate less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148590</wp:posOffset>
            </wp:positionV>
            <wp:extent cx="5377180" cy="42792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77180"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91"/>
        <w:spacing w:after="0" w:line="256" w:lineRule="auto"/>
        <w:rPr>
          <w:sz w:val="20"/>
          <w:szCs w:val="20"/>
          <w:color w:val="auto"/>
        </w:rPr>
      </w:pPr>
      <w:r>
        <w:rPr>
          <w:rFonts w:ascii="Arial" w:cs="Arial" w:eastAsia="Arial" w:hAnsi="Arial"/>
          <w:sz w:val="18"/>
          <w:szCs w:val="18"/>
          <w:color w:val="auto"/>
        </w:rPr>
        <w:t>GSK observed concentrations of losmapimod in human plasma of 28.4 ng/mL to 74.1 ng/mL with an average of 50.5 ng/mL at a 15 mg twice per day dose in its clinical trials. In preclinical studies in animal models, we observed that losmapimod reached muscle tissue and engaged the p38a/b target in the muscle tissue. As shown below, we detected similar concentrations of losmapimod in rat plasma and muscle, and significant target engagement is observed at concentrations that we expect to achieve in clinical trials using a 15 mg twice per day dose.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p38a/b target engagement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152400</wp:posOffset>
            </wp:positionV>
            <wp:extent cx="3970655" cy="2778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706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We obtained further evidence that losmapimod distributed to muscle from a preclinical study in which GSK profiled distribution of losmapimod to all tissues in rats. Our review of this data similarly confirmed that muscles were well exposed to losmapimod.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Overview</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We began dosing in a Phase 1 clinical trial of losmapimod in healthy volunteers and patients with FSHD in Europe in February 2019 following the filing of a CTA in December 2018. We plan to conduct a randomized, double-blind placebo-controlled Phase 2b clinical trial with approximately 66 patients with FSHD to investigate whether oral administration of 15 mg of losmapimod twice per day reduces expression of DUX4-driven genes in affected skeletal muscle. We also plan to concurrently conduct an open label Phase 2 clinical trial in 16 patients with FSHD to investigate the safety and tolerability of 15 mg losmapimod twice per day for chronic use and to evaluate the ability of losmapimod to reduce expression of DUX4-driven genes in affected skeletal muscle over varying durations of treatment. We believe that a 15 mg twice per day dose of losmapimod is an appropriate dose for the treatment of patients with FSHD based on previous clinical data and p38a/b target engagement data generated by GSK and p38a/b target engagement data from our preclinical studies.</w:t>
      </w:r>
    </w:p>
    <w:p>
      <w:pPr>
        <w:spacing w:after="0" w:line="172"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We submitted a CTA in Europe for the open label Phase 2 clinical trial in April 2019 and submitted CTAs in Europe and Canada for the Phase 2b clinical trial in May 2019. The FDA accepted the IND in June 2019. We expect to initiate the randomized Phase 2b clinical trial and the open label Phase 2 clinical trial in mid-2019.</w:t>
      </w:r>
    </w:p>
    <w:p>
      <w:pPr>
        <w:spacing w:after="0" w:line="194"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6"/>
          <w:szCs w:val="16"/>
          <w:color w:val="auto"/>
        </w:rPr>
        <w:t>We are also conducting several preparatory non-drug studies to assess biomarker endpoints and clinical outcome assessments. In addition, we are participating in a natural history study that will follow 150 subjects with FSHD in the United States and 70 subjects in Europe over 18 months. We expect to utilize the data generated from our non-drug studies and the natural history study to inform discussions with regulatory agencies and future clinical trial design.</w:t>
      </w:r>
    </w:p>
    <w:p>
      <w:pPr>
        <w:spacing w:after="0" w:line="161" w:lineRule="exact"/>
        <w:rPr>
          <w:sz w:val="20"/>
          <w:szCs w:val="20"/>
          <w:color w:val="auto"/>
        </w:rPr>
      </w:pPr>
    </w:p>
    <w:p>
      <w:pPr>
        <w:jc w:val="both"/>
        <w:ind w:firstLine="436"/>
        <w:spacing w:after="0" w:line="256" w:lineRule="auto"/>
        <w:rPr>
          <w:sz w:val="20"/>
          <w:szCs w:val="20"/>
          <w:color w:val="auto"/>
        </w:rPr>
      </w:pPr>
      <w:r>
        <w:rPr>
          <w:rFonts w:ascii="Arial" w:cs="Arial" w:eastAsia="Arial" w:hAnsi="Arial"/>
          <w:sz w:val="18"/>
          <w:szCs w:val="18"/>
          <w:color w:val="auto"/>
        </w:rPr>
        <w:t>We believe that the safety data from GSK's prior losmapimod clinical trials, together with safety and efficacy data from our Phase 1 and Phase 2 clinical trials, may enable us to apply for accelerated approval. We believe a treatment for FSHD may be eligible for accelerated approval because FSHD is a rare, slowly progressive and disabling disease with no approved treatments. We plan to discuss accelerated approval with regulatory agencies if we observe positive results in our Phase 2b clinical trial based on biomarker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endpoints that we believe are likely to predict clinical benefit. We also plan to apply for orphan drug designation for FSHD in the United States and Europe in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Clinical Development of Losmapimod by GSK</w:t>
      </w:r>
    </w:p>
    <w:p>
      <w:pPr>
        <w:spacing w:after="0" w:line="225" w:lineRule="exact"/>
        <w:rPr>
          <w:sz w:val="20"/>
          <w:szCs w:val="20"/>
          <w:color w:val="auto"/>
        </w:rPr>
      </w:pPr>
    </w:p>
    <w:p>
      <w:pPr>
        <w:jc w:val="both"/>
        <w:ind w:firstLine="466"/>
        <w:spacing w:after="0" w:line="294" w:lineRule="auto"/>
        <w:rPr>
          <w:sz w:val="20"/>
          <w:szCs w:val="20"/>
          <w:color w:val="auto"/>
        </w:rPr>
      </w:pPr>
      <w:r>
        <w:rPr>
          <w:rFonts w:ascii="Arial" w:cs="Arial" w:eastAsia="Arial" w:hAnsi="Arial"/>
          <w:sz w:val="16"/>
          <w:szCs w:val="16"/>
          <w:color w:val="auto"/>
        </w:rPr>
        <w:t>GSK conducted multiple Phase 1 and Phase 2 clinical trials and one Phase 3 clinical trial of losmapimod, including in patients with chronic obstructive pulmonary disease, or COPD, acute coronary syndrome and other cardiovascular diseases, neuropathic pain, major depression disorder, focal segmental glomerulosclerosis, and rheumatoid arthritis. Nearly 3,500 subjects in 24 trials were given losmapimod with single doses as high as 60 mg and repeated oral doses as high as 15 mg twice per day for up to 52 weeks. We plan to use a dose of 15 mg twice per day in our clinical trials of losmapimod in FSHD. GSK did not conduct a clinical trial of losmapimod in patients with FSHD or any other muscle disorder.</w:t>
      </w:r>
    </w:p>
    <w:p>
      <w:pPr>
        <w:spacing w:after="0" w:line="170" w:lineRule="exact"/>
        <w:rPr>
          <w:sz w:val="20"/>
          <w:szCs w:val="20"/>
          <w:color w:val="auto"/>
        </w:rPr>
      </w:pPr>
    </w:p>
    <w:p>
      <w:pPr>
        <w:jc w:val="both"/>
        <w:ind w:firstLine="414"/>
        <w:spacing w:after="0" w:line="291" w:lineRule="auto"/>
        <w:rPr>
          <w:sz w:val="20"/>
          <w:szCs w:val="20"/>
          <w:color w:val="auto"/>
        </w:rPr>
      </w:pPr>
      <w:r>
        <w:rPr>
          <w:rFonts w:ascii="Arial" w:cs="Arial" w:eastAsia="Arial" w:hAnsi="Arial"/>
          <w:sz w:val="16"/>
          <w:szCs w:val="16"/>
          <w:color w:val="auto"/>
        </w:rPr>
        <w:t>In clinical trials of losmapimod conducted by GSK, no significant differences were observed in the frequency of adverse events, or AEs, in subjects given losmapimod and subjects given placebo. GSK generally observed a similar frequency of serious adverse events, or SAEs, and deaths between patients given losmapimod and patients given placebo. These trials included extensive evaluation of the cardiovascular risk profile of losmapimod, including completion of an evaluation of the potential to prolong corrected QT. GSK reported that there was no clinically relevant difference with regard to the occurrence of electrocardiogram abnormalities post-baseline or vital signs with losmapimod as compared to placebo. GSK did not identify a safety signal attributed to losmapimod in any of these trials. There were no SAEs reported in 14 of these 24 clinical trials of losmapimod.</w:t>
      </w:r>
    </w:p>
    <w:p>
      <w:pPr>
        <w:spacing w:after="0" w:line="174"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The table below presents safety data from the largest placebo-controlled clinical trial of losmapimod, which was a Phase 3 clinical trial for the treatment of acute coronary syndrome following a heart attack, in which over 1,700 patients were given 7.5 mg of losmapimod or placebo twice per day for 12 weeks and were followed for an additional 12 weeks. In this trial, GSK observed a similar proportion of AEs in the placebo group as compared to the losmapimod group. The data in the table below presents the SAEs reported by more than 0.5% of patients in any group in the trial through 24 weeks.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Safety data from GSK's Phase 3 clinical trial of losmapimod in patients with acute coronary syndrome</w:t>
      </w:r>
    </w:p>
    <w:tbl>
      <w:tblPr>
        <w:tblLayout w:type="fixed"/>
        <w:tblInd w:w="1720" w:type="dxa"/>
        <w:tblCellMar>
          <w:top w:w="0" w:type="dxa"/>
          <w:left w:w="0" w:type="dxa"/>
          <w:bottom w:w="0" w:type="dxa"/>
          <w:right w:w="0" w:type="dxa"/>
        </w:tblCellMar>
      </w:tblPr>
      <w:tr>
        <w:trPr>
          <w:trHeight w:val="142"/>
        </w:trPr>
        <w:tc>
          <w:tcPr>
            <w:tcW w:w="61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Placebo</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Losmapimod</w:t>
            </w:r>
          </w:p>
        </w:tc>
      </w:tr>
      <w:tr>
        <w:trPr>
          <w:trHeight w:val="210"/>
        </w:trPr>
        <w:tc>
          <w:tcPr>
            <w:tcW w:w="6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N = 1,752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N = 1,724</w:t>
            </w:r>
          </w:p>
        </w:tc>
      </w:tr>
      <w:tr>
        <w:trPr>
          <w:trHeight w:val="216"/>
        </w:trPr>
        <w:tc>
          <w:tcPr>
            <w:tcW w:w="6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n (%)</w:t>
            </w: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n (%)</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Any SAE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(18.4)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(21.1)</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Cardiac disorders</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8"/>
              </w:rPr>
              <w:t>114 (6.5)</w:t>
            </w:r>
          </w:p>
        </w:tc>
        <w:tc>
          <w:tcPr>
            <w:tcW w:w="980" w:type="dxa"/>
            <w:vAlign w:val="bottom"/>
            <w:gridSpan w:val="3"/>
          </w:tcPr>
          <w:p>
            <w:pPr>
              <w:jc w:val="center"/>
              <w:ind w:left="92"/>
              <w:spacing w:after="0"/>
              <w:rPr>
                <w:sz w:val="20"/>
                <w:szCs w:val="20"/>
                <w:color w:val="auto"/>
              </w:rPr>
            </w:pPr>
            <w:r>
              <w:rPr>
                <w:rFonts w:ascii="Arial" w:cs="Arial" w:eastAsia="Arial" w:hAnsi="Arial"/>
                <w:sz w:val="18"/>
                <w:szCs w:val="18"/>
                <w:color w:val="auto"/>
                <w:w w:val="88"/>
              </w:rPr>
              <w:t>138 (8.0)</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Infections and infestations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Respiratory, thoracic and mediastinal disorders</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ind w:left="20"/>
              <w:spacing w:after="0"/>
              <w:rPr>
                <w:sz w:val="20"/>
                <w:szCs w:val="20"/>
                <w:color w:val="auto"/>
              </w:rPr>
            </w:pPr>
            <w:r>
              <w:rPr>
                <w:rFonts w:ascii="Arial" w:cs="Arial" w:eastAsia="Arial" w:hAnsi="Arial"/>
                <w:sz w:val="18"/>
                <w:szCs w:val="18"/>
                <w:color w:val="auto"/>
              </w:rPr>
              <w:t>(1.4)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ind w:left="20"/>
              <w:spacing w:after="0"/>
              <w:rPr>
                <w:sz w:val="20"/>
                <w:szCs w:val="20"/>
                <w:color w:val="auto"/>
              </w:rPr>
            </w:pPr>
            <w:r>
              <w:rPr>
                <w:rFonts w:ascii="Arial" w:cs="Arial" w:eastAsia="Arial" w:hAnsi="Arial"/>
                <w:sz w:val="18"/>
                <w:szCs w:val="18"/>
                <w:color w:val="auto"/>
              </w:rPr>
              <w:t>(2.4)</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disorders and administration site conditions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Renal and urinary disorders</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ind w:left="20"/>
              <w:spacing w:after="0"/>
              <w:rPr>
                <w:sz w:val="20"/>
                <w:szCs w:val="20"/>
                <w:color w:val="auto"/>
              </w:rPr>
            </w:pPr>
            <w:r>
              <w:rPr>
                <w:rFonts w:ascii="Arial" w:cs="Arial" w:eastAsia="Arial" w:hAnsi="Arial"/>
                <w:sz w:val="18"/>
                <w:szCs w:val="18"/>
                <w:color w:val="auto"/>
              </w:rPr>
              <w:t>(1.0)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80" w:type="dxa"/>
            <w:vAlign w:val="bottom"/>
          </w:tcPr>
          <w:p>
            <w:pPr>
              <w:ind w:left="20"/>
              <w:spacing w:after="0"/>
              <w:rPr>
                <w:sz w:val="20"/>
                <w:szCs w:val="20"/>
                <w:color w:val="auto"/>
              </w:rPr>
            </w:pPr>
            <w:r>
              <w:rPr>
                <w:rFonts w:ascii="Arial" w:cs="Arial" w:eastAsia="Arial" w:hAnsi="Arial"/>
                <w:sz w:val="18"/>
                <w:szCs w:val="18"/>
                <w:color w:val="auto"/>
              </w:rPr>
              <w:t>(1.8)</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Investigations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r>
      <w:tr>
        <w:trPr>
          <w:trHeight w:val="222"/>
        </w:trPr>
        <w:tc>
          <w:tcPr>
            <w:tcW w:w="6180" w:type="dxa"/>
            <w:vAlign w:val="bottom"/>
          </w:tcPr>
          <w:p>
            <w:pPr>
              <w:ind w:left="180"/>
              <w:spacing w:after="0"/>
              <w:rPr>
                <w:sz w:val="20"/>
                <w:szCs w:val="20"/>
                <w:color w:val="auto"/>
              </w:rPr>
            </w:pPr>
            <w:r>
              <w:rPr>
                <w:rFonts w:ascii="Arial" w:cs="Arial" w:eastAsia="Arial" w:hAnsi="Arial"/>
                <w:sz w:val="18"/>
                <w:szCs w:val="18"/>
                <w:color w:val="auto"/>
              </w:rPr>
              <w:t>Musculoskeletal and connective tissue disorders</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ind w:left="20"/>
              <w:spacing w:after="0"/>
              <w:rPr>
                <w:sz w:val="20"/>
                <w:szCs w:val="20"/>
                <w:color w:val="auto"/>
              </w:rPr>
            </w:pPr>
            <w:r>
              <w:rPr>
                <w:rFonts w:ascii="Arial" w:cs="Arial" w:eastAsia="Arial" w:hAnsi="Arial"/>
                <w:sz w:val="18"/>
                <w:szCs w:val="18"/>
                <w:color w:val="auto"/>
              </w:rPr>
              <w:t>(0.8)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ind w:left="20"/>
              <w:spacing w:after="0"/>
              <w:rPr>
                <w:sz w:val="20"/>
                <w:szCs w:val="20"/>
                <w:color w:val="auto"/>
              </w:rPr>
            </w:pPr>
            <w:r>
              <w:rPr>
                <w:rFonts w:ascii="Arial" w:cs="Arial" w:eastAsia="Arial" w:hAnsi="Arial"/>
                <w:sz w:val="18"/>
                <w:szCs w:val="18"/>
                <w:color w:val="auto"/>
              </w:rPr>
              <w:t>(1.5)</w:t>
            </w:r>
          </w:p>
        </w:tc>
      </w:tr>
    </w:tbl>
    <w:p>
      <w:pPr>
        <w:spacing w:after="0" w:line="20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There were also ten fatal SAEs in the placebo group and 13 fatal SAEs in the losmapimod group. In the placebo group, the fatal SAEs were infections and infestations (two), general disorders and administrative site conditions (two), respiratory, thoracic and mediastinal disorders (three), cardiac disorder (one), gastrointestinal disorder (one) and neoplasm (one). In the losmapimod group, the fatal SAEs were infections and infestations (four), general disorders and administrative site conditions (three), respiratory, thoracic and mediastinal disorders (two), cardiac disorder (one), injury poisoning and procedural complications (one), gastrointestinal disorder (one) and neoplasm (one).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8"/>
        <w:spacing w:after="0" w:line="332" w:lineRule="auto"/>
        <w:rPr>
          <w:sz w:val="20"/>
          <w:szCs w:val="20"/>
          <w:color w:val="auto"/>
        </w:rPr>
      </w:pPr>
      <w:r>
        <w:rPr>
          <w:rFonts w:ascii="Arial" w:cs="Arial" w:eastAsia="Arial" w:hAnsi="Arial"/>
          <w:sz w:val="16"/>
          <w:szCs w:val="16"/>
          <w:color w:val="auto"/>
        </w:rPr>
        <w:t>The following table presents SAEs reported during treatment from a total of 11 Phase 1 and Phase 2 placebo-controlled clinical trials of losmapimod with repeat dosing for which GSK reported integrated data. The 11 trials presented include three of the 14 trials in which no SAEs were reported.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Safety data from 11 clinical trials of losmapimod conducted by GSK</w:t>
      </w:r>
    </w:p>
    <w:tbl>
      <w:tblPr>
        <w:tblLayout w:type="fixed"/>
        <w:tblInd w:w="1720" w:type="dxa"/>
        <w:tblCellMar>
          <w:top w:w="0" w:type="dxa"/>
          <w:left w:w="0" w:type="dxa"/>
          <w:bottom w:w="0" w:type="dxa"/>
          <w:right w:w="0" w:type="dxa"/>
        </w:tblCellMar>
      </w:tblPr>
      <w:tr>
        <w:trPr>
          <w:trHeight w:val="142"/>
        </w:trPr>
        <w:tc>
          <w:tcPr>
            <w:tcW w:w="62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Placebo</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Losmapimod</w:t>
            </w:r>
          </w:p>
        </w:tc>
      </w:tr>
      <w:tr>
        <w:trPr>
          <w:trHeight w:val="210"/>
        </w:trPr>
        <w:tc>
          <w:tcPr>
            <w:tcW w:w="6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 = 735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 = 1,327</w:t>
            </w:r>
          </w:p>
        </w:tc>
      </w:tr>
      <w:tr>
        <w:trPr>
          <w:trHeight w:val="216"/>
        </w:trPr>
        <w:tc>
          <w:tcPr>
            <w:tcW w:w="6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n (%)</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n (%)</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Any SAE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47 (6)</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120 (9)</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Cardiac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17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41 (3)</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Respiratory, thoracic and mediastinal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11 (1)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26 (2)</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Infections and infestations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7 (&lt;1)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14 (1)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disorders and administrative site conditions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0"/>
              </w:rPr>
              <w:t>13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Nervous system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5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0"/>
              </w:rPr>
              <w:t>10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Injury, poisoning and procedural complications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0"/>
              </w:rPr>
              <w:t>11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Gastrointestinal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7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Vascular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5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Renal and urinary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Musculoskeletal and connective tissue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Skin and subcutaneous tissue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Hepatobiliary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Psychiatric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3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Neoplasms (benign, malignant and unspecified)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3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Blood and lymphatic system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1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Immune system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1 (&lt;1)</w:t>
            </w:r>
          </w:p>
        </w:tc>
      </w:tr>
      <w:tr>
        <w:trPr>
          <w:trHeight w:val="222"/>
        </w:trPr>
        <w:tc>
          <w:tcPr>
            <w:tcW w:w="6280" w:type="dxa"/>
            <w:vAlign w:val="bottom"/>
          </w:tcPr>
          <w:p>
            <w:pPr>
              <w:ind w:left="180"/>
              <w:spacing w:after="0"/>
              <w:rPr>
                <w:sz w:val="20"/>
                <w:szCs w:val="20"/>
                <w:color w:val="auto"/>
              </w:rPr>
            </w:pPr>
            <w:r>
              <w:rPr>
                <w:rFonts w:ascii="Arial" w:cs="Arial" w:eastAsia="Arial" w:hAnsi="Arial"/>
                <w:sz w:val="18"/>
                <w:szCs w:val="18"/>
                <w:color w:val="auto"/>
              </w:rPr>
              <w:t>Metabolism and nutrition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1 (&lt;1)</w:t>
            </w:r>
          </w:p>
        </w:tc>
      </w:tr>
    </w:tbl>
    <w:p>
      <w:pPr>
        <w:spacing w:after="0" w:line="201"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This table includes safety data from the second largest clinical trial of losmapimod, which was a placebo-controlled Phase 2 clinical trial of losmapimod in patients with COPD, in which 602 adult patients were given 2.5 mg, 7.5 mg or 15 mg of losmapimod or placebo twice per day for 24 weeks and were followed for an additional week. In this trial, GSK observed a similar proportion of AEs in the placebo group as compared to the losmapimod group. Additionally, in this trial there were three fatal SAEs in the placebo group due to severe exacerbation of COPD, acute myocardial infarction and pulmonary embolism, one fatal SAE in the losmapimod 7.5 mg group due to acute myocardial infarction and associated pulmonary edema and two fatal SAEs in the 15 mg group due to respiratory failure and bilateral purulent pleuritis and mediastinitis. The most common SAE observed in the trial was exacerbation of COPD, which was experienced by eight subjects in the placebo group, six subjects in the losmapimod 2.5 mg group, two subjects in the losmapimod 7.5 mg group and three subjects in the losmapimod 15 mg group. Other SAEs in the placebo group included a liver event, eczema, leukoplakia, sinobronchitis and anxiety. Other SAEs in the losmapimod groups included two subjects with liver events, one subject with eczema and leukoplakia, one subject with pyrexia and one subject with pemphigoid.</w:t>
      </w:r>
    </w:p>
    <w:p>
      <w:pPr>
        <w:spacing w:after="0" w:line="17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8"/>
          <w:szCs w:val="18"/>
          <w:color w:val="auto"/>
        </w:rPr>
        <w:t>In addition to the trials and data summarized above, GSK also conducted a placebo-controlled Phase 2 clinical trial in which 184 adult patients with frequently exacerbating COPD were given 15 mg of losmapimod or placebo twice per day for up to 52 weeks. In this trial, the proportion of subjects with AEs and SAEs was higher in the losmapimod group than in the placebo group; there was one fatal SAE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placebo group and three fatal SAEs in the losmapimod group, none of which was considered related to losmapimod. The data in the table below presents the SAEs reported in the trial.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Safety data from GSK's Phase 2 clinical trial of losmapimod in patients with COPD</w:t>
      </w:r>
    </w:p>
    <w:tbl>
      <w:tblPr>
        <w:tblLayout w:type="fixed"/>
        <w:tblInd w:w="1720" w:type="dxa"/>
        <w:tblCellMar>
          <w:top w:w="0" w:type="dxa"/>
          <w:left w:w="0" w:type="dxa"/>
          <w:bottom w:w="0" w:type="dxa"/>
          <w:right w:w="0" w:type="dxa"/>
        </w:tblCellMar>
      </w:tblPr>
      <w:tr>
        <w:trPr>
          <w:trHeight w:val="142"/>
        </w:trPr>
        <w:tc>
          <w:tcPr>
            <w:tcW w:w="63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Placebo</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Losmapimod</w:t>
            </w:r>
          </w:p>
        </w:tc>
      </w:tr>
      <w:tr>
        <w:trPr>
          <w:trHeight w:val="210"/>
        </w:trPr>
        <w:tc>
          <w:tcPr>
            <w:tcW w:w="63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 = 94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 = 90</w:t>
            </w:r>
          </w:p>
        </w:tc>
      </w:tr>
      <w:tr>
        <w:trPr>
          <w:trHeight w:val="216"/>
        </w:trPr>
        <w:tc>
          <w:tcPr>
            <w:tcW w:w="63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n (%)</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n (%)</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Any SAE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 (9%)</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18 (20%)</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Respiratory, thoracic and mediastinal disorders</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2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1"/>
              </w:rPr>
              <w:t>7 (8)</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Cardiac disorders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(3)</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1"/>
              </w:rPr>
              <w:t>4 (4)</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Infections and infestations</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 (1)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1"/>
              </w:rPr>
              <w:t>6 (7)</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Injury, poisoning and procedural complications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1"/>
              </w:rPr>
              <w:t>2 (2)</w:t>
            </w:r>
          </w:p>
        </w:tc>
      </w:tr>
      <w:tr>
        <w:trPr>
          <w:trHeight w:val="222"/>
        </w:trPr>
        <w:tc>
          <w:tcPr>
            <w:tcW w:w="6380" w:type="dxa"/>
            <w:vAlign w:val="bottom"/>
          </w:tcPr>
          <w:p>
            <w:pPr>
              <w:ind w:left="180"/>
              <w:spacing w:after="0"/>
              <w:rPr>
                <w:sz w:val="20"/>
                <w:szCs w:val="20"/>
                <w:color w:val="auto"/>
              </w:rPr>
            </w:pPr>
            <w:r>
              <w:rPr>
                <w:rFonts w:ascii="Arial" w:cs="Arial" w:eastAsia="Arial" w:hAnsi="Arial"/>
                <w:sz w:val="18"/>
                <w:szCs w:val="18"/>
                <w:color w:val="auto"/>
              </w:rPr>
              <w:t>Neoplasms (benign, malignant and unspecified)</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2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1"/>
              </w:rPr>
              <w:t>1 (1)</w:t>
            </w:r>
          </w:p>
        </w:tc>
      </w:tr>
    </w:tbl>
    <w:p>
      <w:pPr>
        <w:spacing w:after="0" w:line="201" w:lineRule="exact"/>
        <w:rPr>
          <w:sz w:val="20"/>
          <w:szCs w:val="20"/>
          <w:color w:val="auto"/>
        </w:rPr>
      </w:pPr>
    </w:p>
    <w:p>
      <w:pPr>
        <w:jc w:val="both"/>
        <w:ind w:firstLine="442"/>
        <w:spacing w:after="0" w:line="256" w:lineRule="auto"/>
        <w:rPr>
          <w:sz w:val="20"/>
          <w:szCs w:val="20"/>
          <w:color w:val="auto"/>
        </w:rPr>
      </w:pPr>
      <w:r>
        <w:rPr>
          <w:rFonts w:ascii="Arial" w:cs="Arial" w:eastAsia="Arial" w:hAnsi="Arial"/>
          <w:sz w:val="18"/>
          <w:szCs w:val="18"/>
          <w:color w:val="auto"/>
        </w:rPr>
        <w:t>In addition to the 24 trials conducted by GSK, another sponsor conducted a placebo-controlled Phase 2 clinical trial of losmapimod in which 73 subjects with COPD with cardiovascular manifestations were given 7.5 mg of losmapimod or placebo for 16 weeks. There were 36 subjects in the losmapimod group and 37 in the placebo group. In this trial, there were a total of six (17%) SAEs in the losmapimod group, consisting of exacerbations of COPD and pneumonia, and there was one (3%) SAE in the placebo group.</w:t>
      </w:r>
    </w:p>
    <w:p>
      <w:pPr>
        <w:spacing w:after="0" w:line="197" w:lineRule="exact"/>
        <w:rPr>
          <w:sz w:val="20"/>
          <w:szCs w:val="20"/>
          <w:color w:val="auto"/>
        </w:rPr>
      </w:pPr>
    </w:p>
    <w:p>
      <w:pPr>
        <w:jc w:val="both"/>
        <w:ind w:firstLine="366"/>
        <w:spacing w:after="0" w:line="294" w:lineRule="auto"/>
        <w:rPr>
          <w:sz w:val="20"/>
          <w:szCs w:val="20"/>
          <w:color w:val="auto"/>
        </w:rPr>
      </w:pPr>
      <w:r>
        <w:rPr>
          <w:rFonts w:ascii="Arial" w:cs="Arial" w:eastAsia="Arial" w:hAnsi="Arial"/>
          <w:sz w:val="16"/>
          <w:szCs w:val="16"/>
          <w:color w:val="auto"/>
        </w:rPr>
        <w:t xml:space="preserve">In prior studies, GSK observed that the p38a/b target inhibition in humans was approximately 10%, 30% and 50% at trough and 40%, 60% and 70% at peak following twice per day doses of 2.5 mg, 7.5 mg and 15 mg, respectively. In addition, based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from our studies in FSHD myotubes with losmapimod, we believe that the muscle exposures that we have achieved in rodents, which are similar to concentrations in human blood from the 15 mg twice per day dose, will result in robust p38a/b target engagement and will reduce DUX4-driven gene expression in FSHD skeletal muscle by more than 50%. We believe that this data supports our determination that 15 mg of losmapimod twice per day is an appropriate dose for the treatment of patients with FSHD.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8920"/>
        <w:spacing w:after="0"/>
        <w:rPr>
          <w:sz w:val="20"/>
          <w:szCs w:val="20"/>
          <w:color w:val="auto"/>
        </w:rPr>
      </w:pPr>
      <w:r>
        <w:rPr>
          <w:rFonts w:ascii="Arial" w:cs="Arial" w:eastAsia="Arial" w:hAnsi="Arial"/>
          <w:sz w:val="16"/>
          <w:szCs w:val="16"/>
          <w:i w:val="1"/>
          <w:iCs w:val="1"/>
          <w:color w:val="auto"/>
        </w:rPr>
        <w:t>Our Clinical Development Strategy</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Preparatory Studies</w:t>
      </w:r>
    </w:p>
    <w:p>
      <w:pPr>
        <w:spacing w:after="0" w:line="225" w:lineRule="exact"/>
        <w:rPr>
          <w:sz w:val="20"/>
          <w:szCs w:val="20"/>
          <w:color w:val="auto"/>
        </w:rPr>
      </w:pPr>
    </w:p>
    <w:p>
      <w:pPr>
        <w:jc w:val="both"/>
        <w:ind w:firstLine="502"/>
        <w:spacing w:after="0" w:line="268" w:lineRule="auto"/>
        <w:rPr>
          <w:sz w:val="20"/>
          <w:szCs w:val="20"/>
          <w:color w:val="auto"/>
        </w:rPr>
      </w:pPr>
      <w:r>
        <w:rPr>
          <w:rFonts w:ascii="Arial" w:cs="Arial" w:eastAsia="Arial" w:hAnsi="Arial"/>
          <w:sz w:val="18"/>
          <w:szCs w:val="18"/>
          <w:color w:val="auto"/>
        </w:rPr>
        <w:t>There are currently four ongoing preparatory studies designed to inform molecular biomarker and clinical development efficacy endpoints for planned clinical trials of losmapimod in patients with FSHD.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Subjects</w:t>
            </w: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Study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(Planned)</w:t>
            </w:r>
          </w:p>
        </w:tc>
        <w:tc>
          <w:tcPr>
            <w:tcW w:w="160" w:type="dxa"/>
            <w:vAlign w:val="bottom"/>
          </w:tcPr>
          <w:p>
            <w:pPr>
              <w:spacing w:after="0"/>
              <w:rPr>
                <w:sz w:val="14"/>
                <w:szCs w:val="14"/>
                <w:color w:val="auto"/>
              </w:rPr>
            </w:pPr>
          </w:p>
        </w:tc>
        <w:tc>
          <w:tcPr>
            <w:tcW w:w="3920" w:type="dxa"/>
            <w:vAlign w:val="bottom"/>
          </w:tcPr>
          <w:p>
            <w:pPr>
              <w:ind w:left="1280"/>
              <w:spacing w:after="0"/>
              <w:rPr>
                <w:sz w:val="20"/>
                <w:szCs w:val="20"/>
                <w:color w:val="auto"/>
              </w:rPr>
            </w:pPr>
            <w:r>
              <w:rPr>
                <w:rFonts w:ascii="Arial" w:cs="Arial" w:eastAsia="Arial" w:hAnsi="Arial"/>
                <w:sz w:val="14"/>
                <w:szCs w:val="14"/>
                <w:b w:val="1"/>
                <w:bCs w:val="1"/>
                <w:color w:val="auto"/>
              </w:rPr>
              <w:t>Description / Endpoints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Biomarker Preparatory Study (Fulcrum SRA 002-2018)</w:t>
            </w: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18</w:t>
            </w:r>
          </w:p>
        </w:tc>
        <w:tc>
          <w:tcPr>
            <w:tcW w:w="40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DUX4-driven gene expression in skeletal muscle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whole-body skeletal muscle MRI</w:t>
            </w:r>
          </w:p>
        </w:tc>
        <w:tc>
          <w:tcPr>
            <w:tcW w:w="0" w:type="dxa"/>
            <w:vAlign w:val="bottom"/>
          </w:tcPr>
          <w:p>
            <w:pPr>
              <w:spacing w:after="0"/>
              <w:rPr>
                <w:sz w:val="1"/>
                <w:szCs w:val="1"/>
                <w:color w:val="auto"/>
              </w:rPr>
            </w:pPr>
          </w:p>
        </w:tc>
      </w:tr>
      <w:tr>
        <w:trPr>
          <w:trHeight w:val="424"/>
        </w:trPr>
        <w:tc>
          <w:tcPr>
            <w:tcW w:w="4420" w:type="dxa"/>
            <w:vAlign w:val="bottom"/>
            <w:gridSpan w:val="3"/>
          </w:tcPr>
          <w:p>
            <w:pPr>
              <w:spacing w:after="0"/>
              <w:rPr>
                <w:sz w:val="20"/>
                <w:szCs w:val="20"/>
                <w:color w:val="auto"/>
              </w:rPr>
            </w:pPr>
            <w:r>
              <w:rPr>
                <w:rFonts w:ascii="Arial" w:cs="Arial" w:eastAsia="Arial" w:hAnsi="Arial"/>
                <w:sz w:val="18"/>
                <w:szCs w:val="18"/>
                <w:color w:val="auto"/>
              </w:rPr>
              <w:t>Optimized Time Up and Go Test Preparatory Study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w w:val="96"/>
              </w:rPr>
              <w:t>Optimized time up and go test for FSHD, or FSHD-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(Fulcrum SRA 003-2018)</w:t>
            </w:r>
          </w:p>
        </w:tc>
        <w:tc>
          <w:tcPr>
            <w:tcW w:w="640" w:type="dxa"/>
            <w:vAlign w:val="bottom"/>
          </w:tcPr>
          <w:p>
            <w:pPr>
              <w:spacing w:after="0"/>
              <w:rPr>
                <w:sz w:val="19"/>
                <w:szCs w:val="19"/>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TUG</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Patient Input (Fulcrum SRA 004-2018)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 patient input into the Phase 2b clinical trial</w:t>
            </w:r>
          </w:p>
        </w:tc>
        <w:tc>
          <w:tcPr>
            <w:tcW w:w="0" w:type="dxa"/>
            <w:vAlign w:val="bottom"/>
          </w:tcPr>
          <w:p>
            <w:pPr>
              <w:spacing w:after="0"/>
              <w:rPr>
                <w:sz w:val="1"/>
                <w:szCs w:val="1"/>
                <w:color w:val="auto"/>
              </w:rPr>
            </w:pPr>
          </w:p>
        </w:tc>
      </w:tr>
      <w:tr>
        <w:trPr>
          <w:trHeight w:val="424"/>
        </w:trPr>
        <w:tc>
          <w:tcPr>
            <w:tcW w:w="4420" w:type="dxa"/>
            <w:vAlign w:val="bottom"/>
            <w:gridSpan w:val="3"/>
          </w:tcPr>
          <w:p>
            <w:pPr>
              <w:spacing w:after="0"/>
              <w:rPr>
                <w:sz w:val="20"/>
                <w:szCs w:val="20"/>
                <w:color w:val="auto"/>
              </w:rPr>
            </w:pPr>
            <w:r>
              <w:rPr>
                <w:rFonts w:ascii="Arial" w:cs="Arial" w:eastAsia="Arial" w:hAnsi="Arial"/>
                <w:sz w:val="18"/>
                <w:szCs w:val="18"/>
                <w:color w:val="auto"/>
              </w:rPr>
              <w:t>ReSOLVE Natural History Study (NIH) and Reachable</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150</w:t>
            </w: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Natural history study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Work Space (Fulcrum SRA 003-2017)</w:t>
            </w:r>
          </w:p>
        </w:tc>
        <w:tc>
          <w:tcPr>
            <w:tcW w:w="640" w:type="dxa"/>
            <w:vAlign w:val="bottom"/>
          </w:tcPr>
          <w:p>
            <w:pPr>
              <w:spacing w:after="0"/>
              <w:rPr>
                <w:sz w:val="19"/>
                <w:szCs w:val="19"/>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Reachable work space</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 Natural History Study and Reachable Work Space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history study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(SRA 003-2017)</w:t>
            </w:r>
          </w:p>
        </w:tc>
        <w:tc>
          <w:tcPr>
            <w:tcW w:w="6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Reachable work space</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Biomarker Preparatory Study (Fulcrum SRA 002-2018)</w:t>
      </w:r>
    </w:p>
    <w:p>
      <w:pPr>
        <w:spacing w:after="0" w:line="225"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We designed this preparatory study to investigate, inform and optimize the DUX4-driven gene expression and MRI efficacy biomarker endpoints that we intend to use in clinical trials of losmapimod. We are evaluating 18 subjects at seven clinical sites. We completed enrollment in May 2019 and will use the data to inform our planned Phase 2 trials of losmapimod for the treatment of FSHD.</w:t>
      </w:r>
    </w:p>
    <w:p>
      <w:pPr>
        <w:spacing w:after="0" w:line="194" w:lineRule="exact"/>
        <w:rPr>
          <w:sz w:val="20"/>
          <w:szCs w:val="20"/>
          <w:color w:val="auto"/>
        </w:rPr>
      </w:pPr>
    </w:p>
    <w:p>
      <w:pPr>
        <w:jc w:val="both"/>
        <w:ind w:firstLine="537"/>
        <w:spacing w:after="0" w:line="255" w:lineRule="auto"/>
        <w:rPr>
          <w:sz w:val="20"/>
          <w:szCs w:val="20"/>
          <w:color w:val="auto"/>
        </w:rPr>
      </w:pPr>
      <w:r>
        <w:rPr>
          <w:rFonts w:ascii="Arial" w:cs="Arial" w:eastAsia="Arial" w:hAnsi="Arial"/>
          <w:sz w:val="18"/>
          <w:szCs w:val="18"/>
          <w:color w:val="auto"/>
        </w:rPr>
        <w:t>This preparatory study is designed to measure aberrant DUX4-driven gene expression in affected skeletal muscle via a subset of DUX4-driven gene transcripts in order to develop a molecular muscle endpoint designed to track the root cause of disease. We are using MRI to inform affected leg muscles selected for biopsy. We believe that the measurement could be a primary endpoint in a clinical trial to support accelerated approval of losmapimod for FSHD. We are also using whole-body MRI scans one to three months apart to evaluate changes in skeletal muscle health (lean muscle tissue volume and muscle tissue replaced by fat).</w:t>
      </w:r>
    </w:p>
    <w:p>
      <w:pPr>
        <w:spacing w:after="0" w:line="197" w:lineRule="exact"/>
        <w:rPr>
          <w:sz w:val="20"/>
          <w:szCs w:val="20"/>
          <w:color w:val="auto"/>
        </w:rPr>
      </w:pPr>
    </w:p>
    <w:p>
      <w:pPr>
        <w:jc w:val="both"/>
        <w:ind w:right="20" w:firstLine="367"/>
        <w:spacing w:after="0" w:line="332" w:lineRule="auto"/>
        <w:rPr>
          <w:sz w:val="20"/>
          <w:szCs w:val="20"/>
          <w:color w:val="auto"/>
        </w:rPr>
      </w:pPr>
      <w:r>
        <w:rPr>
          <w:rFonts w:ascii="Arial" w:cs="Arial" w:eastAsia="Arial" w:hAnsi="Arial"/>
          <w:sz w:val="16"/>
          <w:szCs w:val="16"/>
          <w:color w:val="auto"/>
        </w:rPr>
        <w:t>The subjects have clinical severity scores of two to four on the Ricci scale, which is the clinical impairment disability scale for patients with FSHD, where a zero indicates that a subject has no disability and five indicates that a subject is permanently dependent upon the use of a wheelchair for daily mobility activities.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Optimized Time Up and Go Test Preparatory Study (Fulcrum SRA 003-2018)</w:t>
      </w:r>
    </w:p>
    <w:p>
      <w:pPr>
        <w:spacing w:after="0" w:line="225" w:lineRule="exact"/>
        <w:rPr>
          <w:sz w:val="20"/>
          <w:szCs w:val="20"/>
          <w:color w:val="auto"/>
        </w:rPr>
      </w:pPr>
    </w:p>
    <w:p>
      <w:pPr>
        <w:jc w:val="both"/>
        <w:ind w:firstLine="373"/>
        <w:spacing w:after="0" w:line="256" w:lineRule="auto"/>
        <w:rPr>
          <w:sz w:val="20"/>
          <w:szCs w:val="20"/>
          <w:color w:val="auto"/>
        </w:rPr>
      </w:pPr>
      <w:r>
        <w:rPr>
          <w:rFonts w:ascii="Arial" w:cs="Arial" w:eastAsia="Arial" w:hAnsi="Arial"/>
          <w:sz w:val="18"/>
          <w:szCs w:val="18"/>
          <w:color w:val="auto"/>
        </w:rPr>
        <w:t>We are evaluating a modified version of the classic time up and go, or classic TUG, test that we are optimizing as a clinical outcome assessment of mobility and ambulation, which we refer to as the FSHD-TUG test. The classic TUG test requires patients to get up from a chair, walk three meters, turn around, walk back to the chair and sit down. It was originally developed for clinical practice to assess mobility, balance, walking ability and fall risk in older adults prior to discharge from hospitalization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was used recently as a key secondary efficacy endpoint in a registration trial in multiple sclerosis in Europe. The classic TUG test is also one of the clinical outcome assessments in the ReSOLVE natural history study discussed below.</w:t>
      </w:r>
    </w:p>
    <w:p>
      <w:pPr>
        <w:spacing w:after="0" w:line="186"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While we believe that the classic TUG test is a valid, reliable and objective test to quantify functional mobility in all age groups, we believe that a minor modification, asking patients to get up from a standardized bed, will be more appropriate for FSHD patients. We believe that the FSHD-TUG test may be more sensitive to measure treatment effects in patients with FSHD. Patients with FSHD generally have a difficult time rising from a chair and even more so from a recumbent position and this difficulty progresses over time. Patients with FSHD report that limitations in mobility and in the use of the shoulders and upper arms are the two most important areas of concern. The FSHD-TUG test may be a useful clinical outcome assessment endpoint for measurement of treatment effects of losmapimod on mobility.</w:t>
      </w:r>
    </w:p>
    <w:p>
      <w:pPr>
        <w:spacing w:after="0" w:line="198"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We are currently testing the FSHD-TUG test in comparison to the classic TUG test in a group of 22 subjects with FSHD and in 20 healthy volunteers who are age and gender matched. The subjects will have clinical severity scores of one to four on the Ricci scale. We are evaluating the subjects in five visits over approximately 12 months.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 Patient Input (Fulcrum SRA 004-2018)</w:t>
      </w:r>
    </w:p>
    <w:p>
      <w:pPr>
        <w:spacing w:after="0" w:line="225" w:lineRule="exact"/>
        <w:rPr>
          <w:sz w:val="20"/>
          <w:szCs w:val="20"/>
          <w:color w:val="auto"/>
        </w:rPr>
      </w:pPr>
    </w:p>
    <w:p>
      <w:pPr>
        <w:jc w:val="both"/>
        <w:ind w:firstLine="394"/>
        <w:spacing w:after="0" w:line="294" w:lineRule="auto"/>
        <w:rPr>
          <w:sz w:val="20"/>
          <w:szCs w:val="20"/>
          <w:color w:val="auto"/>
        </w:rPr>
      </w:pPr>
      <w:r>
        <w:rPr>
          <w:rFonts w:ascii="Arial" w:cs="Arial" w:eastAsia="Arial" w:hAnsi="Arial"/>
          <w:sz w:val="16"/>
          <w:szCs w:val="16"/>
          <w:color w:val="auto"/>
        </w:rPr>
        <w:t>We are also seeking to obtain direct patient input into the design and feasibility of our planned Phase 2b clinical trial by having approximately 100 patients with FSHD complete a survey based on their review of the proposed schedule of clinical outcome assessments for the trial. The patients will provide their views on their willingness to participate and any potential barriers to their participation in our planned Phase 2b clinical trial. We conduct these surveys during a face-to-face interview in clinics in the United States and France, via an internet survey for members of an FSHD registry in the United Kingdom and through in-person groups in Canada. We have the ability to refine the protocol for our Phase 2b clinical trial to reflect the feedback from patients.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ReSOLVE Natural History Study</w:t>
      </w:r>
    </w:p>
    <w:p>
      <w:pPr>
        <w:spacing w:after="0" w:line="225" w:lineRule="exact"/>
        <w:rPr>
          <w:sz w:val="20"/>
          <w:szCs w:val="20"/>
          <w:color w:val="auto"/>
        </w:rPr>
      </w:pPr>
    </w:p>
    <w:p>
      <w:pPr>
        <w:jc w:val="both"/>
        <w:ind w:firstLine="364"/>
        <w:spacing w:after="0" w:line="289" w:lineRule="auto"/>
        <w:rPr>
          <w:sz w:val="20"/>
          <w:szCs w:val="20"/>
          <w:color w:val="auto"/>
        </w:rPr>
      </w:pPr>
      <w:r>
        <w:rPr>
          <w:rFonts w:ascii="Arial" w:cs="Arial" w:eastAsia="Arial" w:hAnsi="Arial"/>
          <w:sz w:val="16"/>
          <w:szCs w:val="16"/>
          <w:color w:val="auto"/>
        </w:rPr>
        <w:t>The Clinical Trial Readiness to Solve Barriers to Drug Development in FSHD, or ReSOLVE study, is an ongoing natural history study funded by the NIH to help identify the patient population, efficacy biomarker and clinical outcome assessments for future FSHD drug trials. The study is being coordinated by the University of Rochester and University of Kansas Medical Center and enrolled the first subject in April 2018. The study will follow approximately 150 subjects for 18 months across a network of eight U.S. clinical centers and will evaluate multiple biomarkers and clinical outcome assessments that may be suitable for clinical trials and will evaluate patient selection criteria based on genetic, demographic or clinical characteristics. Three sites in the European Union have joined the ReSOLVE protocol and will follow approximately 70 subjects for 18 months. As of June 2019, over 140 subjects have been enrolled. We believe that the results of this natural history study will inform the design and implementation of clinical trials and will inform discussions with regulatory agencies. We also believe that this study may provide valuable insights into the timeline for disease progression and functional changes in FSHD in the absence of treatment.</w:t>
      </w:r>
    </w:p>
    <w:p>
      <w:pPr>
        <w:spacing w:after="0" w:line="172"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In connection with the ReSOLVE study, we have funded the addition of a clinical outcome assessment, which we refer to as reachable work space, or RWS. RWS is an objective assessment of upper arm function in a quantitative manner by measuring arm and shoulder mobility with and without weights. A hallmark of FSHD progression is weakness in the shoulder muscles and upper arms that eventually leads to an inability of patients to lift their arms above their shoulders. The RWS assessments are analyzed by a central reader. We have provided standardized hardware, software, and testing conditions to evaluate RWS at eight sites that are part of the ReSOLVE study in the United States and at three European sites. To date, we have collected over 300 RWS assessments in the study.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 Clinical Trial</w:t>
      </w:r>
    </w:p>
    <w:p>
      <w:pPr>
        <w:spacing w:after="0" w:line="225" w:lineRule="exact"/>
        <w:rPr>
          <w:sz w:val="20"/>
          <w:szCs w:val="20"/>
          <w:color w:val="auto"/>
        </w:rPr>
      </w:pPr>
    </w:p>
    <w:p>
      <w:pPr>
        <w:jc w:val="both"/>
        <w:ind w:firstLine="420"/>
        <w:spacing w:after="0" w:line="332" w:lineRule="auto"/>
        <w:rPr>
          <w:sz w:val="20"/>
          <w:szCs w:val="20"/>
          <w:color w:val="auto"/>
        </w:rPr>
      </w:pPr>
      <w:r>
        <w:rPr>
          <w:rFonts w:ascii="Arial" w:cs="Arial" w:eastAsia="Arial" w:hAnsi="Arial"/>
          <w:sz w:val="16"/>
          <w:szCs w:val="16"/>
          <w:color w:val="auto"/>
        </w:rPr>
        <w:t>We are conducting a randomized Phase 1 clinical trial of losmapimod in healthy adult volunteers and patients with FSHD in Europe under a CTA that we filed in December 2018. We expect that this trial will be completed in 2019. We intend to present data in the fourth quarter of 2019 at a scientific conference.</w:t>
      </w:r>
    </w:p>
    <w:p>
      <w:pPr>
        <w:spacing w:after="0" w:line="139" w:lineRule="exact"/>
        <w:rPr>
          <w:sz w:val="20"/>
          <w:szCs w:val="20"/>
          <w:color w:val="auto"/>
        </w:rPr>
      </w:pPr>
    </w:p>
    <w:p>
      <w:pPr>
        <w:jc w:val="both"/>
        <w:ind w:firstLine="405"/>
        <w:spacing w:after="0" w:line="306" w:lineRule="auto"/>
        <w:rPr>
          <w:sz w:val="20"/>
          <w:szCs w:val="20"/>
          <w:color w:val="auto"/>
        </w:rPr>
      </w:pPr>
      <w:r>
        <w:rPr>
          <w:rFonts w:ascii="Arial" w:cs="Arial" w:eastAsia="Arial" w:hAnsi="Arial"/>
          <w:sz w:val="16"/>
          <w:szCs w:val="16"/>
          <w:color w:val="auto"/>
        </w:rPr>
        <w:t>In this trial, we have dosed eight healthy volunteers with 7.5 mg of losmapimod capsules, followed by a washout period, and subsequently dosed the same volunteers with a 15 mg dose of losmapimod capsules. As part of this trial, we have also dosed two healthy volunteers with placebo capsules in both periods. Consistent with the extensive data that we in-licensed from GSK, losmapimod has been well tolerated in this trial.</w:t>
      </w:r>
    </w:p>
    <w:p>
      <w:pPr>
        <w:spacing w:after="0" w:line="161"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Following the completion of the healthy volunteer cohort, we began dosing patients with FSHD in April 2019. We plan to enroll up to 20 patients in this trial. This trial is designed to obtain safety and tolerability of losmapimod in patients with FSHD. Patients are being randomized across three arms of 7.5 mg or 15 mg of losmapimod capsules or placebo twice per day for 14 days. We also intend to compare p38a/b target engagement in skeletal muscle of patients treated with a dose of 7.5 mg and 15 mg of losmapimod twice per day relative to that of patients on placebo. We aim to confirm that 15 mg twice per day is the appropriate dose for our Phase 2 trials based on higher muscle exposures and target engagement than the 7.5 mg twice per day dose. We will measure target engagement and other biomarkers in muscle needle biopsies before and after two weeks of treatment.</w:t>
      </w:r>
    </w:p>
    <w:p>
      <w:pPr>
        <w:spacing w:after="0" w:line="174" w:lineRule="exact"/>
        <w:rPr>
          <w:sz w:val="20"/>
          <w:szCs w:val="20"/>
          <w:color w:val="auto"/>
        </w:rPr>
      </w:pPr>
    </w:p>
    <w:p>
      <w:pPr>
        <w:jc w:val="both"/>
        <w:ind w:firstLine="419"/>
        <w:spacing w:after="0" w:line="298" w:lineRule="auto"/>
        <w:rPr>
          <w:sz w:val="20"/>
          <w:szCs w:val="20"/>
          <w:color w:val="auto"/>
        </w:rPr>
      </w:pPr>
      <w:r>
        <w:rPr>
          <w:rFonts w:ascii="Arial" w:cs="Arial" w:eastAsia="Arial" w:hAnsi="Arial"/>
          <w:sz w:val="16"/>
          <w:szCs w:val="16"/>
          <w:color w:val="auto"/>
        </w:rPr>
        <w:t>We manufactured the losmapimod capsules for this trial prior to our license agreement with GSK. For our Phase 2 clinical trials, we will use losmapimod tablets that were manufactured by GSK. We confirmed that the PK of the losmapimod capsules were consistent with published data on the PK of the losmapimod tablets manufactured by GSK. In this trial, we are also confirming that the p38a/b target engagement in blood from our losmapimod capsules is consistent with the previous data on target engagement of the losmapimod tablets manufactured by GSK.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2b Clinical Trial</w:t>
      </w:r>
    </w:p>
    <w:p>
      <w:pPr>
        <w:spacing w:after="0" w:line="22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plan to initiate a randomized, double-blind, placebo-controlled Phase 2b clinical trial in approximately 66 patients with FSHD1 and clinical severity scores of two to four on the Ricci scale. In this trial, we will evaluate treatment with 15 mg of losmapimod or placebo tablets twice per day over a 24-week period. Patients will be randomized 1:1 between the treatment and placebo arms. The FDA accepted the IND for losmapimod in June 2019, and we also submitted CTAs in May 2019 to conduct the trial at sites in Europe and Canada and expect to initiate this trial in mid-2019.</w:t>
      </w:r>
    </w:p>
    <w:p>
      <w:pPr>
        <w:spacing w:after="0" w:line="167"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The primary endpoint will be the reduction of DUX4-driven gene expression in affected skeletal muscle biopsies before treatment and after approximately 16 weeks of treatment. We selected the number of patients to enroll in this trial based on the magnitude of reduction of DUX4-driven gene expression that we have observed in our preclinical studies using losmapimod concentrations similar to those measured when dosing with 15 mg twice per day in clinical trials completed by GSK.</w:t>
      </w:r>
    </w:p>
    <w:p>
      <w:pPr>
        <w:spacing w:after="0" w:line="197" w:lineRule="exact"/>
        <w:rPr>
          <w:sz w:val="20"/>
          <w:szCs w:val="20"/>
          <w:color w:val="auto"/>
        </w:rPr>
      </w:pPr>
    </w:p>
    <w:p>
      <w:pPr>
        <w:jc w:val="both"/>
        <w:ind w:firstLine="482"/>
        <w:spacing w:after="0" w:line="298" w:lineRule="auto"/>
        <w:rPr>
          <w:sz w:val="20"/>
          <w:szCs w:val="20"/>
          <w:color w:val="auto"/>
        </w:rPr>
      </w:pPr>
      <w:r>
        <w:rPr>
          <w:rFonts w:ascii="Arial" w:cs="Arial" w:eastAsia="Arial" w:hAnsi="Arial"/>
          <w:sz w:val="16"/>
          <w:szCs w:val="16"/>
          <w:color w:val="auto"/>
        </w:rPr>
        <w:t>Secondary endpoints of the trial will include evaluation of safety and tolerability in FSHD patients, PK in blood, losmapimod concentration in skeletal muscle biopsies, and p38a/b target engagement in blood and in muscle biopsies. This trial will also include evaluation of exploratory efficacy endpoints including MRI biomarkers and clinical outcome assessments. The clinical outcome assessments include centrally read RWS, FSHD-TUG test and patient-reported outcomes and muscle strength measured by quantitative dynamometry and motor function ability measurements obtained by physical therapists.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presents the design of the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148590</wp:posOffset>
            </wp:positionV>
            <wp:extent cx="5711190" cy="22898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1119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Open Label Clinical Trial</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parallel with the Phase 2b clinical trial, we also plan to initiate enrollment in mid-2019 for an open label, single site Phase 2 clinical trial of losmapimod in 16 patients with FSHD1 and clinical severity scores of two to four on the Ricci scale. Patients will receive tablets containing 15 mg of losmapimod twice per day for up to 52 weeks. The treatment period will be preceded by eight weeks of pre-treatment assessments to establish a baseline for musculoskeletal MRI biomarkers and clinical outcome assessments. We filed a CTA for this trial in April 2019 and plan to conduct the trial at one site in the Netherlands.</w:t>
      </w:r>
    </w:p>
    <w:p>
      <w:pPr>
        <w:spacing w:after="0" w:line="167" w:lineRule="exact"/>
        <w:rPr>
          <w:sz w:val="20"/>
          <w:szCs w:val="20"/>
          <w:color w:val="auto"/>
        </w:rPr>
      </w:pPr>
    </w:p>
    <w:p>
      <w:pPr>
        <w:jc w:val="both"/>
        <w:ind w:firstLine="407"/>
        <w:spacing w:after="0" w:line="254" w:lineRule="auto"/>
        <w:rPr>
          <w:sz w:val="20"/>
          <w:szCs w:val="20"/>
          <w:color w:val="auto"/>
        </w:rPr>
      </w:pPr>
      <w:r>
        <w:rPr>
          <w:rFonts w:ascii="Arial" w:cs="Arial" w:eastAsia="Arial" w:hAnsi="Arial"/>
          <w:sz w:val="18"/>
          <w:szCs w:val="18"/>
          <w:color w:val="auto"/>
        </w:rPr>
        <w:t>The primary objective is to investigate the safety and tolerability of losmapimod for chronic dosing in FSHD patients. The primary endpoints are to assess safety and tolerability over the 52-week period. The secondary endpoints are the change from baseline in pHSP27 and the ratio of pHSP27 to total HSP27 in blood and muscle for assessment of the inhibition of p38a/b during the dosing period. This trial is also designed to provide initial data regarding changes in DUX4-driven gene expression, MRI biomarkers, objective clinical outcome assessments and patient-reported outcomes that may occur at various times following initiation of treatment with losmapimod relative to the pre-treatment period. We intend to use this data to further guide our clinical development strategy for losmapimod in FSHD.</w:t>
      </w:r>
    </w:p>
    <w:p>
      <w:pPr>
        <w:spacing w:after="0" w:line="198"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We will measure DUX4-driven gene expression before and during treatment using muscle needle biopsies in affected muscles. All patients will have a pre-treatment biopsy and we will obtain a second muscle needle biopsy from each patient, with half of the patients undergoing a biopsy after four weeks of treatment and the remaining half after approximately 40 weeks of treatment.</w:t>
      </w:r>
    </w:p>
    <w:p>
      <w:pPr>
        <w:spacing w:after="0" w:line="194" w:lineRule="exact"/>
        <w:rPr>
          <w:sz w:val="20"/>
          <w:szCs w:val="20"/>
          <w:color w:val="auto"/>
        </w:rPr>
      </w:pPr>
    </w:p>
    <w:p>
      <w:pPr>
        <w:jc w:val="both"/>
        <w:ind w:firstLine="437"/>
        <w:spacing w:after="0" w:line="256" w:lineRule="auto"/>
        <w:rPr>
          <w:sz w:val="20"/>
          <w:szCs w:val="20"/>
          <w:color w:val="auto"/>
        </w:rPr>
      </w:pPr>
      <w:r>
        <w:rPr>
          <w:rFonts w:ascii="Arial" w:cs="Arial" w:eastAsia="Arial" w:hAnsi="Arial"/>
          <w:sz w:val="18"/>
          <w:szCs w:val="18"/>
          <w:color w:val="auto"/>
        </w:rPr>
        <w:t>We will measure potential losmapimod treatment effects on shoulder and upper arm function and mobility/ambulation, as well as on muscle strength and function and quality of life and activities of daily living, similar to the assessments in the Phase 2b clinical trial. The clinical outcome assessments will be RWS, FSHD-TUG, muscle strength, motor function ability and generic and FSHD-specific patient reports of quality of life and activities of daily living. There will also be an assessment of day-to-day mobility using wearable sensors.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presents the design of the Phase 2 open label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148590</wp:posOffset>
            </wp:positionV>
            <wp:extent cx="5685790" cy="23666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8579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Research</w:t>
      </w:r>
    </w:p>
    <w:p>
      <w:pPr>
        <w:spacing w:after="0" w:line="22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We engaged Clarion Healthcare, LLC to conduct market research with physicians and payors to better understand the commercial landscape and to assist in our commercial planning. A total of 14 physicians in the United States, European Union and Asia and nine payors and payor experts in the United States and European Union were surveyed. Both groups acknowledged the severity of the disease and lack of any existing therapies for patients. Physicians were asked their views on potentially prescribing a small molecule product candidate that effectively repressed DUX4 gene expression in skeletal muscle and resulted in the preservation of muscle function. Based on an April 2018 report prepared by Clarion, we believe that physicians would be receptive to prescribing a product with these qualities, subject to the efficacy and safety of the product, due to the chronic nature of the disease.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Hemoglobinopathies</w:t>
      </w:r>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Hemoglobinopathies are a category of genetic disorders affecting RBCs. We intend to develop FTX-HbF to elevate the level of fetal hemoglobin for the treatment of patients with certain hemoglobinopathies, namely sickle cell disease and for certain types of b-thalassemia.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Sickle Cell Disease</w:t>
      </w:r>
    </w:p>
    <w:p>
      <w:pPr>
        <w:spacing w:after="0" w:line="225"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Sickle cell disease is a genetic disorder of RBCs. SCD patients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 patients with SCD were hospitalized three or more times per year due to pain crises. SCD is reported to shorten patient life expectancy by approximately 20 to 30 years. Patients with SCD are primarily treated by hematologists.</w:t>
      </w:r>
    </w:p>
    <w:p>
      <w:pPr>
        <w:spacing w:after="0" w:line="167" w:lineRule="exact"/>
        <w:rPr>
          <w:sz w:val="20"/>
          <w:szCs w:val="20"/>
          <w:color w:val="auto"/>
        </w:rPr>
      </w:pPr>
    </w:p>
    <w:p>
      <w:pPr>
        <w:jc w:val="both"/>
        <w:ind w:right="20" w:firstLine="529"/>
        <w:spacing w:after="0" w:line="306" w:lineRule="auto"/>
        <w:rPr>
          <w:sz w:val="20"/>
          <w:szCs w:val="20"/>
          <w:color w:val="auto"/>
        </w:rPr>
      </w:pPr>
      <w:r>
        <w:rPr>
          <w:rFonts w:ascii="Arial" w:cs="Arial" w:eastAsia="Arial" w:hAnsi="Arial"/>
          <w:sz w:val="16"/>
          <w:szCs w:val="16"/>
          <w:color w:val="auto"/>
        </w:rPr>
        <w:t>In the United States, where newborn screening for SCD is mandatory, the estimated prevalence is approximately 100,000 individuals. In Europe, the estimated prevalence is approximately 134,000 individuals according to the European Medicines Agency, or EMA. According to the World Health Organization, the global incidence is estimated to be approximately 300,000 births annually. SCD is most prevalent in Africa and the Middle East.</w:t>
      </w:r>
    </w:p>
    <w:p>
      <w:pPr>
        <w:spacing w:after="0" w:line="16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8"/>
          <w:szCs w:val="18"/>
          <w:color w:val="auto"/>
        </w:rPr>
        <w:t>Approved drug treatments for SCD focus primarily on the management and reduction of pain episodes. The two drug treatments approved in the United States are hydroxyurea and L-glutamine.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Hydroxyurea is approved for the treatment of anemia related to SCD to reduce the frequency of painful crises and the need for blood transfusions. Hydroxyurea has a black box warning for myelosuppression and malignancy. In general, it is limited by its adverse side effects, inconsistent patient responses and concerns regarding the cytotoxic effect of the drug. L-glutamine is approved to reduce severe complications associated with the disorder. While treatment with L-glutamine decreases the mean number of pain crises, side effects include nausea, noncardiac chest pain, fatigue, and musculoskeletal pain.</w:t>
      </w:r>
    </w:p>
    <w:p>
      <w:pPr>
        <w:spacing w:after="0" w:line="167" w:lineRule="exact"/>
        <w:rPr>
          <w:sz w:val="20"/>
          <w:szCs w:val="20"/>
          <w:color w:val="auto"/>
        </w:rPr>
      </w:pPr>
    </w:p>
    <w:p>
      <w:pPr>
        <w:jc w:val="both"/>
        <w:ind w:firstLine="527"/>
        <w:spacing w:after="0" w:line="294" w:lineRule="auto"/>
        <w:rPr>
          <w:sz w:val="20"/>
          <w:szCs w:val="20"/>
          <w:color w:val="auto"/>
        </w:rPr>
      </w:pPr>
      <w:r>
        <w:rPr>
          <w:rFonts w:ascii="Arial" w:cs="Arial" w:eastAsia="Arial" w:hAnsi="Arial"/>
          <w:sz w:val="16"/>
          <w:szCs w:val="16"/>
          <w:color w:val="auto"/>
        </w:rPr>
        <w:t>Blood transfusions can be utilized to decrease the sickling of RBCs. While blood transfusions can be critical to manage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due to the difficulties of finding a suitable matching donor and the risks associated with the treatment, which include an approximately 5% mortality rate. Bone marrow transplantation is more commonly offered to pediatric patients with available sibling-matched donors.</w:t>
      </w:r>
    </w:p>
    <w:p>
      <w:pPr>
        <w:spacing w:after="0" w:line="170"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While multiple experimental approaches to treat SCD are being explored in clinical trials, the majority are focused on symptomatic relief or gene therapy approaches. Symptomatic approaches under investigation aim to affect issues associated with cell adhesion, sickling, thrombosis and iron homeostasis. We anticipate that a novel orally available therapy that affects the root cause of SCD may be used in combination with symptomatic therapeutics. Novartis AG, or Novartis, Global Blood Therapeutics, Inc. and GlycoMimetics Inc. in collaboration with Pfizer, Inc. are conducting late stage clinical trials aiming to provide symptomatic relief for patients with SCD. Several gene therapy approaches to treat SCD are focused on elevating fetal hemoglobin, however no gene therapy approaches have been approved for SCD and the efficacy, safety and durability of gene therapy approaches have yet to be established. Gene therapies need to be administered in an in-patient procedure through a bone marrow transplant, which is also referred to as a stem cell transplant or hematopoietic stem cell transplant. As part of the transplant process, the patient receives myeloablative chemotherapy which kills cells in the bone marrow in order to support the gene therapy. Despite ongoing efforts to develop gene therapies for SCD, we believe there is still a high unmet need that could be better addressed by a small molecule, oral therapy to treat the disease by increasing fetal hemoglobin.</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SCD Biology</w:t>
      </w:r>
    </w:p>
    <w:p>
      <w:pPr>
        <w:spacing w:after="0" w:line="225"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 xml:space="preserve">SCD is caused by a mutation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gene encodes a protein that is a key component of hemoglobin, a protein complex whose function is to transport oxygen in the body. Hemoglobin in adults is a complex of four proteins, two hemoglobin b-subunits and two hemoglobin a-subunits. In patients with SCD, hemoglobin is composed of two mutant b-subunits and two a-subunits and the result is the formation of abnormal hemoglobin. The result of the mutation is less efficient oxygen transport and the formation of RBCs that have a sickle shape. These sickle shaped cells are much less flexible than healthy cells and can block blood vessels (vaso-occlusion) or rupture cells (lysis), leading to pain, anemia, irreversible organ damage or even death.</w:t>
      </w:r>
    </w:p>
    <w:p>
      <w:pPr>
        <w:spacing w:after="0" w:line="170" w:lineRule="exact"/>
        <w:rPr>
          <w:sz w:val="20"/>
          <w:szCs w:val="20"/>
          <w:color w:val="auto"/>
        </w:rPr>
      </w:pPr>
    </w:p>
    <w:p>
      <w:pPr>
        <w:jc w:val="both"/>
        <w:ind w:firstLine="417"/>
        <w:spacing w:after="0" w:line="306" w:lineRule="auto"/>
        <w:rPr>
          <w:sz w:val="20"/>
          <w:szCs w:val="20"/>
          <w:color w:val="auto"/>
        </w:rPr>
      </w:pPr>
      <w:r>
        <w:rPr>
          <w:rFonts w:ascii="Arial" w:cs="Arial" w:eastAsia="Arial" w:hAnsi="Arial"/>
          <w:sz w:val="16"/>
          <w:szCs w:val="16"/>
          <w:color w:val="auto"/>
        </w:rPr>
        <w:t xml:space="preserve">During fetal development, the major form of hemoglobin is fetal hemoglobin. Similar to hemoglobin in adults, fetal hemoglobin is also a complex of four proteins, two a-subunits and two g-subunits. Shortly after birth, the genes encoding the g-subunits, the </w:t>
      </w:r>
      <w:r>
        <w:rPr>
          <w:rFonts w:ascii="Arial" w:cs="Arial" w:eastAsia="Arial" w:hAnsi="Arial"/>
          <w:sz w:val="16"/>
          <w:szCs w:val="16"/>
          <w:i w:val="1"/>
          <w:iCs w:val="1"/>
          <w:color w:val="auto"/>
        </w:rPr>
        <w:t>HBG1</w:t>
      </w:r>
      <w:r>
        <w:rPr>
          <w:rFonts w:ascii="Arial" w:cs="Arial" w:eastAsia="Arial" w:hAnsi="Arial"/>
          <w:sz w:val="16"/>
          <w:szCs w:val="16"/>
          <w:color w:val="auto"/>
        </w:rPr>
        <w:t xml:space="preserve"> and </w:t>
      </w:r>
      <w:r>
        <w:rPr>
          <w:rFonts w:ascii="Arial" w:cs="Arial" w:eastAsia="Arial" w:hAnsi="Arial"/>
          <w:sz w:val="16"/>
          <w:szCs w:val="16"/>
          <w:i w:val="1"/>
          <w:iCs w:val="1"/>
          <w:color w:val="auto"/>
        </w:rPr>
        <w:t>HBG2</w:t>
      </w:r>
      <w:r>
        <w:rPr>
          <w:rFonts w:ascii="Arial" w:cs="Arial" w:eastAsia="Arial" w:hAnsi="Arial"/>
          <w:sz w:val="16"/>
          <w:szCs w:val="16"/>
          <w:color w:val="auto"/>
        </w:rPr>
        <w:t xml:space="preserve"> genes, are silenced and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is activated. As described above, SCD is caused by a mutation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gives rise to mutated b-subunits.</w:t>
      </w:r>
    </w:p>
    <w:p>
      <w:pPr>
        <w:spacing w:after="0" w:line="161"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A small subset of individuals with the sickle cell mutation continue to produce high levels of fetal hemoglobin due to inheritance of additional genetic mutations, which is called Hereditary Persistence of Fetal Hemoglobin, or HPFH. The production of fetal hemoglobin in these individuals allows them to maintain at least 30% fetal hemoglobin. Patients with elevated fetal hemoglobin exhibit few, if any, clinical manifestations of SCD. Further, an increase of fetal hemoglobin as low as 3% over baseline in patients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without HPFH, due to either therapeutic intervention or the inheritance of other genetic traits, can result in reduced clinical manifestations of the disease.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Approach to Address the Root Cause of SCD</w:t>
      </w:r>
    </w:p>
    <w:p>
      <w:pPr>
        <w:spacing w:after="0" w:line="225"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auto"/>
        </w:rPr>
        <w:t>Our strategy to address the root cause of SCD was to identify a drug mechanism that induces expression of fetal hemoglobin. We believe that FTX-HbF may address the root cause of SCD through this mechanism of action.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Overview of </w:t>
      </w:r>
      <w:r>
        <w:rPr>
          <w:rFonts w:ascii="Arial" w:cs="Arial" w:eastAsia="Arial" w:hAnsi="Arial"/>
          <w:sz w:val="18"/>
          <w:szCs w:val="18"/>
          <w:color w:val="auto"/>
        </w:rPr>
        <w:t>b</w:t>
      </w:r>
      <w:r>
        <w:rPr>
          <w:rFonts w:ascii="Arial" w:cs="Arial" w:eastAsia="Arial" w:hAnsi="Arial"/>
          <w:sz w:val="18"/>
          <w:szCs w:val="18"/>
          <w:i w:val="1"/>
          <w:iCs w:val="1"/>
          <w:color w:val="auto"/>
        </w:rPr>
        <w:t>-Thalassemia</w:t>
      </w:r>
    </w:p>
    <w:p>
      <w:pPr>
        <w:spacing w:after="0" w:line="225" w:lineRule="exact"/>
        <w:rPr>
          <w:sz w:val="20"/>
          <w:szCs w:val="20"/>
          <w:color w:val="auto"/>
        </w:rPr>
      </w:pPr>
    </w:p>
    <w:p>
      <w:pPr>
        <w:jc w:val="both"/>
        <w:ind w:firstLine="419"/>
        <w:spacing w:after="0" w:line="303" w:lineRule="auto"/>
        <w:rPr>
          <w:sz w:val="20"/>
          <w:szCs w:val="20"/>
          <w:color w:val="auto"/>
        </w:rPr>
      </w:pPr>
      <w:r>
        <w:rPr>
          <w:rFonts w:ascii="Arial" w:cs="Arial" w:eastAsia="Arial" w:hAnsi="Arial"/>
          <w:sz w:val="15"/>
          <w:szCs w:val="15"/>
          <w:color w:val="auto"/>
        </w:rPr>
        <w:t xml:space="preserve">b-thalassemia is a rare blood disorder associated with the absence or reduced production of b-globin, which is one of the two proteins that comprise adult hemoglobin. This results in an abnormally low level of hemoglobin as well as an excess of a-globin chains that cause destruction of RBCs. The severity of the phenotype is related to the degree of imbalance between a- and non-a-globin chain synthesis. The absence of b-globin due to </w:t>
      </w:r>
      <w:r>
        <w:rPr>
          <w:rFonts w:ascii="Arial" w:cs="Arial" w:eastAsia="Arial" w:hAnsi="Arial"/>
          <w:sz w:val="15"/>
          <w:szCs w:val="15"/>
          <w:i w:val="1"/>
          <w:iCs w:val="1"/>
          <w:color w:val="auto"/>
        </w:rPr>
        <w:t>HBB</w:t>
      </w:r>
      <w:r>
        <w:rPr>
          <w:rFonts w:ascii="Arial" w:cs="Arial" w:eastAsia="Arial" w:hAnsi="Arial"/>
          <w:sz w:val="15"/>
          <w:szCs w:val="15"/>
          <w:color w:val="auto"/>
        </w:rPr>
        <w:t xml:space="preserve"> gene deletions is referred to as</w:t>
      </w:r>
    </w:p>
    <w:p>
      <w:pPr>
        <w:spacing w:after="0" w:line="1"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b</w:t>
      </w:r>
      <w:r>
        <w:rPr>
          <w:rFonts w:ascii="Arial" w:cs="Arial" w:eastAsia="Arial" w:hAnsi="Arial"/>
          <w:sz w:val="29"/>
          <w:szCs w:val="29"/>
          <w:color w:val="auto"/>
          <w:vertAlign w:val="superscript"/>
        </w:rPr>
        <w:t>0</w:t>
      </w:r>
      <w:r>
        <w:rPr>
          <w:rFonts w:ascii="Arial" w:cs="Arial" w:eastAsia="Arial" w:hAnsi="Arial"/>
          <w:sz w:val="18"/>
          <w:szCs w:val="18"/>
          <w:color w:val="auto"/>
        </w:rPr>
        <w:t xml:space="preserve"> thalassemia. Other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alterations allow some b-globin to be produced but in reduced amounts. A reduced amount of b-globin is called b</w:t>
      </w:r>
      <w:r>
        <w:rPr>
          <w:rFonts w:ascii="Arial" w:cs="Arial" w:eastAsia="Arial" w:hAnsi="Arial"/>
          <w:sz w:val="29"/>
          <w:szCs w:val="29"/>
          <w:color w:val="auto"/>
          <w:vertAlign w:val="superscript"/>
        </w:rPr>
        <w:t>+</w:t>
      </w:r>
      <w:r>
        <w:rPr>
          <w:rFonts w:ascii="Arial" w:cs="Arial" w:eastAsia="Arial" w:hAnsi="Arial"/>
          <w:sz w:val="18"/>
          <w:szCs w:val="18"/>
          <w:color w:val="auto"/>
        </w:rPr>
        <w:t>thalassemia. Many patients with b-thalassemia require chronic blood transfusions due to severe anemia that results from low hemoglobin levels, which are referred to as transfusion-dependent patients. It is estimated that 40,000 babies are born worldwide with b-thalassemia per year of whom 25,000 require blood transfusions. Patients with b-thalassemia are primarily treated by hematologists.</w:t>
      </w:r>
    </w:p>
    <w:p>
      <w:pPr>
        <w:spacing w:after="0" w:line="214" w:lineRule="exact"/>
        <w:rPr>
          <w:sz w:val="20"/>
          <w:szCs w:val="20"/>
          <w:color w:val="auto"/>
        </w:rPr>
      </w:pPr>
    </w:p>
    <w:p>
      <w:pPr>
        <w:jc w:val="both"/>
        <w:ind w:firstLine="473"/>
        <w:spacing w:after="0" w:line="302" w:lineRule="auto"/>
        <w:rPr>
          <w:sz w:val="20"/>
          <w:szCs w:val="20"/>
          <w:color w:val="auto"/>
        </w:rPr>
      </w:pPr>
      <w:r>
        <w:rPr>
          <w:rFonts w:ascii="Arial" w:cs="Arial" w:eastAsia="Arial" w:hAnsi="Arial"/>
          <w:sz w:val="15"/>
          <w:szCs w:val="15"/>
          <w:color w:val="auto"/>
        </w:rPr>
        <w:t>b-thalassemia has been clinically characterized into three forms, depending on disease severity: major, intermedia and minor. The most severe form, b-thalassemia major (also known as Cooley's anemia), is generally diagnosed shortly after birth and patients have life-threatening anemia. Pediatric patients do not grow and gain weight at the typical rates, and often have liver, heart and bone problems. Many b-thalassemia major patients require frequent blood transfusions to prevent severe anemia, a treatment that itself can cause long-term problems due to a build-up of iron in the body. b-thalassemia intermedia is a less severe form of the disease that results in mild to moderate anemia. These patients sometimes require blood transfusions depending on the severity of the symptoms. Patients with</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b-thalassemia minor suffer from very mild anemia and generally do not require treatment. Having either b</w:t>
      </w:r>
      <w:r>
        <w:rPr>
          <w:rFonts w:ascii="Arial" w:cs="Arial" w:eastAsia="Arial" w:hAnsi="Arial"/>
          <w:sz w:val="29"/>
          <w:szCs w:val="29"/>
          <w:color w:val="auto"/>
          <w:vertAlign w:val="superscript"/>
        </w:rPr>
        <w:t>0</w:t>
      </w:r>
      <w:r>
        <w:rPr>
          <w:rFonts w:ascii="Arial" w:cs="Arial" w:eastAsia="Arial" w:hAnsi="Arial"/>
          <w:sz w:val="18"/>
          <w:szCs w:val="18"/>
          <w:color w:val="auto"/>
        </w:rPr>
        <w:t xml:space="preserve"> or b</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thalassemia does not necessarily predict clinical disease severity as people with both types have been diagnosed with thalassemia major and thalassemia intermedia. Any increase in fetal hemoglobin has the potential to ameliorate the disease.</w:t>
      </w:r>
    </w:p>
    <w:p>
      <w:pPr>
        <w:spacing w:after="0" w:line="210" w:lineRule="exact"/>
        <w:rPr>
          <w:sz w:val="20"/>
          <w:szCs w:val="20"/>
          <w:color w:val="auto"/>
        </w:rPr>
      </w:pPr>
    </w:p>
    <w:p>
      <w:pPr>
        <w:jc w:val="both"/>
        <w:ind w:firstLine="361"/>
        <w:spacing w:after="0" w:line="286" w:lineRule="auto"/>
        <w:rPr>
          <w:sz w:val="20"/>
          <w:szCs w:val="20"/>
          <w:color w:val="auto"/>
        </w:rPr>
      </w:pPr>
      <w:r>
        <w:rPr>
          <w:rFonts w:ascii="Arial" w:cs="Arial" w:eastAsia="Arial" w:hAnsi="Arial"/>
          <w:sz w:val="16"/>
          <w:szCs w:val="16"/>
          <w:color w:val="auto"/>
        </w:rPr>
        <w:t>The current standard of care for many patients with b-thalassemia is frequent blood transfusions to manage anemia. The only potentially curative therapy for b-thalassemia is allogeneic hematopoietic stem cell transplant, which is associated with risks of complications, including mortality, and is limited to patients with a suitable donor. The European Commission granted conditional marketing authorization for ZYNTEGLO, a gene therapy developed by bluebird bio, Inc., or bluebird, for the treatment of adult and adolescent patients with transfusion-dependent b-thalassemia and with certain genotypes, in Europe in June 2019. bluebird announced that it plans to file a biologics license application, or BLA, in the United States in 2019. Acceleron Pharma, Inc., or Acceleron, in collaboration with Celgene Corp., or Celgene, is conducting Phase 3 clinical trials of luspatercept (ACE-536), an erythroid maturation agent. Celgene submitted a BLA for luspatercept for the treatment of adult patients with anemia associated with b-thalassemia and who require frequent transfusions. Celgene and Acceleron submitted a marketing authorization application to the EMA in the second quarter of 2019. There are also multiple other experimental approaches to treat b-thalassemia being explored in clinical trials, including approaches that use small molecule, gene therapy and gene editing approaches. Despite ongoing efforts to develop new therapies for b-thalassemia, we believe there is still a high unmet need that could be addressed by a small molecule, oral therapy to treatment the disease by increasing fetal hemoglobin.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Biology of b-Thalassemia</w:t>
      </w:r>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 xml:space="preserve">b-thalassemia is caused by genetic mutations in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The mutations interfere with the production of b-globin. Some mutations result in no b-globin being produced, while other mutations result in a decreased amount of b-globin being produced.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Approach to Address the Root Cause of b-Thalassemia</w:t>
      </w:r>
    </w:p>
    <w:p>
      <w:pPr>
        <w:spacing w:after="0" w:line="225"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7"/>
          <w:szCs w:val="17"/>
          <w:color w:val="auto"/>
        </w:rPr>
        <w:t>We believe that some types of b-thalassemia may be treated by a therapy that upregulates fetal hemoglobin. Babies born with b-thalassemia major generally do not have any symptoms shortly after birth because they have fetal hemoglobin in their blood. As the fetal hemoglobin levels decrease after birth and the b-globin fails to increase, anemia appears and the babies with b-thalassemia begin to exhibit symptoms of the disease. Patients with b-thalassemia intermedia that have higher levels of fetal hemoglobin have fewer symptoms than patients with low levels of fetal hemoglobin. We believe that FTX-HbF may be suitable for clinical development for the treatment of patients who are not b</w:t>
      </w:r>
      <w:r>
        <w:rPr>
          <w:rFonts w:ascii="Arial" w:cs="Arial" w:eastAsia="Arial" w:hAnsi="Arial"/>
          <w:sz w:val="28"/>
          <w:szCs w:val="28"/>
          <w:color w:val="auto"/>
          <w:vertAlign w:val="superscript"/>
        </w:rPr>
        <w:t>0</w:t>
      </w:r>
      <w:r>
        <w:rPr>
          <w:rFonts w:ascii="Arial" w:cs="Arial" w:eastAsia="Arial" w:hAnsi="Arial"/>
          <w:sz w:val="17"/>
          <w:szCs w:val="17"/>
          <w:color w:val="auto"/>
        </w:rPr>
        <w:t xml:space="preserve"> but who are transfusion dependent.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 Engine Identified the Drug Target for SCD and b-Thalassemia</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 xml:space="preserve">Applying our product engine, we conducted target identification and validation activities using human umbilical cord blood-derived erythroid progenitor 2, or HUDEP2, cells as a model to study fetal hemoglobin reactivation. HUDEP2 cells are immature RBCs. By screening our small molecule probe library and a CRISPR library, we identified several potential drug targets that activated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and resulted in fetal hemoglobin elevation. Each screening approach identified the same protein complex which we believe plays an important role in the expression of genes responsible for the production of fetal hemoglobin. We conducted additional validation experiments in which we observed that inhibition of several components of this complex resulted in the desired elevation of fetal hemoglobin. We also observed that inhibition of these components did not adversely affect important cell health markers.</w:t>
      </w:r>
    </w:p>
    <w:p>
      <w:pPr>
        <w:spacing w:after="0" w:line="174"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 xml:space="preserve">We selected a member of this protein complex for drug discovery activities following an assessment of its tractability as a drug target, which we refer to as the HbF drug target. The normal physiological role of the HbF drug target is to facilitate a post-translational protein modification, and the goal of our medicinal chemistry program was to optimize inhibitors of the HbF drug target. We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 engagement assays, as well as enabled X-ray crystallography, to discover and develop FTX-HbF, a novel small molecule inhibitor of the HbF drug target.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FTX-HbF</w:t>
      </w:r>
    </w:p>
    <w:p>
      <w:pPr>
        <w:spacing w:after="0" w:line="225" w:lineRule="exact"/>
        <w:rPr>
          <w:sz w:val="20"/>
          <w:szCs w:val="20"/>
          <w:color w:val="auto"/>
        </w:rPr>
      </w:pPr>
    </w:p>
    <w:p>
      <w:pPr>
        <w:jc w:val="both"/>
        <w:ind w:firstLine="474"/>
        <w:spacing w:after="0" w:line="255" w:lineRule="auto"/>
        <w:rPr>
          <w:sz w:val="20"/>
          <w:szCs w:val="20"/>
          <w:color w:val="auto"/>
        </w:rPr>
      </w:pPr>
      <w:r>
        <w:rPr>
          <w:rFonts w:ascii="Arial" w:cs="Arial" w:eastAsia="Arial" w:hAnsi="Arial"/>
          <w:sz w:val="18"/>
          <w:szCs w:val="18"/>
          <w:color w:val="auto"/>
        </w:rPr>
        <w:t xml:space="preserve">FTX-HbF, our novel small molecule that we designed to inhibit the HbF drug target and thereby elevate fetal hemoglobin, possesses properties that we believe are well aligned with preferred parameters for oral drug delivery. We studied the cellular potency and the PK data of FTX-HbF in preclinical animal models and observed that its profile would be predictive of once or twice daily oral administration. We have not observed any off-target concerns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profiling studies, and we are conducting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to evaluate FTX-HbF. We have initiated IND-enabling activities and we aim to submit an IND in mid-2020.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right="20" w:firstLine="407"/>
        <w:spacing w:after="0" w:line="259" w:lineRule="auto"/>
        <w:rPr>
          <w:sz w:val="20"/>
          <w:szCs w:val="20"/>
          <w:color w:val="auto"/>
        </w:rPr>
      </w:pPr>
      <w:r>
        <w:rPr>
          <w:rFonts w:ascii="Arial" w:cs="Arial" w:eastAsia="Arial" w:hAnsi="Arial"/>
          <w:sz w:val="18"/>
          <w:szCs w:val="18"/>
          <w:color w:val="auto"/>
        </w:rPr>
        <w:t xml:space="preserve">We have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activation of the </w:t>
      </w:r>
      <w:r>
        <w:rPr>
          <w:rFonts w:ascii="Arial" w:cs="Arial" w:eastAsia="Arial" w:hAnsi="Arial"/>
          <w:sz w:val="18"/>
          <w:szCs w:val="18"/>
          <w:i w:val="1"/>
          <w:iCs w:val="1"/>
          <w:color w:val="auto"/>
        </w:rPr>
        <w:t>HBG1/2</w:t>
      </w:r>
      <w:r>
        <w:rPr>
          <w:rFonts w:ascii="Arial" w:cs="Arial" w:eastAsia="Arial" w:hAnsi="Arial"/>
          <w:sz w:val="18"/>
          <w:szCs w:val="18"/>
          <w:color w:val="auto"/>
        </w:rPr>
        <w:t xml:space="preserve"> genes in preclinical studies with FTX-HbF. We observed that FTX-HbF elevated levels of fetal hemoglobin with minimal adverse effect on important cellular health markers. As depicted in the graphic below, we also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upregulation of fetal hemoglobin in primary human CD34+ cells differentiated into RBCs from five different human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donors after five days of drug treatment. FTX-HbF showed a significant elevation of fetal hemoglobin over baseline in each of these five cell lines.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of FTX-HbF treatment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144145</wp:posOffset>
            </wp:positionV>
            <wp:extent cx="3816350" cy="2315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1635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Additionally, we compared the effect of FTX-HbF in CD34+ derived cells relative to that of hydroxyurea. We observed that hydroxyurea had a minimal impact on fetal hemoglobin elevation, whereas we observed that FTX-HbF significantly elevated fetal hemoglobin. In cells treated with the combination of FTX-HbF and hydroxyurea, we observed an increased effect relative to either compound alone.</w:t>
      </w:r>
    </w:p>
    <w:p>
      <w:pPr>
        <w:spacing w:after="0" w:line="194"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 xml:space="preserve">In preclinical PK/PD studies in mice, we observed that blood cells had dose-dependent drug target engagement after 4.5 days of oral treatment. We believe our drug target is conserved between species, which is supported by our observation of a concomitant upregulation of the mouse embryonic globin gene under conditions where we observed drug target engagement. Since mice do not have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found in humans, we used the mouse embryonic globin gene </w:t>
      </w:r>
      <w:r>
        <w:rPr>
          <w:rFonts w:ascii="Arial" w:cs="Arial" w:eastAsia="Arial" w:hAnsi="Arial"/>
          <w:sz w:val="16"/>
          <w:szCs w:val="16"/>
          <w:i w:val="1"/>
          <w:iCs w:val="1"/>
          <w:color w:val="auto"/>
        </w:rPr>
        <w:t xml:space="preserve">hbb-bh1 </w:t>
      </w:r>
      <w:r>
        <w:rPr>
          <w:rFonts w:ascii="Arial" w:cs="Arial" w:eastAsia="Arial" w:hAnsi="Arial"/>
          <w:sz w:val="16"/>
          <w:szCs w:val="16"/>
          <w:color w:val="auto"/>
        </w:rPr>
        <w:t>as a surrogate for the human</w:t>
      </w:r>
      <w:r>
        <w:rPr>
          <w:rFonts w:ascii="Arial" w:cs="Arial" w:eastAsia="Arial" w:hAnsi="Arial"/>
          <w:sz w:val="16"/>
          <w:szCs w:val="16"/>
          <w:i w:val="1"/>
          <w:iCs w:val="1"/>
          <w:color w:val="auto"/>
        </w:rPr>
        <w:t xml:space="preserve"> HBG1/2 </w:t>
      </w:r>
      <w:r>
        <w:rPr>
          <w:rFonts w:ascii="Arial" w:cs="Arial" w:eastAsia="Arial" w:hAnsi="Arial"/>
          <w:sz w:val="16"/>
          <w:szCs w:val="16"/>
          <w:color w:val="auto"/>
        </w:rPr>
        <w:t>genes. We measured the target engagement in the mouse from whole blood. We concluded from the data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that FTX-HbF engaged the drug target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modulated the endogenous mouse globin gene expression program. The results of this study are depicted below.</w:t>
      </w:r>
    </w:p>
    <w:p>
      <w:pPr>
        <w:sectPr>
          <w:pgSz w:w="11900" w:h="16838" w:orient="portrait"/>
          <w:cols w:equalWidth="0" w:num="1">
            <w:col w:w="11420"/>
          </w:cols>
          <w:pgMar w:left="240" w:top="131" w:right="239" w:bottom="1440" w:gutter="0" w:footer="0" w:header="0"/>
        </w:sectPr>
      </w:pPr>
    </w:p>
    <w:p>
      <w:pPr>
        <w:spacing w:after="0" w:line="180" w:lineRule="exact"/>
        <w:rPr>
          <w:sz w:val="20"/>
          <w:szCs w:val="20"/>
          <w:color w:val="auto"/>
        </w:rPr>
      </w:pPr>
    </w:p>
    <w:p>
      <w:pPr>
        <w:jc w:val="center"/>
        <w:ind w:left="740"/>
        <w:spacing w:after="0"/>
        <w:rPr>
          <w:sz w:val="20"/>
          <w:szCs w:val="20"/>
          <w:color w:val="auto"/>
        </w:rPr>
      </w:pPr>
      <w:r>
        <w:rPr>
          <w:rFonts w:ascii="Arial" w:cs="Arial" w:eastAsia="Arial" w:hAnsi="Arial"/>
          <w:sz w:val="15"/>
          <w:szCs w:val="15"/>
          <w:b w:val="1"/>
          <w:bCs w:val="1"/>
          <w:color w:val="auto"/>
        </w:rPr>
        <w:t>Target engagement modification in</w:t>
      </w:r>
    </w:p>
    <w:p>
      <w:pPr>
        <w:spacing w:after="0" w:line="56"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mouse blood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161290</wp:posOffset>
            </wp:positionV>
            <wp:extent cx="2066925" cy="31127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66925" cy="311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900"/>
        <w:spacing w:after="0"/>
        <w:rPr>
          <w:sz w:val="20"/>
          <w:szCs w:val="20"/>
          <w:color w:val="auto"/>
        </w:rPr>
      </w:pPr>
      <w:r>
        <w:rPr>
          <w:rFonts w:ascii="Arial" w:cs="Arial" w:eastAsia="Arial" w:hAnsi="Arial"/>
          <w:sz w:val="15"/>
          <w:szCs w:val="15"/>
          <w:b w:val="1"/>
          <w:bCs w:val="1"/>
          <w:color w:val="auto"/>
        </w:rPr>
        <w:t>Mouse embryonic globin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465455</wp:posOffset>
            </wp:positionV>
            <wp:extent cx="2160905" cy="3061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60905" cy="306133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5940" w:space="720"/>
            <w:col w:w="47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6"/>
          <w:szCs w:val="16"/>
          <w:color w:val="auto"/>
        </w:rPr>
        <w:t>In the graphic on the left, we measured the amount of drug target engagement modification in mouse blood cells after five days of treatment. In the vehicle-treated mice, we observed maximum levels of protein modification, whereas in the FTX-HbF treated mice, we observed significantly lower levels of modification, which indicates significant target engagement. Each point represents the value for a different mouse, shown as a percent of the average vehicle-treated value. In the graphic on the right, we determined the level of mouse embryonic globin mRNA levels in mouse blood after five days of treatment. The data is from an average of four or five mice per treatment. In these studies, we used a conventional method of assessing statistical significance known as a two-tailed test. The p-value for each of the studies depicted above was 0.0005. A p-value is a conventional statistical method for measuring the statistical significance of experimental results. A p-value of less than 0.05 is generally considered to represent statistical significance, meaning that there is a less than five percent likelihood that the observed results occurred by chance.</w:t>
      </w:r>
    </w:p>
    <w:p>
      <w:pPr>
        <w:spacing w:after="0" w:line="172"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 xml:space="preserve">Additionally, we studied FTX-HbF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FTX-HbF resulted in a significant increase in </w:t>
      </w:r>
      <w:r>
        <w:rPr>
          <w:rFonts w:ascii="Arial" w:cs="Arial" w:eastAsia="Arial" w:hAnsi="Arial"/>
          <w:sz w:val="18"/>
          <w:szCs w:val="18"/>
          <w:i w:val="1"/>
          <w:iCs w:val="1"/>
          <w:color w:val="auto"/>
        </w:rPr>
        <w:t>HBG1</w:t>
      </w:r>
      <w:r>
        <w:rPr>
          <w:rFonts w:ascii="Arial" w:cs="Arial" w:eastAsia="Arial" w:hAnsi="Arial"/>
          <w:sz w:val="18"/>
          <w:szCs w:val="18"/>
          <w:color w:val="auto"/>
        </w:rPr>
        <w:t xml:space="preserve"> gene expression and HbF protein after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28 days of dosing at 5 mg/kg twice per day. Hydroxyurea did not result in a significant elevation of </w:t>
      </w:r>
      <w:r>
        <w:rPr>
          <w:rFonts w:ascii="Arial" w:cs="Arial" w:eastAsia="Arial" w:hAnsi="Arial"/>
          <w:sz w:val="16"/>
          <w:szCs w:val="16"/>
          <w:i w:val="1"/>
          <w:iCs w:val="1"/>
          <w:color w:val="auto"/>
        </w:rPr>
        <w:t>HBG1</w:t>
      </w:r>
      <w:r>
        <w:rPr>
          <w:rFonts w:ascii="Arial" w:cs="Arial" w:eastAsia="Arial" w:hAnsi="Arial"/>
          <w:sz w:val="16"/>
          <w:szCs w:val="16"/>
          <w:color w:val="auto"/>
        </w:rPr>
        <w:t xml:space="preserve"> gene expression.</w:t>
      </w:r>
    </w:p>
    <w:p>
      <w:pPr>
        <w:sectPr>
          <w:pgSz w:w="11900" w:h="16838" w:orient="portrait"/>
          <w:cols w:equalWidth="0" w:num="1">
            <w:col w:w="11420"/>
          </w:cols>
          <w:pgMar w:left="240" w:top="131" w:right="239" w:bottom="1440" w:gutter="0" w:footer="0" w:header="0"/>
        </w:sectPr>
      </w:pPr>
    </w:p>
    <w:p>
      <w:pPr>
        <w:spacing w:after="0" w:line="242" w:lineRule="exact"/>
        <w:rPr>
          <w:sz w:val="20"/>
          <w:szCs w:val="20"/>
          <w:color w:val="auto"/>
        </w:rPr>
      </w:pPr>
    </w:p>
    <w:p>
      <w:pPr>
        <w:jc w:val="center"/>
        <w:ind w:left="800"/>
        <w:spacing w:after="0"/>
        <w:rPr>
          <w:sz w:val="20"/>
          <w:szCs w:val="20"/>
          <w:color w:val="auto"/>
        </w:rPr>
      </w:pPr>
      <w:r>
        <w:rPr>
          <w:rFonts w:ascii="Arial" w:cs="Arial" w:eastAsia="Arial" w:hAnsi="Arial"/>
          <w:sz w:val="15"/>
          <w:szCs w:val="15"/>
          <w:b w:val="1"/>
          <w:bCs w:val="1"/>
          <w:color w:val="auto"/>
        </w:rPr>
        <w:t>HBG1 mRNA levels in Townes mouse</w:t>
      </w:r>
    </w:p>
    <w:p>
      <w:pPr>
        <w:spacing w:after="0" w:line="56"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treated with FTX-HbF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255905</wp:posOffset>
            </wp:positionV>
            <wp:extent cx="2684145" cy="22726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84145" cy="2272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2020"/>
        <w:spacing w:after="0"/>
        <w:rPr>
          <w:sz w:val="20"/>
          <w:szCs w:val="20"/>
          <w:color w:val="auto"/>
        </w:rPr>
      </w:pPr>
      <w:r>
        <w:rPr>
          <w:rFonts w:ascii="Arial" w:cs="Arial" w:eastAsia="Arial" w:hAnsi="Arial"/>
          <w:sz w:val="15"/>
          <w:szCs w:val="15"/>
          <w:b w:val="1"/>
          <w:bCs w:val="1"/>
          <w:color w:val="auto"/>
        </w:rPr>
        <w:t>HbF protein levels in Townes mouse</w:t>
      </w:r>
    </w:p>
    <w:p>
      <w:pPr>
        <w:spacing w:after="0" w:line="56" w:lineRule="exact"/>
        <w:rPr>
          <w:sz w:val="20"/>
          <w:szCs w:val="20"/>
          <w:color w:val="auto"/>
        </w:rPr>
      </w:pPr>
    </w:p>
    <w:p>
      <w:pPr>
        <w:jc w:val="center"/>
        <w:ind w:right="2020"/>
        <w:spacing w:after="0"/>
        <w:rPr>
          <w:sz w:val="20"/>
          <w:szCs w:val="20"/>
          <w:color w:val="auto"/>
        </w:rPr>
      </w:pPr>
      <w:r>
        <w:rPr>
          <w:rFonts w:ascii="Arial" w:cs="Arial" w:eastAsia="Arial" w:hAnsi="Arial"/>
          <w:sz w:val="18"/>
          <w:szCs w:val="18"/>
          <w:b w:val="1"/>
          <w:bCs w:val="1"/>
          <w:color w:val="auto"/>
        </w:rPr>
        <w:t>treated with FTX-HbF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161290</wp:posOffset>
            </wp:positionV>
            <wp:extent cx="2778760" cy="23666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78760" cy="2366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72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418"/>
        <w:spacing w:after="0" w:line="294" w:lineRule="auto"/>
        <w:rPr>
          <w:sz w:val="20"/>
          <w:szCs w:val="20"/>
          <w:color w:val="auto"/>
        </w:rPr>
      </w:pPr>
      <w:r>
        <w:rPr>
          <w:rFonts w:ascii="Arial" w:cs="Arial" w:eastAsia="Arial" w:hAnsi="Arial"/>
          <w:sz w:val="16"/>
          <w:szCs w:val="16"/>
          <w:color w:val="auto"/>
        </w:rPr>
        <w:t>In the graphic on the left, we determined the level of human HBG1 mRNA for the four treatment conditions from mouse blood, shown as a percentage of vehicle-alone-treated SCD mice. In the graphic on the right, we determined the level of human HbF protein for the four treatment conditions, shown as a percentage of vehicle-alone-treated SCD mice. Each value represents the mean value from five or six mice per treatment after 28 days of treatment. In these studies, we used a conventional method of assessing statistical significance known as a one-way analysis of variance, or ANOVA. The p-value for the study depicted on the left was less than 0.0001 and the p-value for the study depicted on the right was less than 0.001.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Development Plan for FTX-HbF</w:t>
      </w:r>
    </w:p>
    <w:p>
      <w:pPr>
        <w:spacing w:after="0" w:line="225"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We are currently conducting IND-enabling studies and intend to submit an IND for FTX-HbF in mid-2020. We intend to initiate a Phase 1 clinical trial of FTX-HbF in healthy volunteers in late 2020. The Phase 1 trial will be designed to investigate the safety and tolerability of single and multiple ascending doses of FTX-HbF and to define the relationship between PK and target engagement in blood.</w:t>
      </w:r>
    </w:p>
    <w:p>
      <w:pPr>
        <w:spacing w:after="0" w:line="194" w:lineRule="exact"/>
        <w:rPr>
          <w:sz w:val="20"/>
          <w:szCs w:val="20"/>
          <w:color w:val="auto"/>
        </w:rPr>
      </w:pPr>
    </w:p>
    <w:p>
      <w:pPr>
        <w:jc w:val="both"/>
        <w:ind w:firstLine="377"/>
        <w:spacing w:after="0" w:line="313" w:lineRule="auto"/>
        <w:rPr>
          <w:sz w:val="20"/>
          <w:szCs w:val="20"/>
          <w:color w:val="auto"/>
        </w:rPr>
      </w:pPr>
      <w:r>
        <w:rPr>
          <w:rFonts w:ascii="Arial" w:cs="Arial" w:eastAsia="Arial" w:hAnsi="Arial"/>
          <w:sz w:val="16"/>
          <w:szCs w:val="16"/>
          <w:color w:val="auto"/>
        </w:rPr>
        <w:t>Following completion of the Phase 1 trial, we would consider a parallel development path in SCD and b-thalassemia. We expect that our target SCD patient population will be adult SCD patients with inadequate disease control and that concomitant use of hydroxyurea and/or L-glutamine will be allowed when available. We expect that our target b-thalassemia patient population will be adult b-thalassemia patients who are not b</w:t>
      </w:r>
      <w:r>
        <w:rPr>
          <w:rFonts w:ascii="Arial" w:cs="Arial" w:eastAsia="Arial" w:hAnsi="Arial"/>
          <w:sz w:val="26"/>
          <w:szCs w:val="26"/>
          <w:color w:val="auto"/>
          <w:vertAlign w:val="superscript"/>
        </w:rPr>
        <w:t>0</w:t>
      </w:r>
      <w:r>
        <w:rPr>
          <w:rFonts w:ascii="Arial" w:cs="Arial" w:eastAsia="Arial" w:hAnsi="Arial"/>
          <w:sz w:val="16"/>
          <w:szCs w:val="16"/>
          <w:color w:val="auto"/>
        </w:rPr>
        <w:t xml:space="preserve"> but are transfusion-dependent.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Screening Programs</w:t>
      </w:r>
    </w:p>
    <w:p>
      <w:pPr>
        <w:spacing w:after="0" w:line="231"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We have leveraged our proprietary product engine to discover targets that we are pursuing with small molecules for FSHD and SCD and b-thalassemia. We are leveraging the broad applicability of our product engine to discover drug targets for other rare, genetically defined diseases across neuromuscular and CNS diseases. We plan to complete four additional screens in 2019. These four diseases and our approach to identifying targets to address the root cause of each disease are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130810</wp:posOffset>
            </wp:positionV>
            <wp:extent cx="5556885" cy="951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5688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92"/>
        <w:spacing w:after="0" w:line="298" w:lineRule="auto"/>
        <w:rPr>
          <w:sz w:val="20"/>
          <w:szCs w:val="20"/>
          <w:color w:val="auto"/>
        </w:rPr>
      </w:pPr>
      <w:r>
        <w:rPr>
          <w:rFonts w:ascii="Arial" w:cs="Arial" w:eastAsia="Arial" w:hAnsi="Arial"/>
          <w:sz w:val="16"/>
          <w:szCs w:val="16"/>
          <w:color w:val="auto"/>
        </w:rPr>
        <w:t>We currently plan to conduct six additional screens in 2020, and we are undergoing a rigorous disease assessment and selection process. Although we believe our product engine and screening efforts are robust and have a high likelihood of identifying drug targets for each new screen area, we intend to focus on advancing the most attractive targets and development candidates identified from our screening efforts for development. We may also selectively consider external partnerships for those areas that may be more appropriate for a partner to advance.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225"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auto"/>
        </w:rPr>
        <w:t>Duchenne muscular dystrophy, or DMD, is the most common childhood-onset muscular dystrophy with a prevalence of approximately one out of every 3,500 male births. Patients usually are diagnosed before five years of age and typically require the use of wheelchairs before their teens. Life-threatening cardiac and respiratory complications result in a life expectancy of 20-30 years without any treatment. Currently, management of these complications by standard of care treatment (</w:t>
      </w:r>
      <w:r>
        <w:rPr>
          <w:rFonts w:ascii="Arial" w:cs="Arial" w:eastAsia="Arial" w:hAnsi="Arial"/>
          <w:sz w:val="16"/>
          <w:szCs w:val="16"/>
          <w:i w:val="1"/>
          <w:iCs w:val="1"/>
          <w:color w:val="auto"/>
        </w:rPr>
        <w:t>e.g.</w:t>
      </w:r>
      <w:r>
        <w:rPr>
          <w:rFonts w:ascii="Arial" w:cs="Arial" w:eastAsia="Arial" w:hAnsi="Arial"/>
          <w:sz w:val="16"/>
          <w:szCs w:val="16"/>
          <w:color w:val="auto"/>
        </w:rPr>
        <w:t xml:space="preserve">, corticosteroids) can extend life expectancy, however, there are no approved disease-modifying therapies. This X-chromosome linked disease is caused by mutations in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resulting in the loss of expression or function of the protein dystrophin. Dystrophin is an integral component of a large multiprotein complex that functions by linking the sarcolemma (the plasma membrane in muscle fibers) with the cytoskeleton and other motor machinery. In the absence of dystrophin, progressive muscle fiber degeneration results in loss of function and clinical manifestation of the disease.</w:t>
      </w:r>
    </w:p>
    <w:p>
      <w:pPr>
        <w:spacing w:after="0" w:line="172" w:lineRule="exact"/>
        <w:rPr>
          <w:sz w:val="20"/>
          <w:szCs w:val="20"/>
          <w:color w:val="auto"/>
        </w:rPr>
      </w:pPr>
    </w:p>
    <w:p>
      <w:pPr>
        <w:jc w:val="both"/>
        <w:ind w:right="20" w:firstLine="469"/>
        <w:spacing w:after="0" w:line="306" w:lineRule="auto"/>
        <w:rPr>
          <w:sz w:val="20"/>
          <w:szCs w:val="20"/>
          <w:color w:val="auto"/>
        </w:rPr>
      </w:pPr>
      <w:r>
        <w:rPr>
          <w:rFonts w:ascii="Arial" w:cs="Arial" w:eastAsia="Arial" w:hAnsi="Arial"/>
          <w:sz w:val="16"/>
          <w:szCs w:val="16"/>
          <w:color w:val="auto"/>
        </w:rPr>
        <w:t>Our goal is to apply our product engine to identify drug targets to increase the expression of utrophin, a dystrophin-related protein, that can replace the function of dystrophin in the membrane and address the dysfunction due to damaged muscle fibers. Utrophin is normally expressed in other tissues and studies have shown that higher levels of this protein result in functional improvements in animal models of the disease.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Friedreich Ataxia</w:t>
      </w:r>
    </w:p>
    <w:p>
      <w:pPr>
        <w:spacing w:after="0" w:line="225"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 xml:space="preserve">Friedreich ataxia, or FA, a neuromuscular disorder affecting about one out of every 40,000 people, is the most common hereditary ataxia, with a typical age of onset between 10 and 15 years. The progressive impaired muscle coordination, ataxia, is caused by the degeneration of neurons in the cerebellum and dorsal root ganglia in the spinal cord. FA patients also commonly suffer from life-threatening heart conditions such as hypertrophic cardiomyopathy, myocardial fibrosis and heart failure. There are no approved disease-modifying therapies. The genetic root cause of FA is an expansion of a sequence in the frataxin gene, </w:t>
      </w:r>
      <w:r>
        <w:rPr>
          <w:rFonts w:ascii="Arial" w:cs="Arial" w:eastAsia="Arial" w:hAnsi="Arial"/>
          <w:sz w:val="18"/>
          <w:szCs w:val="18"/>
          <w:i w:val="1"/>
          <w:iCs w:val="1"/>
          <w:color w:val="auto"/>
        </w:rPr>
        <w:t>FXN,</w:t>
      </w:r>
      <w:r>
        <w:rPr>
          <w:rFonts w:ascii="Arial" w:cs="Arial" w:eastAsia="Arial" w:hAnsi="Arial"/>
          <w:sz w:val="18"/>
          <w:szCs w:val="18"/>
          <w:color w:val="auto"/>
        </w:rPr>
        <w:t xml:space="preserve"> which causes its downregulation. Loss of function of frataxin, an important protein involved in iron metabolism, results in oxidative stress and mitochondrial dysfunction.</w:t>
      </w:r>
    </w:p>
    <w:p>
      <w:pPr>
        <w:spacing w:after="0" w:line="198"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Our goal is to apply our product engine to identify drug targets that can upregulate the levels of frataxin protein to levels that will impact and restore function to prevent neuronal and cardiac cell degeneration.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Myotonic Dystrophy 1</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Myotonic dystrophy 1, or DM1, is the most common adult-onset muscular dystrophy affecting about one out of every 8,000 people, with a typical age of onset between 20 and 40 years. It is characterized by muscle weakness and myotonia. Cardiopulmonary complications when present can be life-threatening and current treatments are directed toward managing these complications. There are no approved disease-modifying therapies. DM1 is caused by expansion of a triple nucleotide repeat present in the non-coding region of the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and are part of its mature transcript. More than 50 cytosine-thymine-guanine repeats are usually associated with pathology and disease severity is proportional to the number of repeats, which can expand to over 4,000. The accumulation of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transcripts containing long repeats result in the sequestration of proteins important for the correct splicing of important transcripts participating in the function of skeletal and cardiac muscle and other tissues.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 xml:space="preserve">Our goal is to apply our product engine to identify drug targets that may lead to downregulation of the expression of the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in order to reduce the levels of the pathological repeats and improve muscle function. Reduction of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expression in DM1 models has been shown to reduce aberrant splicing and to be well tolerated.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a-Synucleinopathies</w:t>
      </w:r>
    </w:p>
    <w:p>
      <w:pPr>
        <w:spacing w:after="0" w:line="225" w:lineRule="exact"/>
        <w:rPr>
          <w:sz w:val="20"/>
          <w:szCs w:val="20"/>
          <w:color w:val="auto"/>
        </w:rPr>
      </w:pPr>
    </w:p>
    <w:p>
      <w:pPr>
        <w:jc w:val="both"/>
        <w:ind w:firstLine="390"/>
        <w:spacing w:after="0" w:line="290" w:lineRule="auto"/>
        <w:rPr>
          <w:sz w:val="20"/>
          <w:szCs w:val="20"/>
          <w:color w:val="auto"/>
        </w:rPr>
      </w:pPr>
      <w:r>
        <w:rPr>
          <w:rFonts w:ascii="Arial" w:cs="Arial" w:eastAsia="Arial" w:hAnsi="Arial"/>
          <w:sz w:val="16"/>
          <w:szCs w:val="16"/>
          <w:color w:val="auto"/>
        </w:rPr>
        <w:t xml:space="preserve">In rare cases, a-Synucleinopathies result from point mutations and multiplications in the </w:t>
      </w:r>
      <w:r>
        <w:rPr>
          <w:rFonts w:ascii="Arial" w:cs="Arial" w:eastAsia="Arial" w:hAnsi="Arial"/>
          <w:sz w:val="16"/>
          <w:szCs w:val="16"/>
          <w:i w:val="1"/>
          <w:iCs w:val="1"/>
          <w:color w:val="auto"/>
        </w:rPr>
        <w:t>SNCA</w:t>
      </w:r>
      <w:r>
        <w:rPr>
          <w:rFonts w:ascii="Arial" w:cs="Arial" w:eastAsia="Arial" w:hAnsi="Arial"/>
          <w:sz w:val="16"/>
          <w:szCs w:val="16"/>
          <w:color w:val="auto"/>
        </w:rPr>
        <w:t xml:space="preserve"> gene that encodes the protein a-synuclein. Familial forms of Parkinson's disease can result from these mutations and multiplications in the </w:t>
      </w:r>
      <w:r>
        <w:rPr>
          <w:rFonts w:ascii="Arial" w:cs="Arial" w:eastAsia="Arial" w:hAnsi="Arial"/>
          <w:sz w:val="16"/>
          <w:szCs w:val="16"/>
          <w:i w:val="1"/>
          <w:iCs w:val="1"/>
          <w:color w:val="auto"/>
        </w:rPr>
        <w:t>SNCA</w:t>
      </w:r>
      <w:r>
        <w:rPr>
          <w:rFonts w:ascii="Arial" w:cs="Arial" w:eastAsia="Arial" w:hAnsi="Arial"/>
          <w:sz w:val="16"/>
          <w:szCs w:val="16"/>
          <w:color w:val="auto"/>
        </w:rPr>
        <w:t xml:space="preserve"> gene. Parkinson's disease is a common progressive neurodegenerative disease characterized by movement disorders such as bradykinesia, rigidity and tremor. Genome wide association studies have linked single nucleotide polymorphisms in </w:t>
      </w:r>
      <w:r>
        <w:rPr>
          <w:rFonts w:ascii="Arial" w:cs="Arial" w:eastAsia="Arial" w:hAnsi="Arial"/>
          <w:sz w:val="16"/>
          <w:szCs w:val="16"/>
          <w:i w:val="1"/>
          <w:iCs w:val="1"/>
          <w:color w:val="auto"/>
        </w:rPr>
        <w:t xml:space="preserve">SNCA </w:t>
      </w:r>
      <w:r>
        <w:rPr>
          <w:rFonts w:ascii="Arial" w:cs="Arial" w:eastAsia="Arial" w:hAnsi="Arial"/>
          <w:sz w:val="16"/>
          <w:szCs w:val="16"/>
          <w:color w:val="auto"/>
        </w:rPr>
        <w:t>with increased risk of Parkinson's disease. These mutations have been shown to increase levels of pathological, aggregated a-synuclein, leading to the loss</w:t>
      </w:r>
      <w:r>
        <w:rPr>
          <w:rFonts w:ascii="Arial" w:cs="Arial" w:eastAsia="Arial" w:hAnsi="Arial"/>
          <w:sz w:val="16"/>
          <w:szCs w:val="16"/>
          <w:i w:val="1"/>
          <w:iCs w:val="1"/>
          <w:color w:val="auto"/>
        </w:rPr>
        <w:t xml:space="preserve"> </w:t>
      </w:r>
      <w:r>
        <w:rPr>
          <w:rFonts w:ascii="Arial" w:cs="Arial" w:eastAsia="Arial" w:hAnsi="Arial"/>
          <w:sz w:val="16"/>
          <w:szCs w:val="16"/>
          <w:color w:val="auto"/>
        </w:rPr>
        <w:t>of midbrain dopaminergic neurons important for motor control. Abnormal deposits of a-synuclein protein, or Lewy bodies, are the characteristic histological signature of Parkinson's disease at autopsy. According to the Parkinson's Foundation, nearly one million people will be living with Parkinson's disease in the United States by 2020.</w:t>
      </w:r>
    </w:p>
    <w:p>
      <w:pPr>
        <w:spacing w:after="0" w:line="172"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Our goal is to use our product engine to identify drug targets for genetically defined a-synucleinopathies that may lead to reduction in a-synuclein levels in the most relevant cell type for Parkinson's disease—dopaminergic neurons. Our goal is to lower the overall a-synuclein load in the brain of patients with sporadic or genetic a-synucleinopathies by starting treatment early in their disease course to prevent further a-synuclein-dependent neurodegeneration, thus representing a potential disease-modifying approach across all a-synucleinopathies.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Reference and License Agreement with GlaxoSmithKline</w:t>
      </w:r>
    </w:p>
    <w:p>
      <w:pPr>
        <w:spacing w:after="0" w:line="231"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In February 2019, we entered into a right of reference and license agreement with affiliates of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reference and license agreement. The agreement obligates us to use commercially reasonable efforts to develop and commercialize a licensed product for the treatment of FSHD.</w:t>
      </w:r>
    </w:p>
    <w:p>
      <w:pPr>
        <w:spacing w:after="0" w:line="174"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8"/>
          <w:szCs w:val="18"/>
          <w:color w:val="auto"/>
        </w:rPr>
        <w:t>The agreement grants us an exclusive, sublicensable license under the licensed patent rights and data rights to research, develop and commercialize losmapimod or any product containing losmapimod as an API, which we refer to as a licensed product, to treat disease in humans. GSK retained the right, without the right to grant sublicenses, to conduct nonclinical research under the licensed patents and data rights and, with our consent, GSK may engage in certain developmental activities relating to the use of a licensed product in connection with a specified prophylactic use. GSK also agreed to and has since transferred to us its existing manufactured supply of losmapimod.</w:t>
      </w:r>
    </w:p>
    <w:p>
      <w:pPr>
        <w:spacing w:after="0" w:line="197"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color w:val="auto"/>
        </w:rPr>
        <w:t>Under the agreement, we will be obligated to make milestone payments to GSK aggregating up to $37.5 million upon the achievement of specified clinical and regulatory milestones with respect to the first licensed product to achieve such milestones, and up to $60.0 million upon the achievement of one-time aggregate annual worldwide net sales milestones. We will also be obligated to pay royalties ranging from a mid single-digit percentage to a low double-digit, but less than teens, percentage to GSK based on our, and any of our affiliates' and sublicensees', annual net sales of licensed products. The royalties are payable on a product-by-product and country-by-country basis, and may be reduced in specified circumstances.</w:t>
      </w:r>
    </w:p>
    <w:p>
      <w:pPr>
        <w:spacing w:after="0" w:line="17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Our obligation to make royalty payments extends with respect to a licensed product in a country until the earlier of the approval of a generic version of such licensed product by the applicable regulatory agency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such country or the tenth anniversary of the first commercial sale of such licensed product in such country, which we refer to as the royalty term. Following the expiration of any exclusive marketing rights or data exclusivity rights granted by a regulatory authority, other than patent rights, for any licensed product on a country-by-country basis, the applicable royalty rate will be reduced. Additionally, if we or our affiliates or sublicensees determine that it is necessary to obtain a license from a third party under any patent rights to exploit a licensed product in a country, then we may deduct a certain percentage of the license fees under such third party license payable by us to the third party from the royalty payment that would otherwise be due to GSK in such country.</w:t>
      </w:r>
    </w:p>
    <w:p>
      <w:pPr>
        <w:spacing w:after="0" w:line="170" w:lineRule="exact"/>
        <w:rPr>
          <w:sz w:val="20"/>
          <w:szCs w:val="20"/>
          <w:color w:val="auto"/>
        </w:rPr>
      </w:pPr>
    </w:p>
    <w:p>
      <w:pPr>
        <w:jc w:val="both"/>
        <w:ind w:firstLine="354"/>
        <w:spacing w:after="0" w:line="255" w:lineRule="auto"/>
        <w:rPr>
          <w:sz w:val="20"/>
          <w:szCs w:val="20"/>
          <w:color w:val="auto"/>
        </w:rPr>
      </w:pPr>
      <w:r>
        <w:rPr>
          <w:rFonts w:ascii="Arial" w:cs="Arial" w:eastAsia="Arial" w:hAnsi="Arial"/>
          <w:sz w:val="18"/>
          <w:szCs w:val="18"/>
          <w:color w:val="auto"/>
        </w:rPr>
        <w:t>If, prior to our completion of the first Phase 2 clinical trial for a licensed product, we wish to sublicense any of the licensed patent or data rights granted to us under the agreement to any third party outside of the United States, we must notify GSK of the terms on which we propose to grant such sublicense. GSK has the right to enter into negotiations with us for such sublicense, and if GSK so elects, then we must negotiate in good faith with GSK for a prescribed period. If we and GSK do not agree to a sublicense of the relevant rights, we may sublicense the relevant rights to the third party on terms no less favorable than any terms offered to us by GSK.</w:t>
      </w:r>
    </w:p>
    <w:p>
      <w:pPr>
        <w:spacing w:after="0" w:line="197"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The agreement continues on a country-by-country and licensed product-by-licensed product basis until the expiration of the royalty term in each country, at which time the agreement expires with respect to such licensed product in such country and we shall have a fully-paid up, royalty-free and perpetual license to the licensed patent rights and data with respect to such licensed product in such country. Either party has the right to terminate the agreement if the other party has materially breached in the performance of its obligations under the agreement and such breach has not been cured within the applicable cure period.</w:t>
      </w:r>
    </w:p>
    <w:p>
      <w:pPr>
        <w:spacing w:after="0" w:line="167"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also agreed to provide GSK the opportunity to purchase shares of common stock in connection with this offering equal to the proportion that the shares of common stock held by GSK (assuming conversion of all preferred stock into common stock upon consummation of this offering) bear to the total number of shares of common stock immediately prior to the closing of this offering (assuming conversion of all preferred stock into common stock upon consummation of this offering and all outstanding options). If GSK exercises its rights to purchase shares of common stock in connection with this offering, subject to certain conditions, GSK may purchase shares offered in this offering or may purchase shares of common stock in a private placement that is expected to close concurrently with this offering, in each case at the initial per share public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firstLine="506"/>
        <w:spacing w:after="0" w:line="306" w:lineRule="auto"/>
        <w:rPr>
          <w:sz w:val="20"/>
          <w:szCs w:val="20"/>
          <w:color w:val="auto"/>
        </w:rPr>
      </w:pPr>
      <w:r>
        <w:rPr>
          <w:rFonts w:ascii="Arial" w:cs="Arial" w:eastAsia="Arial" w:hAnsi="Arial"/>
          <w:sz w:val="16"/>
          <w:szCs w:val="16"/>
          <w:color w:val="auto"/>
        </w:rPr>
        <w:t>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161" w:lineRule="exact"/>
        <w:rPr>
          <w:sz w:val="20"/>
          <w:szCs w:val="20"/>
          <w:color w:val="auto"/>
        </w:rPr>
      </w:pPr>
    </w:p>
    <w:p>
      <w:pPr>
        <w:jc w:val="both"/>
        <w:ind w:firstLine="426"/>
        <w:spacing w:after="0" w:line="294" w:lineRule="auto"/>
        <w:rPr>
          <w:sz w:val="20"/>
          <w:szCs w:val="20"/>
          <w:color w:val="auto"/>
        </w:rPr>
      </w:pPr>
      <w:r>
        <w:rPr>
          <w:rFonts w:ascii="Arial" w:cs="Arial" w:eastAsia="Arial" w:hAnsi="Arial"/>
          <w:sz w:val="16"/>
          <w:szCs w:val="16"/>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170"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 issued, and its scope can be reinterpreted and 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170" w:lineRule="exact"/>
        <w:rPr>
          <w:sz w:val="20"/>
          <w:szCs w:val="20"/>
          <w:color w:val="auto"/>
        </w:rPr>
      </w:pPr>
    </w:p>
    <w:p>
      <w:pPr>
        <w:jc w:val="both"/>
        <w:ind w:firstLine="418"/>
        <w:spacing w:after="0" w:line="306" w:lineRule="auto"/>
        <w:rPr>
          <w:sz w:val="20"/>
          <w:szCs w:val="20"/>
          <w:color w:val="auto"/>
        </w:rPr>
      </w:pPr>
      <w:r>
        <w:rPr>
          <w:rFonts w:ascii="Arial" w:cs="Arial" w:eastAsia="Arial" w:hAnsi="Arial"/>
          <w:sz w:val="16"/>
          <w:szCs w:val="16"/>
          <w:color w:val="auto"/>
        </w:rPr>
        <w:t>We generally file patent applications directed to our key programs in an effort to secure our intellectual property positions vis-a-vis these programs. As of June 15, 2019, we owned one allowed U.S. patent application, one U.S. pending non-provisional patent application, four foreign pending patent applications, three pending Patent Cooperation Treaty, or PCT, applications and four U.S. provisional patent applications.</w:t>
      </w:r>
    </w:p>
    <w:p>
      <w:pPr>
        <w:spacing w:after="0" w:line="16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intellectual property portfolio for our most advanced programs as of June 15, 2019,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Losmapimod and Derivatives</w:t>
      </w:r>
    </w:p>
    <w:p>
      <w:pPr>
        <w:spacing w:after="0" w:line="225" w:lineRule="exact"/>
        <w:rPr>
          <w:sz w:val="20"/>
          <w:szCs w:val="20"/>
          <w:color w:val="auto"/>
        </w:rPr>
      </w:pPr>
    </w:p>
    <w:p>
      <w:pPr>
        <w:jc w:val="both"/>
        <w:ind w:firstLine="352"/>
        <w:spacing w:after="0" w:line="286" w:lineRule="auto"/>
        <w:rPr>
          <w:sz w:val="20"/>
          <w:szCs w:val="20"/>
          <w:color w:val="auto"/>
        </w:rPr>
      </w:pPr>
      <w:r>
        <w:rPr>
          <w:rFonts w:ascii="Arial" w:cs="Arial" w:eastAsia="Arial" w:hAnsi="Arial"/>
          <w:sz w:val="16"/>
          <w:szCs w:val="16"/>
          <w:color w:val="auto"/>
        </w:rPr>
        <w:t>The patent portfolio for losmapimod is based upon Fulcrum-owned patent applications and in-licensed patents directed to new methods of using losmapimod and other p38 inhibitors to treat FSHD, pharmaceutical compositions generically and specifically covering p38 inhibitors, and methods for identifying novel compositions to treat FSHD. As of June 15, 2019, we owned one allowed U.S. patent application, one U.S. pending non-provisional patent application, four foreign patent applications filed in Taiwan, Uruguay, Venezuela and Argentina and three pending PCT applications relating to our p38a/b program, primarily relating to methods of using losmapimod and certain other p38 inhibitors for the treatment of FSHD. On June 19, 2019, we were notified by the USPTO that a patent covering the use of losmapimod for the treatment of patients with FSHD will issue to us on July 9, 2019. We own the patent application relating to this patent and, once issued, we will own the patent. While we believe that the specific and generic claims contained in our allowed U.S. patent application provide protection for the method of using losmapimod for the treatment of FSHD, and is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 Any U.S. or ex-U.S. patents that may issue from pending applications that we own, if any, for our p38a/b program are projected to have a statutory expiration date in 2038, excluding any additional term for patent term adjustments or patent term extension, if applicable.</w:t>
      </w:r>
    </w:p>
    <w:p>
      <w:pPr>
        <w:spacing w:after="0" w:line="178"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Losmapimod is currently protected by patents owned by GSK (as a composition of matter and certain uses which do not include FSHD) and certain of these patents are licensed to us. As soon as the patents covering the composition of matter expire on February 10, 2023, or are no longer in-force, the GSK-licensed patents will no longer be a barrier to entry for any unclaimed new uses, including FSHD. Even during the term of these composition of matter patents, losmapimod can still be developed in the meantime in certain geographies, including in the United States, under safe harbor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FTX-HbF</w:t>
      </w:r>
    </w:p>
    <w:p>
      <w:pPr>
        <w:spacing w:after="0" w:line="225" w:lineRule="exact"/>
        <w:rPr>
          <w:sz w:val="20"/>
          <w:szCs w:val="20"/>
          <w:color w:val="auto"/>
        </w:rPr>
      </w:pPr>
    </w:p>
    <w:p>
      <w:pPr>
        <w:jc w:val="both"/>
        <w:ind w:firstLine="341"/>
        <w:spacing w:after="0" w:line="332" w:lineRule="auto"/>
        <w:rPr>
          <w:sz w:val="20"/>
          <w:szCs w:val="20"/>
          <w:color w:val="auto"/>
        </w:rPr>
      </w:pPr>
      <w:r>
        <w:rPr>
          <w:rFonts w:ascii="Arial" w:cs="Arial" w:eastAsia="Arial" w:hAnsi="Arial"/>
          <w:sz w:val="16"/>
          <w:szCs w:val="16"/>
          <w:color w:val="auto"/>
        </w:rPr>
        <w:t>As of June 15, 2019, the intellectual property portfolio for our FTX-HbF program includes one U.S. provisional patent application directed to pharmaceutical compositions generically and specifically covering inhibitors of a certain protein or protein complex that regulate fetal hemoglobin, as well as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methods for using and making these compositions. In order to continue to pursue protection based on this provisional patent application, we will need to file a PCT, foreign applications, and/or U.S. non-provisional patent application prior to the applicable deadline. If we do continue to pursue protection, any patents that may issue from the non-provisional patent applications would be projected to have statutory expiration dates in 2039, excluding any additional term for patent term adjustments or patent term extension, if applicable. While we believe that the specific and generic claims, contained in our U.S. provisional patent application, if filed as U.S. non-provisional application, PCT application and/or foreign application(s), provide protection for the claimed pharmaceutical compositions and methods of use and are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9"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86" w:lineRule="exact"/>
        <w:rPr>
          <w:sz w:val="20"/>
          <w:szCs w:val="20"/>
          <w:color w:val="auto"/>
        </w:rPr>
      </w:pPr>
    </w:p>
    <w:p>
      <w:pPr>
        <w:jc w:val="both"/>
        <w:ind w:firstLine="379"/>
        <w:spacing w:after="0" w:line="309" w:lineRule="auto"/>
        <w:rPr>
          <w:sz w:val="20"/>
          <w:szCs w:val="20"/>
          <w:color w:val="auto"/>
        </w:rPr>
      </w:pPr>
      <w:r>
        <w:rPr>
          <w:rFonts w:ascii="Arial" w:cs="Arial" w:eastAsia="Arial" w:hAnsi="Arial"/>
          <w:sz w:val="15"/>
          <w:szCs w:val="15"/>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162" w:lineRule="exact"/>
        <w:rPr>
          <w:sz w:val="20"/>
          <w:szCs w:val="20"/>
          <w:color w:val="auto"/>
        </w:rPr>
      </w:pPr>
    </w:p>
    <w:p>
      <w:pPr>
        <w:jc w:val="both"/>
        <w:ind w:firstLine="413"/>
        <w:spacing w:after="0" w:line="286" w:lineRule="auto"/>
        <w:rPr>
          <w:sz w:val="20"/>
          <w:szCs w:val="20"/>
          <w:color w:val="auto"/>
        </w:rPr>
      </w:pPr>
      <w:r>
        <w:rPr>
          <w:rFonts w:ascii="Arial" w:cs="Arial" w:eastAsia="Arial" w:hAnsi="Arial"/>
          <w:sz w:val="16"/>
          <w:szCs w:val="16"/>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jc w:val="both"/>
        <w:ind w:right="20" w:firstLine="488"/>
        <w:spacing w:after="0" w:line="332" w:lineRule="auto"/>
        <w:rPr>
          <w:sz w:val="20"/>
          <w:szCs w:val="20"/>
          <w:color w:val="auto"/>
        </w:rPr>
      </w:pPr>
      <w:r>
        <w:rPr>
          <w:rFonts w:ascii="Arial" w:cs="Arial" w:eastAsia="Arial" w:hAnsi="Arial"/>
          <w:sz w:val="16"/>
          <w:szCs w:val="16"/>
          <w:color w:val="auto"/>
        </w:rPr>
        <w:t>We do not have any manufacturing facilities. We obtained sufficient losmapimod tablets, or drug product, from GSK to complete our planned Phase 2 clinical trials. We obtained losmapimod API from GSK and plan to engage a contract manufacturing organization to convert the API into losmapimod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tablets. We believe that the quantity of API will be sufficient to complete further clinical trials in FSHD. We believe that we have all the necessary information from GSK to enable the required technology transfers to contract manufacturing organizations. We also intend to identify and engage contract manufacturing organizations to prepare our own API and to manufacture tablets to support potential commercialization.</w:t>
      </w:r>
    </w:p>
    <w:p>
      <w:pPr>
        <w:spacing w:after="0" w:line="194"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We expect to rely on third parties for the manufacture of FTX-HbF and any future product candidates for preclinical and clinical testing, as well as for commercial manufacture if our product candidates receive marketing approval. Our lead product candidates are small molecules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0" w:lineRule="exact"/>
        <w:rPr>
          <w:sz w:val="20"/>
          <w:szCs w:val="20"/>
          <w:color w:val="auto"/>
        </w:rPr>
      </w:pPr>
    </w:p>
    <w:p>
      <w:pPr>
        <w:jc w:val="both"/>
        <w:ind w:firstLine="421"/>
        <w:spacing w:after="0" w:line="25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The key competitive factors affecting the success of all of our therapeutic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19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8"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FSHD</w:t>
      </w:r>
    </w:p>
    <w:p>
      <w:pPr>
        <w:spacing w:after="0" w:line="225"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There are no approved therapies for the treatment of FSHD. Controlled trials of albuterol, corticosteroids and a myostatin inhibitor all failed to demonstrate a clinical benefit to patients with FSHD. Low-intensity aerobic exercise tailored to the patient's distribution of weakness may provide some limited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beneficial effect. Limited range of motion in the shoulder girdle can stem from periscapular muscle weakness, and in such cases surgical scapular fixation can result in some functional improvement for certain patients. There is also no standard practice regarding the use of physical or occupational therapy across countries and sites.</w:t>
      </w:r>
    </w:p>
    <w:p>
      <w:pPr>
        <w:spacing w:after="0" w:line="194"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We are not aware of any product candidate currently in clinical development for FSHD with the same mechanism of action as losmapimod or that is designed to treat the root cause of FSHD. We are aware of ACE-083, a locally injected myostatin inhibitor for intermittent treatment of weakness for ankle dorsiflexion (foot drop) and elbow flexion, which is currently in Phase 2a clinical development for FSHD by Acceleron. aTyr Pharma, Inc., or aTyr, conducted a Phase 1/2 clinical trial of resolaris, a physiocrine immune modulation protein. aTyr discontinued development of resolaris in FSHD. aTyr publicly disclosed that they do not intend to further develop resolaris without a partner.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SCD</w:t>
      </w:r>
    </w:p>
    <w:p>
      <w:pPr>
        <w:spacing w:after="0" w:line="225"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Approved drug treatments for SCD focus primarily on the management and reduction of pain episodes. The two drug treatments approved in the United States are hydroxyurea and L-glutamine. Hydroxyurea, marketed by Bristol-Myers Squibb Company, is approved for the treatment of anemia related to SCD, to reduce the frequency of painful crises and the need for blood transfusions. L-glutamine, marketed by Emmaus Life Sciences, Inc., is approved to reduce severe complications associated with the disorder.</w:t>
      </w:r>
    </w:p>
    <w:p>
      <w:pPr>
        <w:spacing w:after="0" w:line="197" w:lineRule="exact"/>
        <w:rPr>
          <w:sz w:val="20"/>
          <w:szCs w:val="20"/>
          <w:color w:val="auto"/>
        </w:rPr>
      </w:pPr>
    </w:p>
    <w:p>
      <w:pPr>
        <w:jc w:val="both"/>
        <w:ind w:firstLine="400"/>
        <w:spacing w:after="0" w:line="294" w:lineRule="auto"/>
        <w:rPr>
          <w:sz w:val="20"/>
          <w:szCs w:val="20"/>
          <w:color w:val="auto"/>
        </w:rPr>
      </w:pPr>
      <w:r>
        <w:rPr>
          <w:rFonts w:ascii="Arial" w:cs="Arial" w:eastAsia="Arial" w:hAnsi="Arial"/>
          <w:sz w:val="16"/>
          <w:szCs w:val="16"/>
          <w:color w:val="auto"/>
        </w:rPr>
        <w:t>Blood transfusions can be utilized to decrease the sickling of RBCs. While blood transfusions can be critically important to the management of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given the difficulties of finding a suitable matched donor and the risks associated with the treatment, which include an approximately 5% mortality rate. Bone marrow transplantation is more commonly offered to pediatric patients with available sibling-matched donors.</w:t>
      </w:r>
    </w:p>
    <w:p>
      <w:pPr>
        <w:spacing w:after="0" w:line="170"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 xml:space="preserve">FTX-HbF could face competition from a number of different therapeutic approaches in development for patients with SCD. Novartis is conducting Phase 3 clinical trials of crizanlizumab, an anti-P-selectin monoclonal antibody, for the prevention of vaso-occlusive crises in patients with SCD. In January 2019, Novartis announced that crizanlizumab was granted breakthrough therapy designation by the FDA, and that Novartis expects to file a BLA for crizanlizumab in the first half of 2019. Global Blood Therapeutics, Inc. is conducting a Phase 3 clinical trial of voxelotor (GBT440), a hemoglobin modifier, to prevent the sickling of RBCs. GlycoMimetics Inc. and Pfizer, Inc. are conducting a Phase 3 clinical trial of rivipansel (GMI-1070), a pan-selectin inhibitor. bluebird has been granted conditional marketing authorization by the European Commission for ZYNTEGLO, a gene therapy, as a one-time treatment for SCD that aims to treat SCD by inserting a functional human b-globin gene into the patient's own hematopoietic stem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and then transplanting the modified stem cell into the patient's bloodstream. EpiDestiny, Inc., or EpiDestiny, in collaboration with Novo Nordisk A/S, is evaluating EPI01, a small molecule designed to increase production of fetal hemoglobin, in Phase 2 clinical trials. Imara, Inc. is evaluating IMR-687, a PDE9 inhibitor, in a Phase 2a clinical trial in patients with sickle cell anemia. Aruvant Sciences, Inc. is evaluating RVT-1801, a gene therapy, in a Phase 1/2 trial. Sangamo Therapeutics Inc., or Sangamo, in collaboration with Bioverativ Inc., or Bioverativ, is developing BIVV-003, a gene editing cell therapy that modifies cells to produce functional RBCs using fetal hemoglobin. There are also several other gene editing approaches being evaluated by Intellia Therapeutics, Inc. (in collaboration with Novartis), Editas Medicine, Inc. and CRISPR Therapeutics AG (in collaboration with Vertex Pharmaceuticals Incorporated, or Vertex). Pfizer conducted a Phase 1b clinical trial with PF-04447943, a PDE9 inhibitor, in patients with SCD.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b-thalassemia</w:t>
      </w:r>
    </w:p>
    <w:p>
      <w:pPr>
        <w:spacing w:after="0" w:line="225"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The current standard of care for many patients with b-thalassemia is frequent blood transfusions to manage anemia. The only potentially curative therapy for b-thalassemia is allogeneic hematopoietic stem cell transplant, which is associated with serious risk and is limited to patients with a suitable donor. The European Commission granted conditional marketing authorization for ZYNTEGLO, a gene therapy developed by bluebird for the treatment of adult and adolescent patients with transfusion-dependent b-thalassemia and with certain genotypes, in Europe in June 2019. bluebird announced that it plans to file a BLA in the United States in 2019.</w:t>
      </w:r>
    </w:p>
    <w:p>
      <w:pPr>
        <w:spacing w:after="0" w:line="197" w:lineRule="exact"/>
        <w:rPr>
          <w:sz w:val="20"/>
          <w:szCs w:val="20"/>
          <w:color w:val="auto"/>
        </w:rPr>
      </w:pPr>
    </w:p>
    <w:p>
      <w:pPr>
        <w:jc w:val="both"/>
        <w:ind w:firstLine="359"/>
        <w:spacing w:after="0" w:line="298" w:lineRule="auto"/>
        <w:rPr>
          <w:sz w:val="20"/>
          <w:szCs w:val="20"/>
          <w:color w:val="auto"/>
        </w:rPr>
      </w:pPr>
      <w:r>
        <w:rPr>
          <w:rFonts w:ascii="Arial" w:cs="Arial" w:eastAsia="Arial" w:hAnsi="Arial"/>
          <w:sz w:val="16"/>
          <w:szCs w:val="16"/>
          <w:color w:val="auto"/>
        </w:rPr>
        <w:t>FTX-HbF could face competition from a number of different therapeutic approaches are in development as a therapeutic option for patients with transfusion-dependent b-thalassemia. Acceleron, in collaboration with Celgene, is conducting Phase 3 clinical trials of luspatercept (ACE-536), an erythroid maturation agent. Celgene submitted a BLA for luspatercept for the treatment of adult patients with anemia associated with b-thalassemia and who require frequent transfusions. Celgene and Acceleron submitted a marketing authorization application, or MAA, to the EMA in the second quarter of 2019.</w:t>
      </w:r>
    </w:p>
    <w:p>
      <w:pPr>
        <w:spacing w:after="0" w:line="167" w:lineRule="exact"/>
        <w:rPr>
          <w:sz w:val="20"/>
          <w:szCs w:val="20"/>
          <w:color w:val="auto"/>
        </w:rPr>
      </w:pPr>
    </w:p>
    <w:p>
      <w:pPr>
        <w:jc w:val="both"/>
        <w:ind w:firstLine="585"/>
        <w:spacing w:after="0" w:line="289" w:lineRule="auto"/>
        <w:rPr>
          <w:sz w:val="20"/>
          <w:szCs w:val="20"/>
          <w:color w:val="auto"/>
        </w:rPr>
      </w:pPr>
      <w:r>
        <w:rPr>
          <w:rFonts w:ascii="Arial" w:cs="Arial" w:eastAsia="Arial" w:hAnsi="Arial"/>
          <w:sz w:val="16"/>
          <w:szCs w:val="16"/>
          <w:color w:val="auto"/>
        </w:rPr>
        <w:t xml:space="preserve">Bellicum Pharmaceuticals, Inc. is conducting a Phase 1/2 clinical trial to evaluate a modified donor T cell therapy to be used in conjunction with hematopoietic stem cell transplant. Kiadis Pharma is conducting Phase 2 and Phase 3 clinical trials of an adjunctive T cell immunotherapy treatment in conjunction with hematopoietic stem cell transplant. EpiDestiny, in collaboration with Novo Nordisk A/S, is evaluating EPI01, a small molecule designed to increase production of fetal hemoglobin, in Phase 2 clinical trials. Orchard Therapeutics plc is conducting Phase 2 clinical trials of OTL-300, an autologous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gene therapy for the treatment of transfusion-dependent b-thalassemia. Sangamo, in collaboration with Bioverativ, is conducting a Phase 1/2 clinical trial of</w:t>
      </w:r>
      <w:r>
        <w:rPr>
          <w:rFonts w:ascii="Arial" w:cs="Arial" w:eastAsia="Arial" w:hAnsi="Arial"/>
          <w:sz w:val="16"/>
          <w:szCs w:val="16"/>
          <w:i w:val="1"/>
          <w:iCs w:val="1"/>
          <w:color w:val="auto"/>
        </w:rPr>
        <w:t xml:space="preserve"> </w:t>
      </w:r>
      <w:r>
        <w:rPr>
          <w:rFonts w:ascii="Arial" w:cs="Arial" w:eastAsia="Arial" w:hAnsi="Arial"/>
          <w:sz w:val="16"/>
          <w:szCs w:val="16"/>
          <w:color w:val="auto"/>
        </w:rPr>
        <w:t>ST-400, which uses a genome-edited cell therapy approach designed to produce functional RBCs using fetal hemoglobin. CRISPR Therapeutics AG, in collaboration with Vertex, is conducting a Phase 1/2 clinical trial of CTX001, which uses a gene editing approach to upregulate the expression of fetal hemoglobin, in patients with transfusion-dependent b-thalassemia.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31" w:lineRule="exact"/>
        <w:rPr>
          <w:sz w:val="20"/>
          <w:szCs w:val="20"/>
          <w:color w:val="auto"/>
        </w:rPr>
      </w:pPr>
    </w:p>
    <w:p>
      <w:pPr>
        <w:jc w:val="both"/>
        <w:ind w:firstLine="474"/>
        <w:spacing w:after="0" w:line="294"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25"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imposition of a clinical hold, issuance of warning letters and other types of letters, adverse publicity, product recalls, product seizures, total or partial suspension of production or distribution, injunctions, fines, refusals of government contracts, restitution, disgorgement of profits or civil or criminal investigations and penalties brought by the FDA or Department of Justice, or DOJ, or other government entities, including state agencies.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18"/>
        <w:spacing w:after="0" w:line="268"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199" w:lineRule="exact"/>
        <w:rPr>
          <w:sz w:val="20"/>
          <w:szCs w:val="20"/>
          <w:color w:val="auto"/>
        </w:rPr>
      </w:pPr>
    </w:p>
    <w:p>
      <w:pPr>
        <w:ind w:left="10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representing each clinical site before each clinical trial may be initiated;</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238"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and the integrity of clinical data in support of the NDA;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 xml:space="preserve">Before an applicant begins testing a product candidate with potential therapeutic value in humans, the product candidate enters the preclinical testing stage, including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 and IRB Processes</w:t>
      </w:r>
    </w:p>
    <w:p>
      <w:pPr>
        <w:spacing w:after="0" w:line="225" w:lineRule="exact"/>
        <w:rPr>
          <w:sz w:val="20"/>
          <w:szCs w:val="20"/>
          <w:color w:val="auto"/>
        </w:rPr>
      </w:pPr>
    </w:p>
    <w:p>
      <w:pPr>
        <w:jc w:val="both"/>
        <w:ind w:right="20" w:firstLine="370"/>
        <w:spacing w:after="0" w:line="26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requirements, which include, among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197"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174" w:lineRule="exact"/>
        <w:rPr>
          <w:sz w:val="20"/>
          <w:szCs w:val="20"/>
          <w:color w:val="auto"/>
        </w:rPr>
      </w:pPr>
    </w:p>
    <w:p>
      <w:pPr>
        <w:jc w:val="both"/>
        <w:ind w:firstLine="437"/>
        <w:spacing w:after="0" w:line="289" w:lineRule="auto"/>
        <w:rPr>
          <w:sz w:val="20"/>
          <w:szCs w:val="20"/>
          <w:color w:val="auto"/>
        </w:rPr>
      </w:pPr>
      <w:r>
        <w:rPr>
          <w:rFonts w:ascii="Arial" w:cs="Arial" w:eastAsia="Arial" w:hAnsi="Arial"/>
          <w:sz w:val="16"/>
          <w:szCs w:val="16"/>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so notified the sponsor. The FDA will base that determination on information provided by the sponsor correcting the deficiencies previously cited or otherwise satisfying the FDA that the clinical trial can proceed.</w:t>
      </w:r>
    </w:p>
    <w:p>
      <w:pPr>
        <w:spacing w:after="0" w:line="172"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on April 28, 2008, the FDA amended its regulations governing the acceptance of foreign clinical studies not conducted under an investigational new drug application as support for an IND or a new drug application. The final rule provides that such studies must be conducted in accordance with GCP, including review and approval by an independent ethics committee, or IEC, and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74" w:lineRule="exact"/>
        <w:rPr>
          <w:sz w:val="20"/>
          <w:szCs w:val="20"/>
          <w:color w:val="auto"/>
        </w:rPr>
      </w:pPr>
    </w:p>
    <w:p>
      <w:pPr>
        <w:jc w:val="both"/>
        <w:ind w:firstLine="417"/>
        <w:spacing w:after="0" w:line="256"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6"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the competitive environment.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about clinical trials must be submitted within specific timeframes to the NIH for public dissemination on its ClinicalTrials.gov website.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jc w:val="both"/>
        <w:ind w:firstLine="496"/>
        <w:spacing w:after="0" w:line="291"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74"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175" w:lineRule="exact"/>
        <w:rPr>
          <w:sz w:val="20"/>
          <w:szCs w:val="20"/>
          <w:color w:val="auto"/>
        </w:rPr>
      </w:pPr>
    </w:p>
    <w:p>
      <w:pPr>
        <w:jc w:val="both"/>
        <w:ind w:firstLine="426"/>
        <w:spacing w:after="0" w:line="290" w:lineRule="auto"/>
        <w:rPr>
          <w:sz w:val="20"/>
          <w:szCs w:val="20"/>
          <w:color w:val="auto"/>
        </w:rPr>
      </w:pPr>
      <w:r>
        <w:rPr>
          <w:rFonts w:ascii="Arial" w:cs="Arial" w:eastAsia="Arial" w:hAnsi="Arial"/>
          <w:sz w:val="15"/>
          <w:szCs w:val="15"/>
          <w:color w:val="auto"/>
        </w:rPr>
        <w:t>On December 13, 2016, the 21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Century Cures Act, or the Cures Act, established (and the 2017 Food and Drug Administration Reauthorization Act later amended) a requirement that sponsors of one or more investigational drugs for the treatment of a serious disease(s) or condition(s)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176"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225" w:lineRule="exact"/>
        <w:rPr>
          <w:sz w:val="20"/>
          <w:szCs w:val="20"/>
          <w:color w:val="auto"/>
        </w:rPr>
      </w:pPr>
    </w:p>
    <w:p>
      <w:pPr>
        <w:jc w:val="both"/>
        <w:ind w:firstLine="494"/>
        <w:spacing w:after="0" w:line="298"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67"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186"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97"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 efficacy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97" w:lineRule="exact"/>
        <w:rPr>
          <w:sz w:val="20"/>
          <w:szCs w:val="20"/>
          <w:color w:val="auto"/>
        </w:rPr>
      </w:pPr>
    </w:p>
    <w:p>
      <w:pPr>
        <w:jc w:val="both"/>
        <w:ind w:firstLine="513"/>
        <w:spacing w:after="0" w:line="294" w:lineRule="auto"/>
        <w:rPr>
          <w:sz w:val="20"/>
          <w:szCs w:val="20"/>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proceed if the Phase 2 clinical trials demonstrate that a dose range of the product candidate is potentially effective and has an</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170" w:lineRule="exact"/>
        <w:rPr>
          <w:sz w:val="20"/>
          <w:szCs w:val="20"/>
          <w:color w:val="auto"/>
        </w:rPr>
      </w:pPr>
    </w:p>
    <w:p>
      <w:pPr>
        <w:jc w:val="both"/>
        <w:ind w:firstLine="485"/>
        <w:spacing w:after="0" w:line="255"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97" w:lineRule="exact"/>
        <w:rPr>
          <w:sz w:val="20"/>
          <w:szCs w:val="20"/>
          <w:color w:val="auto"/>
        </w:rPr>
      </w:pPr>
    </w:p>
    <w:p>
      <w:pPr>
        <w:jc w:val="both"/>
        <w:ind w:firstLine="361"/>
        <w:spacing w:after="0" w:line="288"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w:t>
      </w:r>
    </w:p>
    <w:p>
      <w:pPr>
        <w:spacing w:after="0" w:line="225"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4"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For drugs intended to treat a serious or life-threatening disease or condition, the FDA must, upon the request of an applicant,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(90) days after the FDA's receipt of the study plan.</w:t>
      </w:r>
    </w:p>
    <w:p>
      <w:pPr>
        <w:spacing w:after="0" w:line="197"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in 2012. Unless otherwise required by regulation, the pediatric data requirements do not apply to products with orphan designation.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an NDA</w:t>
      </w:r>
    </w:p>
    <w:p>
      <w:pPr>
        <w:spacing w:after="0" w:line="225" w:lineRule="exact"/>
        <w:rPr>
          <w:sz w:val="20"/>
          <w:szCs w:val="20"/>
          <w:color w:val="auto"/>
        </w:rPr>
      </w:pPr>
    </w:p>
    <w:p>
      <w:pPr>
        <w:jc w:val="both"/>
        <w:ind w:firstLine="367"/>
        <w:spacing w:after="0" w:line="253" w:lineRule="auto"/>
        <w:rPr>
          <w:sz w:val="20"/>
          <w:szCs w:val="20"/>
          <w:color w:val="auto"/>
        </w:rPr>
      </w:pPr>
      <w:r>
        <w:rPr>
          <w:rFonts w:ascii="Arial" w:cs="Arial" w:eastAsia="Arial" w:hAnsi="Arial"/>
          <w:sz w:val="18"/>
          <w:szCs w:val="18"/>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201"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The NDA is a vehicle through which applicants formally propose that the FDA approve a new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which for federal fiscal year 2019 is $2,588,478 for an application requiring clinical data. The sponsor of an approved NDA is also subject to an annual program fee, which for fiscal year 2019 is $309,915. Certain exceptions and waivers are available for some of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186" w:lineRule="exact"/>
        <w:rPr>
          <w:sz w:val="20"/>
          <w:szCs w:val="20"/>
          <w:color w:val="auto"/>
        </w:rPr>
      </w:pPr>
    </w:p>
    <w:p>
      <w:pPr>
        <w:jc w:val="both"/>
        <w:ind w:firstLine="371"/>
        <w:spacing w:after="0" w:line="287" w:lineRule="auto"/>
        <w:rPr>
          <w:sz w:val="20"/>
          <w:szCs w:val="20"/>
          <w:color w:val="auto"/>
        </w:rPr>
      </w:pPr>
      <w:r>
        <w:rPr>
          <w:rFonts w:ascii="Arial" w:cs="Arial" w:eastAsia="Arial" w:hAnsi="Arial"/>
          <w:sz w:val="16"/>
          <w:szCs w:val="16"/>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or PDUFA, goal date may be extended by the FDA for three additional months to consider new information or clarification provided by the applicant to address an outstanding deficiency identified by the FDA following the original submission.</w:t>
      </w:r>
    </w:p>
    <w:p>
      <w:pPr>
        <w:spacing w:after="0" w:line="177" w:lineRule="exact"/>
        <w:rPr>
          <w:sz w:val="20"/>
          <w:szCs w:val="20"/>
          <w:color w:val="auto"/>
        </w:rPr>
      </w:pPr>
    </w:p>
    <w:p>
      <w:pPr>
        <w:jc w:val="both"/>
        <w:ind w:firstLine="473"/>
        <w:spacing w:after="0" w:line="290" w:lineRule="auto"/>
        <w:rPr>
          <w:sz w:val="20"/>
          <w:szCs w:val="20"/>
          <w:color w:val="auto"/>
        </w:rPr>
      </w:pPr>
      <w:r>
        <w:rPr>
          <w:rFonts w:ascii="Arial" w:cs="Arial" w:eastAsia="Arial" w:hAnsi="Arial"/>
          <w:sz w:val="16"/>
          <w:szCs w:val="16"/>
          <w:color w:val="auto"/>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72" w:lineRule="exact"/>
        <w:rPr>
          <w:sz w:val="20"/>
          <w:szCs w:val="20"/>
          <w:color w:val="auto"/>
        </w:rPr>
      </w:pPr>
    </w:p>
    <w:p>
      <w:pPr>
        <w:jc w:val="both"/>
        <w:ind w:firstLine="498"/>
        <w:spacing w:after="0" w:line="298" w:lineRule="auto"/>
        <w:rPr>
          <w:sz w:val="20"/>
          <w:szCs w:val="20"/>
          <w:color w:val="auto"/>
        </w:rPr>
      </w:pPr>
      <w:r>
        <w:rPr>
          <w:rFonts w:ascii="Arial" w:cs="Arial" w:eastAsia="Arial" w:hAnsi="Arial"/>
          <w:sz w:val="16"/>
          <w:szCs w:val="16"/>
          <w:color w:val="auto"/>
        </w:rPr>
        <w:t>In addition, as a condition of approval, the FDA may require an applicant to develop a REMS. A REMS uses risk-minimization strategies beyond the professional labeling to ensure that the benefits of the product outweigh the potential risks. To determine whether a REMS is needed, the FDA will consider the size of the population likely to use the product, the seriousness of the disease, the expected benefit of the product, the expected duration of treatment, the seriousness of known or potential adverse events and whether the product is a new molecular entity.</w:t>
      </w:r>
    </w:p>
    <w:p>
      <w:pPr>
        <w:spacing w:after="0" w:line="167"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94" w:lineRule="exact"/>
        <w:rPr>
          <w:sz w:val="20"/>
          <w:szCs w:val="20"/>
          <w:color w:val="auto"/>
        </w:rPr>
      </w:pPr>
    </w:p>
    <w:p>
      <w:pPr>
        <w:jc w:val="both"/>
        <w:ind w:firstLine="389"/>
        <w:spacing w:after="0" w:line="332" w:lineRule="auto"/>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condition. For Fast Track products, sponsors may have greater interaction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4"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4" w:lineRule="exact"/>
        <w:rPr>
          <w:sz w:val="20"/>
          <w:szCs w:val="20"/>
          <w:color w:val="auto"/>
        </w:rPr>
      </w:pPr>
    </w:p>
    <w:p>
      <w:pPr>
        <w:jc w:val="both"/>
        <w:ind w:firstLine="436"/>
        <w:spacing w:after="0" w:line="291" w:lineRule="auto"/>
        <w:rPr>
          <w:sz w:val="20"/>
          <w:szCs w:val="20"/>
          <w:color w:val="auto"/>
        </w:rPr>
      </w:pPr>
      <w:r>
        <w:rPr>
          <w:rFonts w:ascii="Arial" w:cs="Arial" w:eastAsia="Arial" w:hAnsi="Arial"/>
          <w:sz w:val="16"/>
          <w:szCs w:val="16"/>
          <w:color w:val="auto"/>
        </w:rPr>
        <w:t>Third, 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74" w:lineRule="exact"/>
        <w:rPr>
          <w:sz w:val="20"/>
          <w:szCs w:val="20"/>
          <w:color w:val="auto"/>
        </w:rPr>
      </w:pPr>
    </w:p>
    <w:p>
      <w:pPr>
        <w:jc w:val="both"/>
        <w:ind w:firstLine="402"/>
        <w:spacing w:after="0" w:line="318" w:lineRule="auto"/>
        <w:rPr>
          <w:sz w:val="20"/>
          <w:szCs w:val="20"/>
          <w:color w:val="auto"/>
        </w:rPr>
      </w:pPr>
      <w:r>
        <w:rPr>
          <w:rFonts w:ascii="Arial" w:cs="Arial" w:eastAsia="Arial" w:hAnsi="Arial"/>
          <w:sz w:val="15"/>
          <w:szCs w:val="15"/>
          <w:color w:val="auto"/>
        </w:rPr>
        <w:t>With passage of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if preliminary clinical evidence indicates that the product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201"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efficacy biomarker or other measure that is thought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0" w:lineRule="exact"/>
        <w:rPr>
          <w:sz w:val="20"/>
          <w:szCs w:val="20"/>
          <w:color w:val="auto"/>
        </w:rPr>
      </w:pPr>
    </w:p>
    <w:p>
      <w:pPr>
        <w:jc w:val="both"/>
        <w:ind w:firstLine="484"/>
        <w:spacing w:after="0" w:line="298" w:lineRule="auto"/>
        <w:rPr>
          <w:sz w:val="20"/>
          <w:szCs w:val="20"/>
          <w:color w:val="auto"/>
        </w:rPr>
      </w:pPr>
      <w:r>
        <w:rPr>
          <w:rFonts w:ascii="Arial" w:cs="Arial" w:eastAsia="Arial" w:hAnsi="Arial"/>
          <w:sz w:val="16"/>
          <w:szCs w:val="16"/>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67"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w:t>
      </w:r>
    </w:p>
    <w:p>
      <w:pPr>
        <w:spacing w:after="0" w:line="225"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201" w:lineRule="exact"/>
        <w:rPr>
          <w:sz w:val="20"/>
          <w:szCs w:val="20"/>
          <w:color w:val="auto"/>
        </w:rPr>
      </w:pPr>
    </w:p>
    <w:p>
      <w:pPr>
        <w:jc w:val="both"/>
        <w:ind w:firstLine="402"/>
        <w:spacing w:after="0" w:line="287" w:lineRule="auto"/>
        <w:rPr>
          <w:sz w:val="20"/>
          <w:szCs w:val="20"/>
          <w:color w:val="auto"/>
        </w:rPr>
      </w:pPr>
      <w:r>
        <w:rPr>
          <w:rFonts w:ascii="Arial" w:cs="Arial" w:eastAsia="Arial" w:hAnsi="Arial"/>
          <w:sz w:val="16"/>
          <w:szCs w:val="16"/>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74"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to the FDA samples of each lot,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Finally, the FDA will conduct laboratory research related to the safety, purity, potency and effectiveness of pharmaceutical products.</w:t>
      </w:r>
    </w:p>
    <w:p>
      <w:pPr>
        <w:spacing w:after="0" w:line="170" w:lineRule="exact"/>
        <w:rPr>
          <w:sz w:val="20"/>
          <w:szCs w:val="20"/>
          <w:color w:val="auto"/>
        </w:rPr>
      </w:pPr>
    </w:p>
    <w:p>
      <w:pPr>
        <w:jc w:val="both"/>
        <w:ind w:firstLine="414"/>
        <w:spacing w:after="0" w:line="255"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210"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390"/>
        <w:spacing w:after="0" w:line="289" w:lineRule="auto"/>
        <w:rPr>
          <w:sz w:val="20"/>
          <w:szCs w:val="20"/>
          <w:color w:val="auto"/>
        </w:rPr>
      </w:pPr>
      <w:r>
        <w:rPr>
          <w:rFonts w:ascii="Arial" w:cs="Arial" w:eastAsia="Arial" w:hAnsi="Arial"/>
          <w:sz w:val="16"/>
          <w:szCs w:val="16"/>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communication regarding off-label information, such as distributing scientific or medical journal information.</w:t>
      </w:r>
    </w:p>
    <w:p>
      <w:pPr>
        <w:spacing w:after="0" w:line="225" w:lineRule="exact"/>
        <w:rPr>
          <w:sz w:val="20"/>
          <w:szCs w:val="20"/>
          <w:color w:val="auto"/>
        </w:rPr>
      </w:pPr>
    </w:p>
    <w:p>
      <w:pPr>
        <w:jc w:val="both"/>
        <w:ind w:firstLine="371"/>
        <w:spacing w:after="0" w:line="254"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98" w:lineRule="exact"/>
        <w:rPr>
          <w:sz w:val="20"/>
          <w:szCs w:val="20"/>
          <w:color w:val="auto"/>
        </w:rPr>
      </w:pPr>
    </w:p>
    <w:p>
      <w:pPr>
        <w:jc w:val="both"/>
        <w:ind w:firstLine="475"/>
        <w:spacing w:after="0" w:line="255"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NDAs</w:t>
      </w:r>
    </w:p>
    <w:p>
      <w:pPr>
        <w:spacing w:after="0" w:line="225" w:lineRule="exact"/>
        <w:rPr>
          <w:sz w:val="20"/>
          <w:szCs w:val="20"/>
          <w:color w:val="auto"/>
        </w:rPr>
      </w:pPr>
    </w:p>
    <w:p>
      <w:pPr>
        <w:jc w:val="both"/>
        <w:ind w:firstLine="394"/>
        <w:spacing w:after="0" w:line="291" w:lineRule="auto"/>
        <w:rPr>
          <w:sz w:val="20"/>
          <w:szCs w:val="20"/>
          <w:color w:val="auto"/>
        </w:rPr>
      </w:pPr>
      <w:r>
        <w:rPr>
          <w:rFonts w:ascii="Arial" w:cs="Arial" w:eastAsia="Arial" w:hAnsi="Arial"/>
          <w:sz w:val="16"/>
          <w:szCs w:val="16"/>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74"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225" w:lineRule="exact"/>
        <w:rPr>
          <w:sz w:val="20"/>
          <w:szCs w:val="20"/>
          <w:color w:val="auto"/>
        </w:rPr>
      </w:pPr>
    </w:p>
    <w:p>
      <w:pPr>
        <w:jc w:val="both"/>
        <w:ind w:firstLine="452"/>
        <w:spacing w:after="0" w:line="254" w:lineRule="auto"/>
        <w:rPr>
          <w:sz w:val="20"/>
          <w:szCs w:val="20"/>
          <w:color w:val="auto"/>
        </w:rPr>
      </w:pPr>
      <w:r>
        <w:rPr>
          <w:rFonts w:ascii="Arial" w:cs="Arial" w:eastAsia="Arial" w:hAnsi="Arial"/>
          <w:sz w:val="18"/>
          <w:szCs w:val="18"/>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94" w:lineRule="exact"/>
        <w:rPr>
          <w:sz w:val="20"/>
          <w:szCs w:val="20"/>
          <w:color w:val="auto"/>
        </w:rPr>
      </w:pPr>
    </w:p>
    <w:p>
      <w:pPr>
        <w:jc w:val="both"/>
        <w:ind w:firstLine="370"/>
        <w:spacing w:after="0" w:line="289"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route of administration, dosage form, strength and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the patient.</w:t>
      </w:r>
    </w:p>
    <w:p>
      <w:pPr>
        <w:spacing w:after="0" w:line="172"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74" w:lineRule="exact"/>
        <w:rPr>
          <w:sz w:val="20"/>
          <w:szCs w:val="20"/>
          <w:color w:val="auto"/>
        </w:rPr>
      </w:pPr>
    </w:p>
    <w:p>
      <w:pPr>
        <w:jc w:val="both"/>
        <w:ind w:firstLine="505"/>
        <w:spacing w:after="0" w:line="253"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20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FDA is also authorized to expedite review of "competitor generic therapies" or drugs with inadequate generic competition, including holding meetings with or providing advice to the drug sponsor prior to submission of the application.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225" w:lineRule="exact"/>
        <w:rPr>
          <w:sz w:val="20"/>
          <w:szCs w:val="20"/>
          <w:color w:val="auto"/>
        </w:rPr>
      </w:pPr>
    </w:p>
    <w:p>
      <w:pPr>
        <w:jc w:val="both"/>
        <w:ind w:firstLine="482"/>
        <w:spacing w:after="0" w:line="256"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97"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the expiration of the patent, or a decision in the infringement case that is favorable to the ANDA applicant.</w:t>
      </w:r>
    </w:p>
    <w:p>
      <w:pPr>
        <w:spacing w:after="0" w:line="170"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225"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74"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174"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Orphan drug exclusivity will not bar approval of another product under certain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 This is the case despite an earlier court opinion holding that the Orphan Drug Act unambiguously required the FDA to recognize orphan exclusivity regardless of a showing of clinical superiority.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225" w:lineRule="exact"/>
        <w:rPr>
          <w:sz w:val="20"/>
          <w:szCs w:val="20"/>
          <w:color w:val="auto"/>
        </w:rPr>
      </w:pPr>
    </w:p>
    <w:p>
      <w:pPr>
        <w:jc w:val="both"/>
        <w:ind w:firstLine="341"/>
        <w:spacing w:after="0" w:line="288" w:lineRule="auto"/>
        <w:rPr>
          <w:sz w:val="20"/>
          <w:szCs w:val="20"/>
          <w:color w:val="auto"/>
        </w:rPr>
      </w:pPr>
      <w:r>
        <w:rPr>
          <w:rFonts w:ascii="Arial" w:cs="Arial" w:eastAsia="Arial" w:hAnsi="Arial"/>
          <w:sz w:val="16"/>
          <w:szCs w:val="16"/>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225" w:lineRule="exact"/>
        <w:rPr>
          <w:sz w:val="20"/>
          <w:szCs w:val="20"/>
          <w:color w:val="auto"/>
        </w:rPr>
      </w:pPr>
    </w:p>
    <w:p>
      <w:pPr>
        <w:jc w:val="both"/>
        <w:ind w:firstLine="523"/>
        <w:spacing w:after="0" w:line="259"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regulations that may constrain business and/or financial arrangements. Restrictions under applicable federal and state health care laws and regulations, include the following:</w:t>
      </w:r>
    </w:p>
    <w:p>
      <w:pPr>
        <w:spacing w:after="0" w:line="199" w:lineRule="exact"/>
        <w:rPr>
          <w:sz w:val="20"/>
          <w:szCs w:val="20"/>
          <w:color w:val="auto"/>
        </w:rPr>
      </w:pPr>
    </w:p>
    <w:p>
      <w:pPr>
        <w:jc w:val="both"/>
        <w:ind w:left="1080" w:hanging="532"/>
        <w:spacing w:after="0" w:line="256"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224"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152"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9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86" w:lineRule="exact"/>
        <w:rPr>
          <w:sz w:val="20"/>
          <w:szCs w:val="20"/>
          <w:color w:val="auto"/>
        </w:rPr>
      </w:pPr>
    </w:p>
    <w:p>
      <w:pPr>
        <w:jc w:val="both"/>
        <w:ind w:firstLine="414"/>
        <w:spacing w:after="0" w:line="294"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25" w:lineRule="exact"/>
        <w:rPr>
          <w:sz w:val="20"/>
          <w:szCs w:val="20"/>
          <w:color w:val="auto"/>
        </w:rPr>
      </w:pPr>
    </w:p>
    <w:p>
      <w:pPr>
        <w:jc w:val="both"/>
        <w:ind w:firstLine="474"/>
        <w:spacing w:after="0" w:line="288"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4" w:lineRule="exact"/>
        <w:rPr>
          <w:sz w:val="20"/>
          <w:szCs w:val="20"/>
          <w:color w:val="auto"/>
        </w:rPr>
      </w:pPr>
    </w:p>
    <w:p>
      <w:pPr>
        <w:jc w:val="both"/>
        <w:ind w:firstLine="693"/>
        <w:spacing w:after="0" w:line="290"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72"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4"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94" w:lineRule="exact"/>
        <w:rPr>
          <w:sz w:val="20"/>
          <w:szCs w:val="20"/>
          <w:color w:val="auto"/>
        </w:rPr>
      </w:pPr>
    </w:p>
    <w:p>
      <w:pPr>
        <w:jc w:val="both"/>
        <w:ind w:firstLine="403"/>
        <w:spacing w:after="0" w:line="332" w:lineRule="auto"/>
        <w:rPr>
          <w:sz w:val="20"/>
          <w:szCs w:val="20"/>
          <w:color w:val="auto"/>
        </w:rPr>
      </w:pPr>
      <w:r>
        <w:rPr>
          <w:rFonts w:ascii="Arial" w:cs="Arial" w:eastAsia="Arial" w:hAnsi="Arial"/>
          <w:sz w:val="16"/>
          <w:szCs w:val="16"/>
          <w:color w:val="auto"/>
        </w:rPr>
        <w:t>In March 2010, the United States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354"/>
        <w:spacing w:after="0" w:line="289"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increased the statute of limitations period for the government to recover overpayments to providers from three to five years.</w:t>
      </w:r>
    </w:p>
    <w:p>
      <w:pPr>
        <w:spacing w:after="0" w:line="172"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will likely consider other legislation to replace elements of the ACA during the next Congressional session.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4" w:lineRule="exact"/>
        <w:rPr>
          <w:sz w:val="20"/>
          <w:szCs w:val="20"/>
          <w:color w:val="auto"/>
        </w:rPr>
      </w:pPr>
    </w:p>
    <w:p>
      <w:pPr>
        <w:jc w:val="both"/>
        <w:ind w:firstLine="426"/>
        <w:spacing w:after="0" w:line="286"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81"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w:t>
      </w:r>
    </w:p>
    <w:p>
      <w:pPr>
        <w:spacing w:after="0" w:line="172" w:lineRule="exact"/>
        <w:rPr>
          <w:sz w:val="20"/>
          <w:szCs w:val="20"/>
          <w:color w:val="auto"/>
        </w:rPr>
      </w:pPr>
    </w:p>
    <w:p>
      <w:pPr>
        <w:jc w:val="both"/>
        <w:ind w:firstLine="398"/>
        <w:spacing w:after="0" w:line="289" w:lineRule="auto"/>
        <w:rPr>
          <w:sz w:val="20"/>
          <w:szCs w:val="20"/>
          <w:color w:val="auto"/>
        </w:rPr>
      </w:pPr>
      <w:r>
        <w:rPr>
          <w:rFonts w:ascii="Arial" w:cs="Arial" w:eastAsia="Arial" w:hAnsi="Arial"/>
          <w:sz w:val="16"/>
          <w:szCs w:val="16"/>
          <w:color w:val="auto"/>
        </w:rPr>
        <w:t>For example, on May 11, 2018, the Administration issued a plan to lower drug prices. Under this blueprint for action, the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97" w:lineRule="exact"/>
        <w:rPr>
          <w:sz w:val="20"/>
          <w:szCs w:val="20"/>
          <w:color w:val="auto"/>
        </w:rPr>
      </w:pPr>
    </w:p>
    <w:p>
      <w:pPr>
        <w:jc w:val="both"/>
        <w:ind w:firstLine="410"/>
        <w:spacing w:after="0" w:line="289"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jc w:val="both"/>
        <w:ind w:firstLine="480"/>
        <w:spacing w:after="0" w:line="286"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jc w:val="both"/>
        <w:ind w:firstLine="452"/>
        <w:spacing w:after="0" w:line="253" w:lineRule="auto"/>
        <w:rPr>
          <w:sz w:val="20"/>
          <w:szCs w:val="20"/>
          <w:color w:val="auto"/>
        </w:rPr>
      </w:pPr>
      <w:r>
        <w:rPr>
          <w:rFonts w:ascii="Arial" w:cs="Arial" w:eastAsia="Arial" w:hAnsi="Arial"/>
          <w:sz w:val="18"/>
          <w:szCs w:val="18"/>
          <w:color w:val="auto"/>
        </w:rPr>
        <w:t>The Clinical Trials Directive 2001/20/EC, the Directive 2005/28/EC on GCP and the related national implementing provisions of the individual member states of the European Union, or EU 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In April 2014, the new Clinical Trials Regulation, (EU) No 536/2014, was adopted. The Clinical Trials Regulation was published on June 16, 2014 but is not expected to apply until later in 2019. The Clinical Trials Regulation will be directly applicable in all the EU Member States, repealing the current Clinical Trials Directive 2001/20/EC and replacing any national legislation that was put in place to implement the Directive.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2" w:lineRule="exact"/>
        <w:rPr>
          <w:sz w:val="20"/>
          <w:szCs w:val="20"/>
          <w:color w:val="auto"/>
        </w:rPr>
      </w:pPr>
    </w:p>
    <w:p>
      <w:pPr>
        <w:jc w:val="both"/>
        <w:ind w:firstLine="487"/>
        <w:spacing w:after="0" w:line="289" w:lineRule="auto"/>
        <w:rPr>
          <w:sz w:val="20"/>
          <w:szCs w:val="20"/>
          <w:color w:val="auto"/>
        </w:rPr>
      </w:pPr>
      <w:r>
        <w:rPr>
          <w:rFonts w:ascii="Arial" w:cs="Arial" w:eastAsia="Arial" w:hAnsi="Arial"/>
          <w:sz w:val="16"/>
          <w:szCs w:val="16"/>
          <w:color w:val="auto"/>
        </w:rPr>
        <w:t>The new Clinical Trials Regulation aims to simplify and streamline the approval of clinical trials in the EU. 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w:t>
      </w:r>
    </w:p>
    <w:p>
      <w:pPr>
        <w:spacing w:after="0" w:line="22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Agency contact and rapporteur from the Committee for Human Medicinal Products, or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45"/>
        <w:spacing w:after="0" w:line="290"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172" w:lineRule="exact"/>
        <w:rPr>
          <w:sz w:val="20"/>
          <w:szCs w:val="20"/>
          <w:color w:val="auto"/>
        </w:rPr>
      </w:pPr>
    </w:p>
    <w:p>
      <w:pPr>
        <w:jc w:val="both"/>
        <w:ind w:firstLine="563"/>
        <w:spacing w:after="0" w:line="286" w:lineRule="auto"/>
        <w:rPr>
          <w:sz w:val="20"/>
          <w:szCs w:val="20"/>
          <w:color w:val="auto"/>
        </w:rPr>
      </w:pPr>
      <w:r>
        <w:rPr>
          <w:rFonts w:ascii="Arial" w:cs="Arial" w:eastAsia="Arial" w:hAnsi="Arial"/>
          <w:sz w:val="16"/>
          <w:szCs w:val="16"/>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5" w:lineRule="exact"/>
        <w:rPr>
          <w:sz w:val="20"/>
          <w:szCs w:val="20"/>
          <w:color w:val="auto"/>
        </w:rPr>
      </w:pPr>
    </w:p>
    <w:p>
      <w:pPr>
        <w:jc w:val="both"/>
        <w:ind w:firstLine="352"/>
        <w:spacing w:after="0" w:line="291" w:lineRule="auto"/>
        <w:rPr>
          <w:sz w:val="20"/>
          <w:szCs w:val="20"/>
          <w:color w:val="auto"/>
        </w:rPr>
      </w:pPr>
      <w:r>
        <w:rPr>
          <w:rFonts w:ascii="Arial" w:cs="Arial" w:eastAsia="Arial" w:hAnsi="Arial"/>
          <w:sz w:val="16"/>
          <w:szCs w:val="16"/>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188" w:lineRule="exact"/>
        <w:rPr>
          <w:sz w:val="20"/>
          <w:szCs w:val="20"/>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6"/>
        <w:spacing w:after="0" w:line="294"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70"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77" w:lineRule="exact"/>
        <w:rPr>
          <w:sz w:val="20"/>
          <w:szCs w:val="20"/>
          <w:color w:val="auto"/>
        </w:rPr>
      </w:pPr>
    </w:p>
    <w:p>
      <w:pPr>
        <w:jc w:val="both"/>
        <w:ind w:firstLine="519"/>
        <w:spacing w:after="0" w:line="256" w:lineRule="auto"/>
        <w:rPr>
          <w:sz w:val="20"/>
          <w:szCs w:val="20"/>
          <w:color w:val="auto"/>
        </w:rPr>
      </w:pPr>
      <w:r>
        <w:rPr>
          <w:rFonts w:ascii="Arial" w:cs="Arial" w:eastAsia="Arial" w:hAnsi="Arial"/>
          <w:sz w:val="18"/>
          <w:szCs w:val="18"/>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97"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EU</w:t>
      </w:r>
    </w:p>
    <w:p>
      <w:pPr>
        <w:spacing w:after="0" w:line="225" w:lineRule="exact"/>
        <w:rPr>
          <w:sz w:val="20"/>
          <w:szCs w:val="20"/>
          <w:color w:val="auto"/>
        </w:rPr>
      </w:pPr>
    </w:p>
    <w:p>
      <w:pPr>
        <w:jc w:val="both"/>
        <w:ind w:right="20" w:firstLine="452"/>
        <w:spacing w:after="0" w:line="332" w:lineRule="auto"/>
        <w:rPr>
          <w:sz w:val="20"/>
          <w:szCs w:val="20"/>
          <w:color w:val="auto"/>
        </w:rPr>
      </w:pPr>
      <w:r>
        <w:rPr>
          <w:rFonts w:ascii="Arial" w:cs="Arial" w:eastAsia="Arial" w:hAnsi="Arial"/>
          <w:sz w:val="16"/>
          <w:szCs w:val="16"/>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Paediatric Studies and Exclusivity</w:t>
      </w:r>
    </w:p>
    <w:p>
      <w:pPr>
        <w:spacing w:after="0" w:line="225" w:lineRule="exact"/>
        <w:rPr>
          <w:sz w:val="20"/>
          <w:szCs w:val="20"/>
          <w:color w:val="auto"/>
        </w:rPr>
      </w:pPr>
    </w:p>
    <w:p>
      <w:pPr>
        <w:jc w:val="both"/>
        <w:ind w:firstLine="517"/>
        <w:spacing w:after="0" w:line="286" w:lineRule="auto"/>
        <w:rPr>
          <w:sz w:val="20"/>
          <w:szCs w:val="20"/>
          <w:color w:val="auto"/>
        </w:rPr>
      </w:pPr>
      <w:r>
        <w:rPr>
          <w:rFonts w:ascii="Arial" w:cs="Arial" w:eastAsia="Arial" w:hAnsi="Arial"/>
          <w:sz w:val="16"/>
          <w:szCs w:val="16"/>
          <w:color w:val="auto"/>
        </w:rPr>
        <w:t>Prior to obtaining a marketing authorization in the European Union,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jc w:val="both"/>
        <w:ind w:firstLine="361"/>
        <w:spacing w:after="0" w:line="314" w:lineRule="auto"/>
        <w:rPr>
          <w:sz w:val="20"/>
          <w:szCs w:val="20"/>
          <w:color w:val="auto"/>
        </w:rPr>
      </w:pPr>
      <w:r>
        <w:rPr>
          <w:rFonts w:ascii="Arial" w:cs="Arial" w:eastAsia="Arial" w:hAnsi="Arial"/>
          <w:sz w:val="15"/>
          <w:szCs w:val="15"/>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59"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jc w:val="both"/>
        <w:ind w:right="20" w:firstLine="481"/>
        <w:spacing w:after="0" w:line="268"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199" w:lineRule="exact"/>
        <w:rPr>
          <w:sz w:val="20"/>
          <w:szCs w:val="20"/>
          <w:color w:val="auto"/>
        </w:rPr>
      </w:pPr>
    </w:p>
    <w:p>
      <w:pPr>
        <w:ind w:left="10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183"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On June 23, 2016, the electorate in the United Kingdom voted in favor of leaving the EU, commonly referred to as Brexit. Thereafter, on March 29, 2017, the country formally notified the EU of its intention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withdraw pursuant to Article 50 of the Lisbon Treaty. The withdrawal of the United Kingdom from the EU was meant to take effect either on the effective date of the withdrawal agreement or, in the absence of agreement, two years after the United Kingdom provides a notice of withdrawal pursuant to the EU Treaty, which was March 29, 2019. That date has now been extended to October 31, 2019. Discussions between the United Kingdom and the European Union have focused on finalizing withdrawal issues and transition agreements, but have been extremely difficult to date. Limited progress to date in these negotiations and ongoing uncertainty within the UK Government and Parliament sustains the possibility of the United Kingdom leaving the European Union on the given deadline without a withdrawal agreement and associated transition period in place, which is likely to cause significant market and economic disruption.</w:t>
      </w:r>
    </w:p>
    <w:p>
      <w:pPr>
        <w:spacing w:after="0" w:line="17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product candidates in the United Kingdom. It remains to be seen how, if at all, Brexit will impact regulatory requirements for product candidates and products in the United Kingdom.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25" w:lineRule="exact"/>
        <w:rPr>
          <w:sz w:val="20"/>
          <w:szCs w:val="20"/>
          <w:color w:val="auto"/>
        </w:rPr>
      </w:pPr>
    </w:p>
    <w:p>
      <w:pPr>
        <w:jc w:val="both"/>
        <w:ind w:firstLine="365"/>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225" w:lineRule="exact"/>
        <w:rPr>
          <w:sz w:val="20"/>
          <w:szCs w:val="20"/>
          <w:color w:val="auto"/>
        </w:rPr>
      </w:pPr>
    </w:p>
    <w:p>
      <w:pPr>
        <w:jc w:val="both"/>
        <w:ind w:firstLine="442"/>
        <w:spacing w:after="0" w:line="287" w:lineRule="auto"/>
        <w:rPr>
          <w:sz w:val="20"/>
          <w:szCs w:val="20"/>
          <w:color w:val="auto"/>
        </w:rPr>
      </w:pPr>
      <w:r>
        <w:rPr>
          <w:rFonts w:ascii="Arial" w:cs="Arial" w:eastAsia="Arial" w:hAnsi="Arial"/>
          <w:sz w:val="16"/>
          <w:szCs w:val="16"/>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482"/>
        <w:spacing w:after="0" w:line="259" w:lineRule="auto"/>
        <w:rPr>
          <w:sz w:val="20"/>
          <w:szCs w:val="20"/>
          <w:color w:val="auto"/>
        </w:rPr>
      </w:pPr>
      <w:r>
        <w:rPr>
          <w:rFonts w:ascii="Arial" w:cs="Arial" w:eastAsia="Arial" w:hAnsi="Arial"/>
          <w:sz w:val="18"/>
          <w:szCs w:val="18"/>
          <w:color w:val="auto"/>
        </w:rPr>
        <w:t>As of June 15, 2019, we had 62 full-time employees, including a total of 28 employees with M.D. or Ph.D. degrees. Of these full-time employees, 47 employees are engaged in research and development. None of our employees are represented by labor unions or covered by collective bargaining agreements. We consider our relationship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name, age as of June 15, 2019 and position of each of our executive officers and directors.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3620" w:type="dxa"/>
            <w:vAlign w:val="bottom"/>
          </w:tcPr>
          <w:p>
            <w:pPr>
              <w:ind w:left="15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Gould,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Chief Executive Officer and President,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Bryan Stuart</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Wallace,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Diego Cadavid, M.D.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Senior Vice President, Clinical Development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Mark Levin</w:t>
            </w:r>
            <w:r>
              <w:rPr>
                <w:rFonts w:ascii="Arial" w:cs="Arial" w:eastAsia="Arial" w:hAnsi="Arial"/>
                <w:sz w:val="29"/>
                <w:szCs w:val="29"/>
                <w:color w:val="auto"/>
                <w:vertAlign w:val="superscript"/>
              </w:rPr>
              <w:t>(2)(3)</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tcPr>
          <w:p>
            <w:pPr>
              <w:spacing w:after="0" w:line="256" w:lineRule="exact"/>
              <w:rPr>
                <w:sz w:val="20"/>
                <w:szCs w:val="20"/>
                <w:color w:val="auto"/>
              </w:rPr>
            </w:pPr>
            <w:r>
              <w:rPr>
                <w:rFonts w:ascii="Arial" w:cs="Arial" w:eastAsia="Arial" w:hAnsi="Arial"/>
                <w:sz w:val="18"/>
                <w:szCs w:val="18"/>
                <w:color w:val="auto"/>
              </w:rPr>
              <w:t>James J. Collins, Ph.D.</w:t>
            </w:r>
            <w:r>
              <w:rPr>
                <w:rFonts w:ascii="Arial" w:cs="Arial" w:eastAsia="Arial" w:hAnsi="Arial"/>
                <w:sz w:val="29"/>
                <w:szCs w:val="29"/>
                <w:color w:val="auto"/>
                <w:vertAlign w:val="superscript"/>
              </w:rPr>
              <w:t>(3)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Alan Ezekowitz, MBChB, D.Phil</w:t>
            </w:r>
            <w:r>
              <w:rPr>
                <w:rFonts w:ascii="Arial" w:cs="Arial" w:eastAsia="Arial" w:hAnsi="Arial"/>
                <w:sz w:val="29"/>
                <w:szCs w:val="29"/>
                <w:color w:val="auto"/>
                <w:vertAlign w:val="superscript"/>
              </w:rPr>
              <w:t>(1)(2)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tcPr>
          <w:p>
            <w:pPr>
              <w:spacing w:after="0" w:line="256" w:lineRule="exact"/>
              <w:rPr>
                <w:sz w:val="20"/>
                <w:szCs w:val="20"/>
                <w:color w:val="auto"/>
              </w:rPr>
            </w:pPr>
            <w:r>
              <w:rPr>
                <w:rFonts w:ascii="Arial" w:cs="Arial" w:eastAsia="Arial" w:hAnsi="Arial"/>
                <w:sz w:val="18"/>
                <w:szCs w:val="18"/>
                <w:color w:val="auto"/>
              </w:rPr>
              <w:t>James Geraghty</w:t>
            </w:r>
            <w:r>
              <w:rPr>
                <w:rFonts w:ascii="Arial" w:cs="Arial" w:eastAsia="Arial" w:hAnsi="Arial"/>
                <w:sz w:val="29"/>
                <w:szCs w:val="29"/>
                <w:color w:val="auto"/>
                <w:vertAlign w:val="superscript"/>
              </w:rPr>
              <w:t>(1)(2)(3)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Kate Haviland</w:t>
            </w:r>
            <w:r>
              <w:rPr>
                <w:rFonts w:ascii="Arial" w:cs="Arial" w:eastAsia="Arial" w:hAnsi="Arial"/>
                <w:sz w:val="29"/>
                <w:szCs w:val="29"/>
                <w:color w:val="auto"/>
                <w:vertAlign w:val="superscript"/>
              </w:rPr>
              <w:t>(1)</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b w:val="1"/>
          <w:bCs w:val="1"/>
          <w:i w:val="1"/>
          <w:iCs w:val="1"/>
          <w:color w:val="auto"/>
        </w:rPr>
        <w:t xml:space="preserve">Robert J. Gould, Ph.D. </w:t>
      </w:r>
      <w:r>
        <w:rPr>
          <w:rFonts w:ascii="Arial" w:cs="Arial" w:eastAsia="Arial" w:hAnsi="Arial"/>
          <w:sz w:val="16"/>
          <w:szCs w:val="16"/>
          <w:color w:val="auto"/>
        </w:rPr>
        <w:t>has served as our president and chief executive officer and as a member of our board of directors since June 2016. Dr. Gould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Research Laboratories, or Merck, a healthcare company, where he held a variety of leadership positions, culminating in the role of vice president, licensing and external research.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current role as our chief executive officer qualify him to serve on our board of directors.</w:t>
      </w:r>
    </w:p>
    <w:p>
      <w:pPr>
        <w:spacing w:after="0" w:line="172"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b w:val="1"/>
          <w:bCs w:val="1"/>
          <w:i w:val="1"/>
          <w:iCs w:val="1"/>
          <w:color w:val="auto"/>
        </w:rPr>
        <w:t xml:space="preserve">Bryan Stuart </w:t>
      </w:r>
      <w:r>
        <w:rPr>
          <w:rFonts w:ascii="Arial" w:cs="Arial" w:eastAsia="Arial" w:hAnsi="Arial"/>
          <w:sz w:val="16"/>
          <w:szCs w:val="16"/>
          <w:color w:val="auto"/>
        </w:rPr>
        <w:t>has served as our chief operating officer since December 2018. Mr. Stuart previously served as president and chief executive officer of Yarra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Therapeutics, LLC, or Yarra, a subsidiary of Array Biopharma, Inc., a biopharmaceutical company focused on genetically defined rare diseases, from December 2017 to August 2018. Prior to joining Yarra, Mr. Stuart served as president of Kastle Therapeutics, LLC, or Kastle, a biopharmaceutical company focused on developing and commercializing treatments for rare diseases, from July 2015 to March 2017 and as president and chief executive officer from March 2017 to November 2017. Prior to joining Kastle, Mr. Stuart was the chief business officer of Civitas Therapeutics, Inc., a biopharmaceutical company, from August 2012 to October 2014, where he led the business development, capital raising, commercial and portfolio management functions, including the sale of Civitas to Acorda Therapeutics, Inc. He previously led business development, corporate development and strategy at both EKR Therapeutics Inc. (acquired by Chiesi Farmaceutici S.p.A.) and Ovation Pharmaceuticals Inc. (acquired by Lundbeck A/S), where he played key roles in each company's growth and ultimate sale. Mr. Stuart began his career as a healthcare investment banker at William Blair &amp; Company. Mr. Stuart received an MBA from the Kellogg School of Management at Northwestern University and a B.S. from the University of Illinois.</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Owen Wallace, Ph.D. </w:t>
      </w:r>
      <w:r>
        <w:rPr>
          <w:rFonts w:ascii="Arial" w:cs="Arial" w:eastAsia="Arial" w:hAnsi="Arial"/>
          <w:sz w:val="18"/>
          <w:szCs w:val="18"/>
          <w:color w:val="auto"/>
        </w:rPr>
        <w:t>has served as our chief scientific officer since April 2017. Dr. Wallace previously served as head, global discovery chemistry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Novartis Institutes for BioMedical Research, or Novartis Institutes, a pharmaceutical company, from May 2013 to April 2017. Prior to joining Novartis Institutes, 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held various positions at Eli Lilly &amp; Company, a pharmaceutical company, including site scientific leader and group senior director from July 2010 to June 2013, senior director, discovery chemistry from August 2009 to July 2010, director, discovery chemistry from December 2005 to August 2009 and head, discovery chemistry research from February 2002 to December 2005. Prior to that, Dr. Wallace was a senior research investigator at Bristol-Myers Squibb, a biopharmaceutical company, from March 1995 to May 2000. Dr. Wallace received his Ph.D. in Organic Chemistry from Yale University and his B.Sc. (Hons) in Chemistry from University College Cork in Ireland.</w:t>
      </w:r>
    </w:p>
    <w:p>
      <w:pPr>
        <w:spacing w:after="0" w:line="19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Diego Cadavid, M.D. </w:t>
      </w:r>
      <w:r>
        <w:rPr>
          <w:rFonts w:ascii="Arial" w:cs="Arial" w:eastAsia="Arial" w:hAnsi="Arial"/>
          <w:sz w:val="16"/>
          <w:szCs w:val="16"/>
          <w:color w:val="auto"/>
        </w:rPr>
        <w:t>has served as our senior vice president, clinical development since July 2018 and served as our vice president, clinical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September 2016 to July 2018. Dr. Cadavid currently serves as an adjunct professor at the University of Massachusetts Medical School. Dr. Cadavid previously served as senior medical director in the MS Clinical Development Group at Biogen Inc., or Biogen, a biotechnology company, from January 2014 to September 2016 and as a director of the Neurology Clinical Group at Biogen from April 2008 to December 2013. Before joining Biogen, Dr. Cadavid spent nine years at Rutgers-New Jersey Medical School where he was Associate Professor of Neurology and Neuroscience. While working at Biogen, Dr. Cadavid served as a consultant at the Center for Immunology and Inflammatory Diseases at the Massachusetts General Hospital in Boston. Dr. Cadavid received an M.D. from Pontificia Universidad Javeriana in Bogota, Colombia.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b w:val="1"/>
          <w:bCs w:val="1"/>
          <w:i w:val="1"/>
          <w:iCs w:val="1"/>
          <w:color w:val="auto"/>
        </w:rPr>
        <w:t xml:space="preserve">Mark Levin </w:t>
      </w:r>
      <w:r>
        <w:rPr>
          <w:rFonts w:ascii="Arial" w:cs="Arial" w:eastAsia="Arial" w:hAnsi="Arial"/>
          <w:sz w:val="16"/>
          <w:szCs w:val="16"/>
          <w:color w:val="auto"/>
        </w:rPr>
        <w:t>has served as a member of our board of directors since August 2015 and chairman of our board of directors since August 2016. Mr. Levin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a partner at Third Rock Ventures, LLC, which he co-founded in 2007. Mr. Levin served as our interim president and chief executive officer from August 2015 to July 2016 and as interim president and chief executive officer of Voyager Therapeutics, Inc., or Voyager, a biotechnology company, from June 2013 to September 2014. He has served as the chairman of the board of directors of Voyager since June 2013. Mr. Levin was formerly on the boards of publicly traded life sciences companies Eleven Biotherapeutics, Inc. from September 2008 to November 2014 and Foundation Medicine, Inc. from 2010 to June 2014. Mr. Levin served as founding chief executive officer of Millennium Pharmaceuticals, Inc., a biopharmaceutical company since acquired by Takeda Pharmaceutical Company Limited, from 1993 to 2005. Mr. Levin received both a B.S. and an M.S. in Chemical and Biochemical Engineering from Washington University in St. Louis. We believe Mr. Levin's experience working with and serving on the boards of directors of life sciences companies and his experience working in the venture capital industry qualifies him to serve on our board of directors.</w:t>
      </w:r>
    </w:p>
    <w:p>
      <w:pPr>
        <w:spacing w:after="0" w:line="17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b w:val="1"/>
          <w:bCs w:val="1"/>
          <w:i w:val="1"/>
          <w:iCs w:val="1"/>
          <w:color w:val="auto"/>
        </w:rPr>
        <w:t xml:space="preserve">James J. Collins, Ph.D. </w:t>
      </w:r>
      <w:r>
        <w:rPr>
          <w:rFonts w:ascii="Arial" w:cs="Arial" w:eastAsia="Arial" w:hAnsi="Arial"/>
          <w:sz w:val="16"/>
          <w:szCs w:val="16"/>
          <w:color w:val="auto"/>
        </w:rPr>
        <w:t>has served on our board of directors since January 2017. Dr. Collins has served as the Termeer Professor of Medical Engineering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70"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b w:val="1"/>
          <w:bCs w:val="1"/>
          <w:i w:val="1"/>
          <w:iCs w:val="1"/>
          <w:color w:val="auto"/>
        </w:rPr>
        <w:t xml:space="preserve">Alan Ezekowitz, MBChB, D.Phil </w:t>
      </w:r>
      <w:r>
        <w:rPr>
          <w:rFonts w:ascii="Arial" w:cs="Arial" w:eastAsia="Arial" w:hAnsi="Arial"/>
          <w:sz w:val="16"/>
          <w:szCs w:val="16"/>
          <w:color w:val="auto"/>
        </w:rPr>
        <w:t>has served on our board of directors since December 2016. Dr. Ezekowitz served as the president and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from March 2006 to March 2011.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 Dr. Ezekowitz received his medical training at the University of Cape Town in South Africa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received a Doctor of Philosophy degree from Oxford University. We believe Dr. Ezekowitz's leadership experience in the life sciences industry qualifies him to serve on our board of directors.</w:t>
      </w:r>
    </w:p>
    <w:p>
      <w:pPr>
        <w:spacing w:after="0" w:line="186"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6"/>
          <w:szCs w:val="16"/>
          <w:b w:val="1"/>
          <w:bCs w:val="1"/>
          <w:i w:val="1"/>
          <w:iCs w:val="1"/>
          <w:color w:val="auto"/>
        </w:rPr>
        <w:t xml:space="preserve">James Geraghty </w:t>
      </w:r>
      <w:r>
        <w:rPr>
          <w:rFonts w:ascii="Arial" w:cs="Arial" w:eastAsia="Arial" w:hAnsi="Arial"/>
          <w:sz w:val="16"/>
          <w:szCs w:val="16"/>
          <w:color w:val="auto"/>
        </w:rPr>
        <w:t>has served on our board of directors since July 2016. Mr. Geraghty is an industry leader with over 30 years of strategic and leadership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including more than 20 years as a senior member of executive teams at biotechnology companies developing and commercializing innovative therapies. From May 2013 to December 2016, Mr. Geraghty was an Entrepreneur in Residence at Third Rock Ventures, a leading biotech venture and company-formation fund. From April 2011 to December 2012, Mr. Geraghty served as a senior vice president of Sanofi, a global healthcare company. Prior to that, he served in various senior management roles at Genzyme Corporation, or Genzyme, a biotechnology company, from 1992 to April 2011, including as senior vice president, international development from January 2007 to April 2011. Mr. Geraghty currently serves as chairman of the board of directors of Orchard Therapeutics plc, Idera Pharmaceuticals, Inc., or Idera, and Pieris Pharmaceuticals, Inc., each publicly traded companies, and as a member of the board of directors of Voyager, a publicly traded company. He previously served as chairman of the board of Juniper Pharmaceuticals, Inc. and as a director of bluebird bio Inc. and GTC Biotherapeutics,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spacing w:after="0" w:line="181"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Kate Haviland </w:t>
      </w:r>
      <w:r>
        <w:rPr>
          <w:rFonts w:ascii="Arial" w:cs="Arial" w:eastAsia="Arial" w:hAnsi="Arial"/>
          <w:sz w:val="16"/>
          <w:szCs w:val="16"/>
          <w:color w:val="auto"/>
        </w:rPr>
        <w:t>has served on our board of directors since June 2018. Ms. Haviland has served as chief operating officer of Blueprint Medicines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Blueprint, a precision therapy company, since February 2019. Prior to her serving as chief operating officer, Ms. Haviland served as chief business officer of Blueprint from January 2016 to January 2019. Prior to that, from April 2014 to December 2015, Ms. Haviland served as vice president, rare diseases and oncology program leadership at Idera, a clinical-stage biopharmaceutical company,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a commercial-stage biopharmaceutical company, where she was responsible for product development and commercial planning and for cultivating relationships with key opinion leaders and patient advocacy groups. In addition, Ms. Haviland previously served as executive director of commercial development at PTC Therapeutics, Inc., a biopharmaceutical company, from March 2007 to June 2012 and held corporate development and project management roles at Genzyme, a biotechnology company, from July 2005 to April 2007. Ms. Haviland received a B.A. from Wesleyan University with a double major in biochemistry/molecular biology and economics and an M.B.A. from Harvard Business School. We believe Ms. Haviland's extensive experience working with life sciences companies qualifies her to serve on our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225"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Our board of directors is currently authorized to have eight members and currently consists of six members. Upon the closing of this offering, we will reduce the authorized number of members of our board of directors to six. Our directors hold office until their successors have been elected and qualified or until the earlier of their death, resignation or removal.</w:t>
      </w:r>
    </w:p>
    <w:p>
      <w:pPr>
        <w:spacing w:after="0" w:line="194"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Our certificate of incorporation and bylaws that will become effective upon the closing of this offering provide that the authorized number of directors may be changed only by resolution of our board of directors. Our certificate of incorporation and bylaws will also provide that our directors may be removed only for cause by the affirmative vote of the holders of 75% of our shares of capital stock present in person or by proxy and entitled to vote, and that any vacancy on our board of directors, including a vacancy resulting from an enlargement of our board of directors, may be filled only by vote of a majority of our directors then in office.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In accordance with the terms of our certificate of incorporation and bylaws that will become effective upon the closing of this offering, our board of directors will be divided into three classes, class I, class II and class III, with members of each class serving staggered three-year terms. Upon the closing of this offering, the members of the classes will be divided as follows:</w:t>
      </w:r>
    </w:p>
    <w:p>
      <w:pPr>
        <w:spacing w:after="0" w:line="208"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class I directors will be Alan Ezekowitz and Mark Levin, and their term will expire at the annual meeting of stockholders to be held in 2020;</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class II directors will be James Collins and James Geraghty, and their term will expire at the annual meeting of stockholders to be held in 2021;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class III directors will be Robert Gould and Kate Haviland, and their term will expire at the annual meeting of stockholders to be held in 2022.</w:t>
      </w:r>
    </w:p>
    <w:p>
      <w:pPr>
        <w:spacing w:after="0" w:line="248"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86"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Stock—Delaware Anti-Takeover Law and Certain Charter and Bylaw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ind w:firstLine="406"/>
        <w:spacing w:after="0" w:line="285"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82"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In June 2019,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Gould,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independence, including the beneficial ownership of our capital stock by each non-employee director. Dr. Gould is not an independent director under these rules because he is our president and chief executive officer.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366"/>
        <w:spacing w:after="0" w:line="332"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each of which operates under a charter that has been approved by our board. The composition of each committee will be effective as of the date of this prospectus.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The members of our audit committee are Alan Ezekowitz, James Geraghty and Kate Haviland. Alan Ezekowitz is the chair of the audit committee. Effective at the time of this offering, our audit committee's responsibilities will include:</w:t>
      </w:r>
    </w:p>
    <w:p>
      <w:pPr>
        <w:spacing w:after="0" w:line="19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 related complaints and concerns;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25"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86" w:lineRule="exact"/>
        <w:rPr>
          <w:sz w:val="20"/>
          <w:szCs w:val="20"/>
          <w:color w:val="auto"/>
        </w:rPr>
      </w:pPr>
    </w:p>
    <w:p>
      <w:pPr>
        <w:jc w:val="both"/>
        <w:ind w:firstLine="433"/>
        <w:spacing w:after="0" w:line="291" w:lineRule="auto"/>
        <w:rPr>
          <w:sz w:val="20"/>
          <w:szCs w:val="20"/>
          <w:color w:val="auto"/>
        </w:rPr>
      </w:pPr>
      <w:r>
        <w:rPr>
          <w:rFonts w:ascii="Arial" w:cs="Arial" w:eastAsia="Arial" w:hAnsi="Arial"/>
          <w:sz w:val="16"/>
          <w:szCs w:val="16"/>
          <w:color w:val="auto"/>
        </w:rPr>
        <w:t>Our board of directors has determined that we do not have an "audit committee financial expert" as defined by applicable SEC rules serving on our audit committee. Our board of directors believes that, given the size and stage of development of our company, an audit committee financial expert is not necessary at this time because the collective financial and business expertise of the members of the audit committee is sufficient to satisfy the functions of the audit committee under the terms of the audit committee charter. In making this determination, our board of directors considered the formal education and nature and scope of our audit committee members' previous experience. We believe that the composition of our audit committee will meet the requirements for independence under current Nasdaq and SEC rules and regulations.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572"/>
        <w:spacing w:after="0" w:line="268" w:lineRule="auto"/>
        <w:rPr>
          <w:sz w:val="20"/>
          <w:szCs w:val="20"/>
          <w:color w:val="auto"/>
        </w:rPr>
      </w:pPr>
      <w:r>
        <w:rPr>
          <w:rFonts w:ascii="Arial" w:cs="Arial" w:eastAsia="Arial" w:hAnsi="Arial"/>
          <w:sz w:val="18"/>
          <w:szCs w:val="18"/>
          <w:color w:val="auto"/>
        </w:rPr>
        <w:t>The members of our compensation committee are Mark Levin, Alan Ezekowitz and James Geraghty. Mark Levin is the chair of the compensation committee. Effective at the time of this offering, our compensation committee's responsibilities will include:</w:t>
      </w:r>
    </w:p>
    <w:p>
      <w:pPr>
        <w:spacing w:after="0" w:line="199" w:lineRule="exact"/>
        <w:rPr>
          <w:sz w:val="20"/>
          <w:szCs w:val="20"/>
          <w:color w:val="auto"/>
        </w:rPr>
      </w:pPr>
    </w:p>
    <w:p>
      <w:pPr>
        <w:ind w:left="1080" w:right="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members of our nominating and corporate governance committee are James Geraghty, James Collins and Mark Levin. James Geraghty is the chair of the nominating and corporate governance committee. Effective at the time of this offering, our nominating and corporate governance committee's responsibilities will include:</w:t>
      </w:r>
    </w:p>
    <w:p>
      <w:pPr>
        <w:spacing w:after="0" w:line="208"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board's committees;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5" w:lineRule="exact"/>
        <w:rPr>
          <w:sz w:val="20"/>
          <w:szCs w:val="20"/>
          <w:color w:val="auto"/>
        </w:rPr>
      </w:pPr>
    </w:p>
    <w:p>
      <w:pPr>
        <w:jc w:val="both"/>
        <w:ind w:right="20" w:firstLine="379"/>
        <w:spacing w:after="0" w:line="268"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Code of Conduct</w:t>
      </w:r>
    </w:p>
    <w:p>
      <w:pPr>
        <w:spacing w:after="0" w:line="231" w:lineRule="exact"/>
        <w:rPr>
          <w:sz w:val="20"/>
          <w:szCs w:val="20"/>
          <w:color w:val="auto"/>
        </w:rPr>
      </w:pPr>
    </w:p>
    <w:p>
      <w:pPr>
        <w:jc w:val="both"/>
        <w:ind w:firstLine="379"/>
        <w:spacing w:after="0" w:line="298" w:lineRule="auto"/>
        <w:rPr>
          <w:sz w:val="20"/>
          <w:szCs w:val="20"/>
          <w:color w:val="auto"/>
        </w:rPr>
      </w:pPr>
      <w:r>
        <w:rPr>
          <w:rFonts w:ascii="Arial" w:cs="Arial" w:eastAsia="Arial" w:hAnsi="Arial"/>
          <w:sz w:val="16"/>
          <w:szCs w:val="16"/>
          <w:color w:val="auto"/>
        </w:rPr>
        <w:t>We have adopted a written code of business conduct and ethics, which will be effective at the time of this offering, that applies to our directors, officers and employees, including our principal executive officer, principal financial officer, principal accounting officer or controller, or persons performing similar functions. We intend to post a current copy of the code on our website, www.fulcrumtx.com. In addition, we intend to post on our website all disclosures that are required by law or Nasdaq listing standards concerning any amendments to, or waivers from, any provision of the code.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jc w:val="both"/>
        <w:ind w:firstLine="377"/>
        <w:spacing w:after="0" w:line="259" w:lineRule="auto"/>
        <w:rPr>
          <w:sz w:val="20"/>
          <w:szCs w:val="20"/>
          <w:color w:val="auto"/>
        </w:rPr>
      </w:pPr>
      <w:r>
        <w:rPr>
          <w:rFonts w:ascii="Arial" w:cs="Arial" w:eastAsia="Arial" w:hAnsi="Arial"/>
          <w:sz w:val="18"/>
          <w:szCs w:val="18"/>
          <w:color w:val="auto"/>
        </w:rPr>
        <w:t>The following discussion relates to the compensation of our president and chief executive officer, Robert J. Gould, our chief operating officer, Bryan Stuart, and our senior vice president, clinical development, Diego Cadavid, for fiscal year 2018. Dr. Gould, Mr. Stuart and Dr. Cadavid are collectively referred to in this prospectus as our named executive officers.</w:t>
      </w:r>
    </w:p>
    <w:p>
      <w:pPr>
        <w:spacing w:after="0" w:line="194"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programs. We have begun, and expect to continue in the coming months, to evaluate the need for revisions to our executive compensation program to ensure that our program is competitive with the companies with which we compete for executive talent and is appropriate for a public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for the year ended December 31, 2018.</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02"/>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Stock awards</w:t>
            </w:r>
          </w:p>
        </w:tc>
        <w:tc>
          <w:tcPr>
            <w:tcW w:w="16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76"/>
        </w:trPr>
        <w:tc>
          <w:tcPr>
            <w:tcW w:w="33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39"/>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100" w:type="dxa"/>
            <w:vAlign w:val="bottom"/>
            <w:gridSpan w:val="2"/>
          </w:tcPr>
          <w:p>
            <w:pPr>
              <w:jc w:val="right"/>
              <w:ind w:right="259"/>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200" w:type="dxa"/>
            <w:vAlign w:val="bottom"/>
            <w:gridSpan w:val="2"/>
          </w:tcPr>
          <w:p>
            <w:pPr>
              <w:jc w:val="right"/>
              <w:ind w:right="302"/>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10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442,900</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203,734</w:t>
            </w: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3340" w:type="dxa"/>
            <w:vAlign w:val="bottom"/>
            <w:gridSpan w:val="3"/>
          </w:tcPr>
          <w:p>
            <w:pPr>
              <w:spacing w:after="0" w:line="249" w:lineRule="exact"/>
              <w:rPr>
                <w:sz w:val="20"/>
                <w:szCs w:val="20"/>
                <w:color w:val="auto"/>
              </w:rPr>
            </w:pPr>
            <w:r>
              <w:rPr>
                <w:rFonts w:ascii="Arial" w:cs="Arial" w:eastAsia="Arial" w:hAnsi="Arial"/>
                <w:sz w:val="17"/>
                <w:szCs w:val="17"/>
                <w:color w:val="auto"/>
              </w:rPr>
              <w:t>Bryan Stuart</w:t>
            </w:r>
            <w:r>
              <w:rPr>
                <w:rFonts w:ascii="Arial" w:cs="Arial" w:eastAsia="Arial" w:hAnsi="Arial"/>
                <w:sz w:val="28"/>
                <w:szCs w:val="28"/>
                <w:color w:val="auto"/>
                <w:vertAlign w:val="superscript"/>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16,667</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1,685,290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1,701,957</w:t>
            </w:r>
          </w:p>
        </w:tc>
        <w:tc>
          <w:tcPr>
            <w:tcW w:w="16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Diego Cadavid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550,364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89"/>
              </w:rPr>
              <w:t>Senior Vice President, Clinical Development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0" w:hanging="531"/>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where noted otherwise, the amounts reported in the "Bonus" column reflect discretionary annual cash bonuses paid to our named executive officers for their performance.</w:t>
      </w:r>
    </w:p>
    <w:p>
      <w:pPr>
        <w:spacing w:after="0" w:line="212"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amounts reported in the "Stock awards" column reflect the aggregate fair value of stock-based compensation awarded during the year computed in accordance with the provisions of Financial Accounting Standards Board, or FASB, Accounting Standards Codification, or ASC, Topic 718. See Note 8 to our consolidated financial statements appearing at the end of this prospectus regarding assumptions underlying the valuation of equity awards.</w:t>
      </w:r>
    </w:p>
    <w:p>
      <w:pPr>
        <w:spacing w:after="0" w:line="210"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fair value of stock-based compensation awarded during the year computed in accordance with the provisions of FASB ASC Topic 718. See Note 8 to our consolidated financial statements appearing at the end of this prospectus regarding assumptions underlying the valuation of equity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Stuart commenced employment with us on December 17,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31"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2018, we paid Dr. Gould an annualized base salary of $442,900. In January 2019, our board of directors set Dr. Gould's 2019 annual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at $460,000. In 2018, we paid Mr. Stuart an annualized base salary of $400,000. In January 2019, our board of directors set Mr. Stuart's 2019 annual base salary at $400,000. In 2018, we paid Dr. Cadavid an annualized base salary of $342,784 until July 16, 2018, after which Dr. Cadavid was promoted to the position of senior vice president, clinical development,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we paid Dr. Cadavid an annualized base salary of $355,000. In January 2019, our board of directors set Dr. Cadavid's 2019 annual base salary at $366,000.</w:t>
      </w:r>
    </w:p>
    <w:p>
      <w:pPr>
        <w:spacing w:after="0" w:line="24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94"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Our board of directors may, in its discretion, award bonuses to our named executive officers from time to time. Our letter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w:t>
      </w:r>
    </w:p>
    <w:p>
      <w:pPr>
        <w:spacing w:after="0" w:line="170"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With respect to 2018 performance, our board of directors awarded bonuses of $203,734 and $111,825 to Dr. Gould and Dr. Cadavid, respectively. Because he joined us in December 2018, Mr. Stuart did not receive an annual bonus for 2018.</w:t>
      </w:r>
    </w:p>
    <w:p>
      <w:pPr>
        <w:spacing w:after="0" w:line="186"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i w:val="1"/>
          <w:iCs w:val="1"/>
          <w:color w:val="auto"/>
        </w:rPr>
        <w:t xml:space="preserve">Equity Incentives. </w:t>
      </w:r>
      <w:r>
        <w:rPr>
          <w:rFonts w:ascii="Arial" w:cs="Arial" w:eastAsia="Arial" w:hAnsi="Arial"/>
          <w:sz w:val="18"/>
          <w:szCs w:val="18"/>
          <w:color w:val="auto"/>
        </w:rPr>
        <w:t>Although we do not have a formal policy with respect to the grant of equity incentive awards to our executive officers, or any formal</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98" w:lineRule="exact"/>
        <w:rPr>
          <w:sz w:val="20"/>
          <w:szCs w:val="20"/>
          <w:color w:val="auto"/>
        </w:rPr>
      </w:pPr>
    </w:p>
    <w:p>
      <w:pPr>
        <w:jc w:val="both"/>
        <w:ind w:firstLine="423"/>
        <w:spacing w:after="0" w:line="289" w:lineRule="auto"/>
        <w:rPr>
          <w:sz w:val="20"/>
          <w:szCs w:val="20"/>
          <w:color w:val="auto"/>
        </w:rPr>
      </w:pPr>
      <w:r>
        <w:rPr>
          <w:rFonts w:ascii="Arial" w:cs="Arial" w:eastAsia="Arial" w:hAnsi="Arial"/>
          <w:sz w:val="16"/>
          <w:szCs w:val="16"/>
          <w:color w:val="auto"/>
        </w:rPr>
        <w:t>Pursuant to their respective letter agreements with us, we granted a restricted stock award for 3,000,000 shares of our common stock to Dr. Gould in July 2016, an option to purchase 2,125,000 shares of our common stock to Mr. Stuart in December 2018, and a restricted stock award for 400,000 shares of our common stock to Dr. Cadavid in October 2016, in each case in connection with the commencement of employment with us. In addition, we granted a restricted stock award for 450,000 shares of our common stock to Dr. Gould in January 2018, a restricted stock award for 60,000 shares of our common stock to Dr. Cadavid in January 2018 and an option to purchase 125,000 shares of our common stock to Dr. Cadavid in July 2018. The equity awards granted in 2018 to Dr. Gould and Dr. Cadavid vest in equal quarterly installments over a term of four years from the applicable vesting commencement date. The options granted in 2018 to Mr. Stuart vest as to 25% of the shares underlying the option on the first anniversary of the vesting commencement date and as to an additional 6.25% of the original number of shares underlying the option quarterly thereafter.</w:t>
      </w:r>
    </w:p>
    <w:p>
      <w:pPr>
        <w:spacing w:after="0" w:line="172"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color w:val="auto"/>
        </w:rPr>
        <w:t>In January 2019, we granted options to purchase 2,422,650, 412,500 and 566,500 shares of our common stock to Dr. Gould, Mr. Stuart and Dr. Cadavid, respectively. The options granted in January 2019 to Dr. Gould and to Dr. Cadavid vest in equal quarterly installments over a term of four years from the vesting commencement date. The options granted in January 2019 to Mr. Stuart vest as to 25% of the shares underlying the option on the first anniversary of the vesting commencement date and as to an additional 6.25% of the original number of shares underlying the option quarterly thereafter. Our board of directors has also granted options to purchase 750,000, 200,000 and 89,490 shares of our common stock to Dr. Gould, Mr. Stuart and Dr. Cadavid, respectively, effective upon the commencement of trading of our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common stock on the Nasdaq Stock Market, which we refer to as the IPO grants. The IPO grants vest in equal quarterly installments over a term of four years from July 1, 2019.</w:t>
      </w:r>
    </w:p>
    <w:p>
      <w:pPr>
        <w:spacing w:after="0" w:line="186"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Prior to this offering, our executives were eligible to receive equity awards under our 2016 Stock Incentive Plan, as amended to date, or the 2016 Plan. During 2018 and 2019, all restricted stock awards and stock options (other than the IPO grants) were granted pursuant to the 2016 Plan. Following the closing of this offering, our employees and executives will be eligible to receive stock options and other stock-based awards pursuant to our 2019 Stock Incentive Plan, or the 2019 Plan.</w:t>
      </w:r>
    </w:p>
    <w:p>
      <w:pPr>
        <w:spacing w:after="0" w:line="197" w:lineRule="exact"/>
        <w:rPr>
          <w:sz w:val="20"/>
          <w:szCs w:val="20"/>
          <w:color w:val="auto"/>
        </w:rPr>
      </w:pPr>
    </w:p>
    <w:p>
      <w:pPr>
        <w:jc w:val="both"/>
        <w:ind w:firstLine="382"/>
        <w:spacing w:after="0" w:line="306" w:lineRule="auto"/>
        <w:rPr>
          <w:sz w:val="20"/>
          <w:szCs w:val="20"/>
          <w:color w:val="auto"/>
        </w:rPr>
      </w:pPr>
      <w:r>
        <w:rPr>
          <w:rFonts w:ascii="Arial" w:cs="Arial" w:eastAsia="Arial" w:hAnsi="Arial"/>
          <w:sz w:val="16"/>
          <w:szCs w:val="16"/>
          <w:color w:val="auto"/>
        </w:rPr>
        <w:t>Prior to June 2018, we used restricted stock awards to compensate our executive officers in the form of initial grants in connection with the commencement of employment and also at various times, often but not necessarily annually, if we had performed as expected or better than expected. Since June 2018, we typically use stock options to compensate our executive officers in connection with the commencement of employment and also at various times.</w:t>
      </w:r>
    </w:p>
    <w:p>
      <w:pPr>
        <w:spacing w:after="0" w:line="161" w:lineRule="exact"/>
        <w:rPr>
          <w:sz w:val="20"/>
          <w:szCs w:val="20"/>
          <w:color w:val="auto"/>
        </w:rPr>
      </w:pPr>
    </w:p>
    <w:p>
      <w:pPr>
        <w:jc w:val="both"/>
        <w:ind w:firstLine="373"/>
        <w:spacing w:after="0" w:line="288" w:lineRule="auto"/>
        <w:rPr>
          <w:sz w:val="20"/>
          <w:szCs w:val="20"/>
          <w:color w:val="auto"/>
        </w:rPr>
      </w:pPr>
      <w:r>
        <w:rPr>
          <w:rFonts w:ascii="Arial" w:cs="Arial" w:eastAsia="Arial" w:hAnsi="Arial"/>
          <w:sz w:val="16"/>
          <w:szCs w:val="16"/>
          <w:color w:val="auto"/>
        </w:rPr>
        <w:t>Prior to this offering, awards of restricted stock and stock options to our executive officers have been made by our board of directors. None of our executive officers is currently party to an employment agreement that provides for the automatic award of restricted stock or stock options. We have granted restricted stock and option awards to our executive officers with time-based vesting. The restricted stock and option awards that we have granted to our executive officers in connection with commencement of employment typically become exercisable as to 25% of the shares underlying the award on the first anniversary of the grant date and as to an additional 6.25% of the original number of shares underlying the award quarterly thereafter. The restricted stock and option awards that we have granted to our executive officers at times other than in connection with employment typically become exercisable in equal quarterly installments over a term of four years from the applicable vesting commencement date. Vesting rights cease upon termination of employment and exercise rights for options cease shortly after termination. Prior to the exercise of an option, the holder has no rights as a stockholder with respect to the shares subject to such option, including no voting rights and no right to receive dividends or dividend equivalents.</w:t>
      </w:r>
    </w:p>
    <w:p>
      <w:pPr>
        <w:spacing w:after="0" w:line="174" w:lineRule="exact"/>
        <w:rPr>
          <w:sz w:val="20"/>
          <w:szCs w:val="20"/>
          <w:color w:val="auto"/>
        </w:rPr>
      </w:pPr>
    </w:p>
    <w:p>
      <w:pPr>
        <w:jc w:val="both"/>
        <w:ind w:firstLine="542"/>
        <w:spacing w:after="0" w:line="256" w:lineRule="auto"/>
        <w:rPr>
          <w:sz w:val="20"/>
          <w:szCs w:val="20"/>
          <w:color w:val="auto"/>
        </w:rPr>
      </w:pPr>
      <w:r>
        <w:rPr>
          <w:rFonts w:ascii="Arial" w:cs="Arial" w:eastAsia="Arial" w:hAnsi="Arial"/>
          <w:sz w:val="18"/>
          <w:szCs w:val="18"/>
          <w:color w:val="auto"/>
        </w:rPr>
        <w:t>We have historically granted stock options with exercise prices that are equal to the fair market value of our common stock on the date of grant as determined by our board of directors, based on a number of objective and subjective factors. The exercise price of all stock options granted after the closing of this offering will be equal to the fair market value of shares of our common stock on the date of grant, which will be determined by reference to the closing market price of our common stock on the date of grant.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2018</w:t>
      </w:r>
    </w:p>
    <w:p>
      <w:pPr>
        <w:spacing w:after="0" w:line="231" w:lineRule="exact"/>
        <w:rPr>
          <w:sz w:val="20"/>
          <w:szCs w:val="20"/>
          <w:color w:val="auto"/>
        </w:rPr>
      </w:pPr>
    </w:p>
    <w:p>
      <w:pPr>
        <w:ind w:firstLine="435"/>
        <w:spacing w:after="0" w:line="268" w:lineRule="auto"/>
        <w:rPr>
          <w:sz w:val="20"/>
          <w:szCs w:val="20"/>
          <w:color w:val="auto"/>
        </w:rPr>
      </w:pPr>
      <w:r>
        <w:rPr>
          <w:rFonts w:ascii="Arial" w:cs="Arial" w:eastAsia="Arial" w:hAnsi="Arial"/>
          <w:sz w:val="18"/>
          <w:szCs w:val="18"/>
          <w:color w:val="auto"/>
        </w:rPr>
        <w:t>The following table sets forth information regarding all outstanding stock options and restricted stock held by each of our named executive officers as of December 31,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Stock Awards</w:t>
            </w:r>
          </w:p>
        </w:tc>
        <w:tc>
          <w:tcPr>
            <w:tcW w:w="1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gridSpan w:val="3"/>
            <w:vMerge w:val="restart"/>
          </w:tcPr>
          <w:p>
            <w:pPr>
              <w:jc w:val="center"/>
              <w:ind w:right="1180"/>
              <w:spacing w:after="0"/>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securities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1"/>
                <w:szCs w:val="11"/>
                <w:color w:val="auto"/>
              </w:rPr>
            </w:pPr>
          </w:p>
        </w:tc>
        <w:tc>
          <w:tcPr>
            <w:tcW w:w="2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shares or units</w:t>
            </w:r>
          </w:p>
        </w:tc>
        <w:tc>
          <w:tcPr>
            <w:tcW w:w="200" w:type="dxa"/>
            <w:vAlign w:val="bottom"/>
          </w:tcPr>
          <w:p>
            <w:pPr>
              <w:spacing w:after="0"/>
              <w:rPr>
                <w:sz w:val="12"/>
                <w:szCs w:val="12"/>
                <w:color w:val="auto"/>
              </w:rPr>
            </w:pPr>
          </w:p>
        </w:tc>
        <w:tc>
          <w:tcPr>
            <w:tcW w:w="22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stock that</w:t>
            </w:r>
          </w:p>
        </w:tc>
        <w:tc>
          <w:tcPr>
            <w:tcW w:w="200" w:type="dxa"/>
            <w:vAlign w:val="bottom"/>
          </w:tcPr>
          <w:p>
            <w:pPr>
              <w:spacing w:after="0"/>
              <w:rPr>
                <w:sz w:val="12"/>
                <w:szCs w:val="12"/>
                <w:color w:val="auto"/>
              </w:rPr>
            </w:pPr>
          </w:p>
        </w:tc>
        <w:tc>
          <w:tcPr>
            <w:tcW w:w="22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of 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price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expiration</w:t>
            </w:r>
          </w:p>
        </w:tc>
        <w:tc>
          <w:tcPr>
            <w:tcW w:w="1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have not vested</w:t>
            </w:r>
          </w:p>
        </w:tc>
        <w:tc>
          <w:tcPr>
            <w:tcW w:w="200" w:type="dxa"/>
            <w:vAlign w:val="bottom"/>
          </w:tcPr>
          <w:p>
            <w:pPr>
              <w:spacing w:after="0"/>
              <w:rPr>
                <w:sz w:val="12"/>
                <w:szCs w:val="12"/>
                <w:color w:val="auto"/>
              </w:rPr>
            </w:pPr>
          </w:p>
        </w:tc>
        <w:tc>
          <w:tcPr>
            <w:tcW w:w="22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have not vested</w:t>
            </w: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89"/>
              </w:rPr>
              <w:t>Name</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exercisable</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unexercisable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12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300" w:type="dxa"/>
            <w:vAlign w:val="bottom"/>
            <w:gridSpan w:val="2"/>
          </w:tcPr>
          <w:p>
            <w:pPr>
              <w:jc w:val="center"/>
              <w:ind w:left="105"/>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1,125,000</w:t>
            </w:r>
            <w:r>
              <w:rPr>
                <w:rFonts w:ascii="Arial" w:cs="Arial" w:eastAsia="Arial" w:hAnsi="Arial"/>
                <w:sz w:val="14"/>
                <w:szCs w:val="14"/>
                <w:color w:val="auto"/>
              </w:rPr>
              <w:t>(2)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150,000</w:t>
            </w:r>
            <w:r>
              <w:rPr>
                <w:rFonts w:ascii="Arial" w:cs="Arial" w:eastAsia="Arial" w:hAnsi="Arial"/>
                <w:sz w:val="14"/>
                <w:szCs w:val="14"/>
                <w:color w:val="auto"/>
              </w:rPr>
              <w:t>(3)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337,500</w:t>
            </w:r>
            <w:r>
              <w:rPr>
                <w:rFonts w:ascii="Arial" w:cs="Arial" w:eastAsia="Arial" w:hAnsi="Arial"/>
                <w:sz w:val="14"/>
                <w:szCs w:val="14"/>
                <w:color w:val="auto"/>
              </w:rPr>
              <w:t>(4)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Bryan Stuart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2,125,000</w:t>
            </w:r>
            <w:r>
              <w:rPr>
                <w:rFonts w:ascii="Arial" w:cs="Arial" w:eastAsia="Arial" w:hAnsi="Arial"/>
                <w:sz w:val="14"/>
                <w:szCs w:val="14"/>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10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12/17/2028</w:t>
            </w: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Diego Cadavid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117,188</w:t>
            </w:r>
            <w:r>
              <w:rPr>
                <w:rFonts w:ascii="Arial" w:cs="Arial" w:eastAsia="Arial" w:hAnsi="Arial"/>
                <w:sz w:val="14"/>
                <w:szCs w:val="14"/>
                <w:color w:val="auto"/>
              </w:rPr>
              <w:t>(6)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7/10/2028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175,000</w:t>
            </w:r>
            <w:r>
              <w:rPr>
                <w:rFonts w:ascii="Arial" w:cs="Arial" w:eastAsia="Arial" w:hAnsi="Arial"/>
                <w:sz w:val="14"/>
                <w:szCs w:val="14"/>
                <w:color w:val="auto"/>
              </w:rPr>
              <w:t>(7)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18,750</w:t>
            </w:r>
            <w:r>
              <w:rPr>
                <w:rFonts w:ascii="Arial" w:cs="Arial" w:eastAsia="Arial" w:hAnsi="Arial"/>
                <w:sz w:val="14"/>
                <w:szCs w:val="14"/>
                <w:color w:val="auto"/>
              </w:rPr>
              <w:t>(8)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45,000</w:t>
            </w:r>
            <w:r>
              <w:rPr>
                <w:rFonts w:ascii="Arial" w:cs="Arial" w:eastAsia="Arial" w:hAnsi="Arial"/>
                <w:sz w:val="14"/>
                <w:szCs w:val="14"/>
                <w:color w:val="auto"/>
              </w:rPr>
              <w:t>(9)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140" w:type="dxa"/>
            <w:vAlign w:val="bottom"/>
            <w:gridSpan w:val="14"/>
          </w:tcPr>
          <w:p>
            <w:pPr>
              <w:spacing w:after="0"/>
              <w:rPr>
                <w:sz w:val="9"/>
                <w:szCs w:val="9"/>
                <w:color w:val="auto"/>
              </w:rPr>
            </w:pPr>
          </w:p>
        </w:tc>
        <w:tc>
          <w:tcPr>
            <w:tcW w:w="246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360" w:type="dxa"/>
            <w:vAlign w:val="bottom"/>
            <w:gridSpan w:val="2"/>
          </w:tcPr>
          <w:p>
            <w:pPr>
              <w:spacing w:after="0"/>
              <w:rPr>
                <w:sz w:val="20"/>
                <w:szCs w:val="20"/>
                <w:color w:val="auto"/>
              </w:rPr>
            </w:pPr>
            <w:r>
              <w:rPr>
                <w:rFonts w:ascii="Arial" w:cs="Arial" w:eastAsia="Arial" w:hAnsi="Arial"/>
                <w:sz w:val="18"/>
                <w:szCs w:val="18"/>
                <w:color w:val="auto"/>
              </w:rPr>
              <w:t>(1)</w:t>
            </w:r>
          </w:p>
        </w:tc>
        <w:tc>
          <w:tcPr>
            <w:tcW w:w="7440" w:type="dxa"/>
            <w:vAlign w:val="bottom"/>
            <w:gridSpan w:val="15"/>
          </w:tcPr>
          <w:p>
            <w:pPr>
              <w:ind w:left="180"/>
              <w:spacing w:after="0"/>
              <w:rPr>
                <w:sz w:val="20"/>
                <w:szCs w:val="20"/>
                <w:color w:val="auto"/>
              </w:rPr>
            </w:pPr>
            <w:r>
              <w:rPr>
                <w:rFonts w:ascii="Arial" w:cs="Arial" w:eastAsia="Arial" w:hAnsi="Arial"/>
                <w:sz w:val="18"/>
                <w:szCs w:val="18"/>
                <w:color w:val="auto"/>
                <w:w w:val="96"/>
              </w:rPr>
              <w:t>The market price of our common stock is based on an assumed initial public offering price of $</w:t>
            </w:r>
          </w:p>
        </w:tc>
        <w:tc>
          <w:tcPr>
            <w:tcW w:w="2460" w:type="dxa"/>
            <w:vAlign w:val="bottom"/>
            <w:gridSpan w:val="4"/>
          </w:tcPr>
          <w:p>
            <w:pPr>
              <w:ind w:left="20"/>
              <w:spacing w:after="0"/>
              <w:rPr>
                <w:sz w:val="20"/>
                <w:szCs w:val="20"/>
                <w:color w:val="auto"/>
              </w:rPr>
            </w:pPr>
            <w:r>
              <w:rPr>
                <w:rFonts w:ascii="Arial" w:cs="Arial" w:eastAsia="Arial" w:hAnsi="Arial"/>
                <w:sz w:val="18"/>
                <w:szCs w:val="18"/>
                <w:color w:val="auto"/>
                <w:w w:val="88"/>
              </w:rPr>
              <w:t>per share, which is the midpoint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gridSpan w:val="9"/>
          </w:tcPr>
          <w:p>
            <w:pPr>
              <w:ind w:left="180"/>
              <w:spacing w:after="0"/>
              <w:rPr>
                <w:sz w:val="20"/>
                <w:szCs w:val="20"/>
                <w:color w:val="auto"/>
              </w:rPr>
            </w:pPr>
            <w:r>
              <w:rPr>
                <w:rFonts w:ascii="Arial" w:cs="Arial" w:eastAsia="Arial" w:hAnsi="Arial"/>
                <w:sz w:val="18"/>
                <w:szCs w:val="18"/>
                <w:color w:val="auto"/>
                <w:w w:val="88"/>
              </w:rPr>
              <w:t>the price range set forth on the cover page of this prospectus.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1680" w:right="20" w:hanging="531"/>
        <w:spacing w:after="0" w:line="370" w:lineRule="auto"/>
        <w:tabs>
          <w:tab w:leader="none" w:pos="16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Dr. Gould's restricted stock award for 3,000,000 shares vests over four years, with 25% of the shares vested on June 20, 2017, and 6.25% of the original number of shares vesting thereafter in equal quarterly installments through June 20, 2020, subject to continued service.</w:t>
      </w:r>
    </w:p>
    <w:p>
      <w:pPr>
        <w:spacing w:after="0" w:line="129" w:lineRule="exact"/>
        <w:rPr>
          <w:rFonts w:ascii="Arial" w:cs="Arial" w:eastAsia="Arial" w:hAnsi="Arial"/>
          <w:sz w:val="15"/>
          <w:szCs w:val="15"/>
          <w:color w:val="auto"/>
        </w:rPr>
      </w:pPr>
    </w:p>
    <w:p>
      <w:pPr>
        <w:ind w:left="1680" w:right="2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Gould's restricted stock award for 300,000 shares vests over four years, in equal quarterly installments through January 1, 2021, subject to continued service.</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Gould's restricted stock award for 450,000 shares vests over four years, in equal quarterly installments through January 1, 2022, subject to continued service.</w:t>
      </w:r>
    </w:p>
    <w:p>
      <w:pPr>
        <w:spacing w:after="0" w:line="212" w:lineRule="exact"/>
        <w:rPr>
          <w:rFonts w:ascii="Arial" w:cs="Arial" w:eastAsia="Arial" w:hAnsi="Arial"/>
          <w:sz w:val="18"/>
          <w:szCs w:val="18"/>
          <w:color w:val="auto"/>
        </w:rPr>
      </w:pPr>
    </w:p>
    <w:p>
      <w:pPr>
        <w:ind w:left="1680" w:hanging="531"/>
        <w:spacing w:after="0" w:line="370" w:lineRule="auto"/>
        <w:tabs>
          <w:tab w:leader="none" w:pos="16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Mr. Stuart's option award for 2,125,000 shares vests over four years, with 25% of the shares vesting on December 17, 2019, and 6.25% of the original number of shares vesting thereafter in equal quarterly installments through December 17, 2022, subject to continued service.</w:t>
      </w:r>
    </w:p>
    <w:p>
      <w:pPr>
        <w:spacing w:after="0" w:line="129" w:lineRule="exact"/>
        <w:rPr>
          <w:rFonts w:ascii="Arial" w:cs="Arial" w:eastAsia="Arial" w:hAnsi="Arial"/>
          <w:sz w:val="15"/>
          <w:szCs w:val="15"/>
          <w:color w:val="auto"/>
        </w:rPr>
      </w:pPr>
    </w:p>
    <w:p>
      <w:pPr>
        <w:ind w:left="168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Cadavid's option award for 125,000 shares vests over four years, in equal quarterly installments through July 16, 2022, subject to continued service.</w:t>
      </w:r>
    </w:p>
    <w:p>
      <w:pPr>
        <w:spacing w:after="0" w:line="199"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Cadavid's restricted stock award for 400,000 shares vests over four years, with 25% of the shares vested on September 19, 2017, and 6.25% of the original number of shares vesting thereafter in equal quarterly installments through September 19, 2020, subject to continued service.</w:t>
      </w:r>
    </w:p>
    <w:p>
      <w:pPr>
        <w:spacing w:after="0" w:line="221"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Cadavid's restricted stock award for 37,500 shares vests over four years, in equal quarterly installments through January 1, 2021, subject to continued service.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Cadavid's restricted stock award for 60,000 shares vests over four years, in equal quarterly installments through January 1, 2022, subject to continued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 with Robert Gould</w:t>
      </w:r>
    </w:p>
    <w:p>
      <w:pPr>
        <w:spacing w:after="0" w:line="225" w:lineRule="exact"/>
        <w:rPr>
          <w:sz w:val="20"/>
          <w:szCs w:val="20"/>
          <w:color w:val="auto"/>
        </w:rPr>
      </w:pPr>
    </w:p>
    <w:p>
      <w:pPr>
        <w:ind w:right="20" w:firstLine="377"/>
        <w:spacing w:after="0" w:line="332" w:lineRule="auto"/>
        <w:rPr>
          <w:sz w:val="20"/>
          <w:szCs w:val="20"/>
          <w:color w:val="auto"/>
        </w:rPr>
      </w:pPr>
      <w:r>
        <w:rPr>
          <w:rFonts w:ascii="Arial" w:cs="Arial" w:eastAsia="Arial" w:hAnsi="Arial"/>
          <w:sz w:val="16"/>
          <w:szCs w:val="16"/>
          <w:color w:val="auto"/>
        </w:rPr>
        <w:t>In connection with our initial hiring of Dr. Gould as our president and chief executive officer, we entered into a letter agreement with him effective June 13, 2016. Under the letter agreement, Dr. Gould is an at will employee, and his employment with us can be terminated by him or us at any time and for 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reason, provided that Dr. Gould's letter agreement provides that Dr. Gould may terminate his employment voluntarily with us other than for good reason (as defined in the letter agreement) upon at least thirty (30) days' prior written notice to us.</w:t>
      </w:r>
    </w:p>
    <w:p>
      <w:pPr>
        <w:spacing w:after="0" w:line="186" w:lineRule="exact"/>
        <w:rPr>
          <w:sz w:val="20"/>
          <w:szCs w:val="20"/>
          <w:color w:val="auto"/>
        </w:rPr>
      </w:pPr>
    </w:p>
    <w:p>
      <w:pPr>
        <w:jc w:val="both"/>
        <w:ind w:firstLine="425"/>
        <w:spacing w:after="0" w:line="298" w:lineRule="auto"/>
        <w:rPr>
          <w:sz w:val="20"/>
          <w:szCs w:val="20"/>
          <w:color w:val="auto"/>
        </w:rPr>
      </w:pPr>
      <w:r>
        <w:rPr>
          <w:rFonts w:ascii="Arial" w:cs="Arial" w:eastAsia="Arial" w:hAnsi="Arial"/>
          <w:sz w:val="16"/>
          <w:szCs w:val="16"/>
          <w:color w:val="auto"/>
        </w:rPr>
        <w:t>The letter agreement provides that Dr. Gould is entitled to an annualized base salary of $420,000, and that he is eligible, at our sole discretion, to earn an annual bonus of 35% of his base salary based upon the achievement of corporate and individual goals, as agreed by the board of directors. Dr. Gould's letter agreement also provided that in connection with our consummation of a Series A preferred stock financing, he was entitled to the grant of a restricted stock award for 3,000,000 shares of our common stock, subject to a four-year vesting schedule, which restricted stock award was granted to Dr. Gould in July 2016.</w:t>
      </w:r>
    </w:p>
    <w:p>
      <w:pPr>
        <w:spacing w:after="0" w:line="167"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Under the letter agreement, Dr. Gould is entitled, subject to his execution and nonrevocation of a separation agreement and a general release of claims in our favor, in the event of the termination of his employment by us without cause, as defined in his letter agreement with us, to (i) receive 12 months of his then-current annual base salary, payable in equal installments during the six month period following the date his employment with us is terminated, and (ii) our continuing to pay COBRA premiums for health benefit coverage on his behalf, for a period of 12 months following the date his employment with us is terminated, at the same rate as we pay for active employees, subject to applicable COBRA terms and in compliance with applicable non-discrimination or other requirements under the Internal Revenue Code of 1986, as amended, or the Code or the ACA.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 with Bryan Stuart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our initial hiring of Mr. Stuart as our chief operating officer, we entered into a letter agreement with him effective December 6, 2018.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 the letter agreement, Mr. Stuart is an at will employee, and his employment with us can be terminated by him or us at any time and for any reason.</w:t>
      </w:r>
    </w:p>
    <w:p>
      <w:pPr>
        <w:spacing w:after="0" w:line="242" w:lineRule="exact"/>
        <w:rPr>
          <w:sz w:val="20"/>
          <w:szCs w:val="20"/>
          <w:color w:val="auto"/>
        </w:rPr>
      </w:pPr>
    </w:p>
    <w:p>
      <w:pPr>
        <w:jc w:val="both"/>
        <w:ind w:firstLine="425"/>
        <w:spacing w:after="0" w:line="255" w:lineRule="auto"/>
        <w:rPr>
          <w:sz w:val="20"/>
          <w:szCs w:val="20"/>
          <w:color w:val="auto"/>
        </w:rPr>
      </w:pPr>
      <w:r>
        <w:rPr>
          <w:rFonts w:ascii="Arial" w:cs="Arial" w:eastAsia="Arial" w:hAnsi="Arial"/>
          <w:sz w:val="18"/>
          <w:szCs w:val="18"/>
          <w:color w:val="auto"/>
        </w:rPr>
        <w:t>The letter agreement provides that Mr. Stuart is entitled to an annualized base salary of $400,000, and that he is eligible, at our sole discretion, to earn an annual bonus of 35% of his base salary based upon the achievement of corporate and individual goals, as agreed by the board of directors. Mr. Stuart's letter agreement also provided that he was entitled to the grant of an option to purchase 2,125,000 shares of our common stock, with an exercise price per share price equal to the fair market value of a share of our common stock on the grant date, subject to a four-year vesting schedule, which option award was granted to Mr. Stuart in December 2018.</w:t>
      </w:r>
    </w:p>
    <w:p>
      <w:pPr>
        <w:spacing w:after="0" w:line="197" w:lineRule="exact"/>
        <w:rPr>
          <w:sz w:val="20"/>
          <w:szCs w:val="20"/>
          <w:color w:val="auto"/>
        </w:rPr>
      </w:pPr>
    </w:p>
    <w:p>
      <w:pPr>
        <w:jc w:val="both"/>
        <w:ind w:firstLine="361"/>
        <w:spacing w:after="0" w:line="284" w:lineRule="auto"/>
        <w:rPr>
          <w:sz w:val="20"/>
          <w:szCs w:val="20"/>
          <w:color w:val="auto"/>
        </w:rPr>
      </w:pPr>
      <w:r>
        <w:rPr>
          <w:rFonts w:ascii="Arial" w:cs="Arial" w:eastAsia="Arial" w:hAnsi="Arial"/>
          <w:sz w:val="16"/>
          <w:szCs w:val="16"/>
          <w:color w:val="auto"/>
        </w:rPr>
        <w:t>Under the letter agreement, Mr. Stuart is entitled, subject to his execution and nonrevocation of a separation agreement and a general release of claims in our favor, in the event of the termination of his employment by us without cause, as defined in his letter agreement with us, to (i) receive six months of his then-current annual base salary, payable in equal installments during the six month period following the date his employment with us is terminated, provided that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first installment shall be made on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his employment with us is terminated and will include payment of any installment that was otherwise due prior thereto, and (ii) our continuing to pay our share of COBRA premiums for health benefit coverage on his behalf to the same extent we were paying such premiums immediately prior to his termination, for a period of six months following the date that his employment with us is terminated, provided he is eligible for and elects COBRA coverage and continues to pay his share of the COBRA premiums.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 with Diego Cadavid</w:t>
      </w:r>
    </w:p>
    <w:p>
      <w:pPr>
        <w:spacing w:after="0" w:line="225"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8"/>
          <w:szCs w:val="18"/>
          <w:color w:val="auto"/>
        </w:rPr>
        <w:t>In connection with our initial hiring of Dr. Cadavid as our vice president, clinical development, we entered into a letter agreement with him effective August 10, 2016. Under the letter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Cadavid is an at will employee, and his employment with us can be terminated by him or us at any time and for any reason.</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The letter agreement provides that Dr. Cadavid is entitled to an annualized base salary of $333,000, and that he is eligible, at our sole discretion, to earn an annual bonus of 25% of his base salary based upon the achievement of corporate and individual goals, as agreed by the board of directors. Dr. Cadavid's letter agreement also provided that he was entitled to (i) a $150,000 cash bonus in connection with the commencement of his employment, of which $125,000 was paid in September 2016 and $25,000 was paid in September 2017 and (ii) the grant of a restricted stock award for 400,000 shares of our common stock, with a purchase price per share price equal to the fair market value of a share of our common stock on the grant date, subject to a four-year vesting schedule, which restricted stock award was granted to Dr. Cadavid in October 2016.</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 Cadavid was promoted to the position of senior vice president, clinical development on July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Non-Competition, Non-Solicitation, Confidentiality and Assignment of Inventions Agreements</w:t>
      </w:r>
    </w:p>
    <w:p>
      <w:pPr>
        <w:spacing w:after="0" w:line="225" w:lineRule="exact"/>
        <w:rPr>
          <w:sz w:val="20"/>
          <w:szCs w:val="20"/>
          <w:color w:val="auto"/>
        </w:rPr>
      </w:pPr>
    </w:p>
    <w:p>
      <w:pPr>
        <w:jc w:val="both"/>
        <w:ind w:firstLine="375"/>
        <w:spacing w:after="0" w:line="332" w:lineRule="auto"/>
        <w:rPr>
          <w:sz w:val="20"/>
          <w:szCs w:val="20"/>
          <w:color w:val="auto"/>
        </w:rPr>
      </w:pPr>
      <w:r>
        <w:rPr>
          <w:rFonts w:ascii="Arial" w:cs="Arial" w:eastAsia="Arial" w:hAnsi="Arial"/>
          <w:sz w:val="16"/>
          <w:szCs w:val="16"/>
          <w:color w:val="auto"/>
        </w:rPr>
        <w:t>Each of our named executive officers has entered into a standard form agreement with respect to non-competition, non-solicitation, confidential information and assignment of inventions. In addition, certain of our named executive officers are subject to non-competition restrictions.</w:t>
      </w:r>
    </w:p>
    <w:p>
      <w:pPr>
        <w:spacing w:after="0" w:line="139" w:lineRule="exact"/>
        <w:rPr>
          <w:sz w:val="20"/>
          <w:szCs w:val="20"/>
          <w:color w:val="auto"/>
        </w:rPr>
      </w:pPr>
    </w:p>
    <w:p>
      <w:pPr>
        <w:jc w:val="both"/>
        <w:ind w:firstLine="398"/>
        <w:spacing w:after="0" w:line="286" w:lineRule="auto"/>
        <w:rPr>
          <w:sz w:val="20"/>
          <w:szCs w:val="20"/>
          <w:color w:val="auto"/>
        </w:rPr>
      </w:pPr>
      <w:r>
        <w:rPr>
          <w:rFonts w:ascii="Arial" w:cs="Arial" w:eastAsia="Arial" w:hAnsi="Arial"/>
          <w:sz w:val="16"/>
          <w:szCs w:val="16"/>
          <w:color w:val="auto"/>
        </w:rPr>
        <w:t>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royalty-free, paid-up, irrevocable, worldwide license for any prior inventions that such executive officer incorporates into any of our products, processes, machines or other works, in the course of such executive officer's employment with us. Under their respective agreements, each of Dr. Gould and Dr. Cadavid has further agreed not to compete with us during his employment and for a period of one year after the termination of his employment, not to solicit our employees, consultants, customers, business or prospective customers during his employment and for a period of one year after the termination of his employment, and to protect our confidential and proprietary information indefinitely. Under his agreement, Mr. Stuart agreed not to solicit our employees, consultants, customers, business or prospective customers during his employment and for a period of one year after the termination of his employment and to protect our confidential and proprietary information indefinitely.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In this section we describe our 2016 Plan, our 2019 Plan and our 2019 Employee Stock Purchase Plan, or the 2019 ESPP. Prior to this offering, we granted awards to eligible participants under the 2016 Plan. Following the effectiveness of the 2019 Plan, we expect to grant awards to eligible participants from time to time only under the 2019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jc w:val="both"/>
        <w:ind w:firstLine="423"/>
        <w:spacing w:after="0" w:line="306" w:lineRule="auto"/>
        <w:rPr>
          <w:sz w:val="20"/>
          <w:szCs w:val="20"/>
          <w:color w:val="auto"/>
        </w:rPr>
      </w:pPr>
      <w:r>
        <w:rPr>
          <w:rFonts w:ascii="Arial" w:cs="Arial" w:eastAsia="Arial" w:hAnsi="Arial"/>
          <w:sz w:val="16"/>
          <w:szCs w:val="16"/>
          <w:color w:val="auto"/>
        </w:rPr>
        <w:t>The 2016 Plan was initially approved by our board of directors and stockholders in July 2016 and was subsequently amended in 2017, 2018 and 2019, in each case to increase the total number of shares reserved for issuance under the plan. The 2016 Plan provides for the grant of incentive stock options, nonstatutory options, stock appreciation rights, awards of restricted stock, restricted stock units and other stock-based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awards. Our employees, officers, directors, consultants and advisors are eligible to receive awards under the 2016 Plan; however, incentive stock options may only be granted to our employees. The type of award granted under the 2016 Plan and the terms of such award are set forth in the applicable award agreement. Pursuant to the terms of the 2016 Plan, our board of directors (or a committee delegated by our board of directors) administers the plan and, subject to any limitations in the plan, selects the recipients of awards and determines:</w:t>
      </w:r>
    </w:p>
    <w:p>
      <w:pPr>
        <w:spacing w:after="0" w:line="211"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exercise price of options, which must be at least equal to the fair market value of our common stock on the date of grant; and</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and the terms of any stock appreciation rights, restricted stock awards, restricted stock units or other stock-based awards and the terms and conditions of such awards, including conditions for repurchase,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67" w:lineRule="exact"/>
        <w:rPr>
          <w:sz w:val="20"/>
          <w:szCs w:val="20"/>
          <w:color w:val="auto"/>
        </w:rPr>
      </w:pPr>
    </w:p>
    <w:p>
      <w:pPr>
        <w:jc w:val="both"/>
        <w:ind w:firstLine="439"/>
        <w:spacing w:after="0" w:line="370" w:lineRule="auto"/>
        <w:rPr>
          <w:sz w:val="20"/>
          <w:szCs w:val="20"/>
          <w:color w:val="auto"/>
        </w:rPr>
      </w:pPr>
      <w:r>
        <w:rPr>
          <w:rFonts w:ascii="Arial" w:cs="Arial" w:eastAsia="Arial" w:hAnsi="Arial"/>
          <w:sz w:val="15"/>
          <w:szCs w:val="15"/>
          <w:color w:val="auto"/>
        </w:rPr>
        <w:t>The maximum number of shares of common stock authorized for issuance under the 2016 Plan is 24,965,000 shares. Our board of directors may amend, suspend or terminate the 2016 Plan (or any portion of the 2016 Plan) at any time, except that stockholder approval may be required to comply with applicable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Changes in Capitalization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Upon the occurrence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under the terms of the 2016 Plan, we are required to equitably adjust (or make substitute awards, if applicable), in the manner determined by our board of directors:</w:t>
      </w:r>
    </w:p>
    <w:p>
      <w:pPr>
        <w:spacing w:after="0" w:line="174"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2016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 and per-share provisions and the measurement price of each outstanding stock appreciation right;</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shares subject to and the repurchase price per share subject to each outstanding restricted stock award or restricted stock unit award;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 and per-share-related provisions and the purchase price, if any, of each outstanding other stock-based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225" w:lineRule="exact"/>
        <w:rPr>
          <w:sz w:val="20"/>
          <w:szCs w:val="20"/>
          <w:color w:val="auto"/>
        </w:rPr>
      </w:pPr>
    </w:p>
    <w:p>
      <w:pPr>
        <w:ind w:firstLine="510"/>
        <w:spacing w:after="0" w:line="332" w:lineRule="auto"/>
        <w:rPr>
          <w:sz w:val="20"/>
          <w:szCs w:val="20"/>
          <w:color w:val="auto"/>
        </w:rPr>
      </w:pPr>
      <w:r>
        <w:rPr>
          <w:rFonts w:ascii="Arial" w:cs="Arial" w:eastAsia="Arial" w:hAnsi="Arial"/>
          <w:sz w:val="16"/>
          <w:szCs w:val="16"/>
          <w:color w:val="auto"/>
        </w:rPr>
        <w:t>Upon the occurrence of a merger or other reorganization event (as defined in the 2016 Plan), our board of directors may, on such terms as our board determines (except to the extent specifically provided otherwise in an applicable award agreement or other agreement between the participant and us), take 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one or more of the following actions pursuant to the 2016 Plan as to all or any (or any portion of) outstanding awards, other than awards of restricted stock:</w:t>
      </w:r>
    </w:p>
    <w:p>
      <w:pPr>
        <w:spacing w:after="0" w:line="262" w:lineRule="exact"/>
        <w:rPr>
          <w:sz w:val="20"/>
          <w:szCs w:val="20"/>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of the acquiring or succeeding corporation);</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all of the participant's unexercised awards will terminate immediately prior to the consummation of the reorganization event unless exercised by the participant (to the extent then exercisable) within a specified period following the date of the notice;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such reorganization event;</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the reorganization event) multiplied by (2) the excess, if any, of the cash payment for each share surrendered in the reorganization event over the exercise, measurement or purchase price of such award and any applicable tax withholdings, in exchange for the termination of the award;</w:t>
      </w:r>
    </w:p>
    <w:p>
      <w:pPr>
        <w:spacing w:after="0" w:line="225"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is not obligated under the 2016 Plan to treat all awards, all awards held by a participant, or all awards of the same type, identically.</w:t>
      </w:r>
    </w:p>
    <w:p>
      <w:pPr>
        <w:spacing w:after="0" w:line="248"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jc w:val="both"/>
        <w:ind w:firstLine="366"/>
        <w:spacing w:after="0" w:line="312" w:lineRule="auto"/>
        <w:rPr>
          <w:sz w:val="20"/>
          <w:szCs w:val="20"/>
          <w:color w:val="auto"/>
        </w:rPr>
      </w:pPr>
      <w:r>
        <w:rPr>
          <w:rFonts w:ascii="Arial" w:cs="Arial" w:eastAsia="Arial" w:hAnsi="Arial"/>
          <w:sz w:val="15"/>
          <w:szCs w:val="15"/>
          <w:color w:val="auto"/>
        </w:rPr>
        <w:t>Upon the occurrence of a reorganization event other than our liquidation or dissolution, our repurchase and other rights with respect to outstanding restricted stock awards will continue for the benefit of the succeeding company and will, unless our board of directors determines otherwise, apply to the cash, securities, or other property which our common stock was converted into or exchanged for in the reorganization event in the same manner and to the same extent as they applied to the common stock subject to the restricted stock award. However, the board may provide for the termination or deemed satisfaction of such repurchase or other rights under the restricted stock award agreement or any other agreement between a participant and us, either initially or by amendment. Upon our liquidation or dissolution, except to the extent specifically provided to the contrary in the restricted stock award agreement or any other agreement between the plan participant and us, all restrictions and conditions on all restricted stock awards then outstanding will automatically be deemed terminated or satisfied.</w:t>
      </w:r>
    </w:p>
    <w:p>
      <w:pPr>
        <w:spacing w:after="0" w:line="159"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Our board of directors may at any time provide that any award under the 2016 Plan will become immediately exercisable in whole or in part, free of some or all restrictions or conditions, or otherwise realizable in whole or in part, as the case may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color w:val="auto"/>
        </w:rPr>
        <w:t>As of April 30, 2019, there were 11,740,125 shares of restricted common stock outstanding under the 2016 Plan, including 4,040,826 shares of unvested restricted common stock subject to repurchase by us. In addition, as of April 30, 2019, there were options to purchase 10,503,582 shares of common stock outstanding under the 2016 Plan at a weighted average exercise price of $1.09 per share, options to purchase 195,381 shares of our common stock had been exercised under the 2016 Plan and 2,565,912 shares of common stock were available for future issuance under the 2016 Plan. No further awards will be made under the 2016 Plan on or after the effectiveness of the registration statement for this offering; however, awards outstanding under the 2016 Plan will continue to be governed by their existing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jc w:val="both"/>
        <w:ind w:firstLine="362"/>
        <w:spacing w:after="0" w:line="286" w:lineRule="auto"/>
        <w:rPr>
          <w:sz w:val="20"/>
          <w:szCs w:val="20"/>
          <w:color w:val="auto"/>
        </w:rPr>
      </w:pPr>
      <w:r>
        <w:rPr>
          <w:rFonts w:ascii="Arial" w:cs="Arial" w:eastAsia="Arial" w:hAnsi="Arial"/>
          <w:sz w:val="16"/>
          <w:szCs w:val="16"/>
          <w:color w:val="auto"/>
        </w:rPr>
        <w:t>We expect our board of directors to adopt and our stockholders to approve the 2019 Plan, which will become effective immediately prior to the effectiveness of the registration statement of which this prospectus forms a part. The 2019 Plan provides for the grant of incentive stock options, nonstatutory stock options, stock appreciation rights, restricted stock awards, restricted stock units and other stock-based awards. Upon effectiveness of the 2019 Plan, the number of shares of our common stock that will be reserved for issuance under the 2019 Plan will be the sum of: (1) 14,120,000; plus (2) the number of shares (up to 16,569,250 shares) as is equal to the sum of (x) the number of shares of our common stock reserved for issuance under the 2016 Plan that remain available for grant under the 2016 Plan immediately prior to the effectiveness of the registration statement of which this prospectus forms a part and (y) the number of shares of our common stock subject to outstanding awards under the 2016 Plan that expire, terminate or are otherwise surrendered, cancelled, forfeited or repurchased by us at their original issuance price pursuant to a contractual repurchase right; plus (3) an annual increase, to be added on the first day of each fiscal year, beginning with the fiscal year ending December 31, 2020 and continuing until, and including, the fiscal year ending December 31, 2029, equal to the lowest of (i) 14,000,000 shares of our common stock, (ii) 4% of the number of shares of our common stock outstanding on the first day of such fiscal year and (iii) an amount determined by our board of directors.</w:t>
      </w:r>
    </w:p>
    <w:p>
      <w:pPr>
        <w:spacing w:after="0" w:line="181" w:lineRule="exact"/>
        <w:rPr>
          <w:sz w:val="20"/>
          <w:szCs w:val="20"/>
          <w:color w:val="auto"/>
        </w:rPr>
      </w:pPr>
    </w:p>
    <w:p>
      <w:pPr>
        <w:jc w:val="both"/>
        <w:ind w:firstLine="418"/>
        <w:spacing w:after="0" w:line="306" w:lineRule="auto"/>
        <w:rPr>
          <w:sz w:val="20"/>
          <w:szCs w:val="20"/>
          <w:color w:val="auto"/>
        </w:rPr>
      </w:pPr>
      <w:r>
        <w:rPr>
          <w:rFonts w:ascii="Arial" w:cs="Arial" w:eastAsia="Arial" w:hAnsi="Arial"/>
          <w:sz w:val="16"/>
          <w:szCs w:val="16"/>
          <w:color w:val="auto"/>
        </w:rPr>
        <w:t>Our employees, officers, directors, consultants and advisors will be eligible to receive awards under the 2019 Plan. Incentive stock options, however, may only be granted to our employees. Our board of directors has granted under the 2019 Plan options to purchase 2,159,544 shares of our common stock to certain of our employees and non-employee directors effective upon the commencement of trading of our common stock on the Nasdaq Stock Market.</w:t>
      </w:r>
    </w:p>
    <w:p>
      <w:pPr>
        <w:spacing w:after="0" w:line="161" w:lineRule="exact"/>
        <w:rPr>
          <w:sz w:val="20"/>
          <w:szCs w:val="20"/>
          <w:color w:val="auto"/>
        </w:rPr>
      </w:pPr>
    </w:p>
    <w:p>
      <w:pPr>
        <w:jc w:val="both"/>
        <w:ind w:firstLine="413"/>
        <w:spacing w:after="0" w:line="268" w:lineRule="auto"/>
        <w:rPr>
          <w:sz w:val="20"/>
          <w:szCs w:val="20"/>
          <w:color w:val="auto"/>
        </w:rPr>
      </w:pPr>
      <w:r>
        <w:rPr>
          <w:rFonts w:ascii="Arial" w:cs="Arial" w:eastAsia="Arial" w:hAnsi="Arial"/>
          <w:sz w:val="18"/>
          <w:szCs w:val="18"/>
          <w:color w:val="auto"/>
        </w:rPr>
        <w:t>Pursuant to the terms of the 2019 Plan, our board of directors (or a committee delegated by our board of directors) will administer the plan and, subject to any limitations in the plan, will select the recipients of awards and determine:</w:t>
      </w:r>
    </w:p>
    <w:p>
      <w:pPr>
        <w:spacing w:after="0" w:line="19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exercise price of options, which must be at least equal to the fair market value of our common stock on the date of grant; and</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and the terms of any stock appreciation rights, restricted stock awards, restricted stock units or other stock-based awards and the terms and conditions of such awards, including conditions for repurchase,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If our board of directors delegates authority to one or more of our officers to grant awards under the 2019 Plan, the officers will have the power to make awards to all of our employees, except officers and executive officers (as such terms are defined in the 2019 plan). Our board of directors will fix the terms of the awards to be granted by any such officer, the maximum number of shares subject to awards that such officer may make, and the time period in which such awards may be granted.</w:t>
      </w:r>
    </w:p>
    <w:p>
      <w:pPr>
        <w:spacing w:after="0" w:line="197" w:lineRule="exact"/>
        <w:rPr>
          <w:sz w:val="20"/>
          <w:szCs w:val="20"/>
          <w:color w:val="auto"/>
        </w:rPr>
      </w:pPr>
    </w:p>
    <w:p>
      <w:pPr>
        <w:jc w:val="both"/>
        <w:ind w:firstLine="407"/>
        <w:spacing w:after="0" w:line="291" w:lineRule="auto"/>
        <w:rPr>
          <w:sz w:val="20"/>
          <w:szCs w:val="20"/>
          <w:color w:val="auto"/>
        </w:rPr>
      </w:pPr>
      <w:r>
        <w:rPr>
          <w:rFonts w:ascii="Arial" w:cs="Arial" w:eastAsia="Arial" w:hAnsi="Arial"/>
          <w:sz w:val="16"/>
          <w:szCs w:val="16"/>
          <w:color w:val="auto"/>
        </w:rPr>
        <w:t>The 2019 Plan contains limits on awards that may be made under the 2019 Plan to our non-employee directors. In any calendar year, the value (calculated based on grant date fair value for financial reporting purposes) of shares of our common stock subject to awards granted under the 2019 Plan to an individual non-employee director, plus the amount of cash compensation paid to such individual non-employee director may not exceed $750,000 in the case of an incumbent director, $1,000,000 in the case of the chairman of our board of directors, or $1,000,000 in the case of a new director during his or her first year of service. However, our board of directors may make exceptions to this limit for individual non-employee directors in extraordinary circumstances, provided that the non-employee director receiving such additional compensation may not participate in the decision to award such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Changes in Capitalization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Upon the occurrence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under the terms of the 2019 Plan, we are required to equitably adjust (or make substitute awards, if applicable), in the manner determined by our board of directors:</w:t>
      </w:r>
    </w:p>
    <w:p>
      <w:pPr>
        <w:spacing w:after="0" w:line="174"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2019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 counting rules and sublimits of the 2019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 and per-share provisions and the measurement price of each outstanding stock appreciation right;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shares subject to, and the repurchase price per share subject to, each outstanding award of restricted stock;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 and per-share related provisions and the purchase price, if any, of each outstanding award of restricted stock units and each other stock-based award.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225"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Upon the occurrence of a merger or other reorganization event (as defined in the 2019 Plan), our board of directors may, on such terms as our board determines (except to the extent specifically provided otherwise in an applicable award agreement or other agreement between the participant and us), take any one or more of the following actions pursuant to the 2019 Plan as to all or any (or any portion of) outstanding awards, other than awards of restricted stock:</w:t>
      </w:r>
    </w:p>
    <w:p>
      <w:pPr>
        <w:spacing w:after="0" w:line="174" w:lineRule="exact"/>
        <w:rPr>
          <w:sz w:val="20"/>
          <w:szCs w:val="20"/>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of the acquiring or succeeding corporation);</w:t>
      </w:r>
    </w:p>
    <w:p>
      <w:pPr>
        <w:spacing w:after="0" w:line="212"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upon written notice to a participant, provide that all of the participant's unvested awards will be forfeited immediately prior to the consummation of the reorganization event, and/or vested but unexercised awards will terminate immediately prior to the consummation of the reorganization event unless exercised by the participant (to the extent then exercisable) within a specified period following the date of the notice;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such reorganization event;</w:t>
      </w:r>
    </w:p>
    <w:p>
      <w:pPr>
        <w:spacing w:after="0" w:line="212"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is not obligated under the 2019 Plan to treat all awards, all awards held by a participant, or all awards of the same type, identically.</w:t>
      </w:r>
    </w:p>
    <w:p>
      <w:pPr>
        <w:spacing w:after="0" w:line="248"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jc w:val="both"/>
        <w:ind w:firstLine="355"/>
        <w:spacing w:after="0" w:line="312" w:lineRule="auto"/>
        <w:rPr>
          <w:sz w:val="20"/>
          <w:szCs w:val="20"/>
          <w:color w:val="auto"/>
        </w:rPr>
      </w:pPr>
      <w:r>
        <w:rPr>
          <w:rFonts w:ascii="Arial" w:cs="Arial" w:eastAsia="Arial" w:hAnsi="Arial"/>
          <w:sz w:val="15"/>
          <w:szCs w:val="15"/>
          <w:color w:val="auto"/>
        </w:rPr>
        <w:t>Upon the occurrence of a reorganization event other than our liquidation or dissolution, our repurchase and other rights with respect to outstanding awards of restricted stock will continue for the benefit of the succeeding company and will, unless our board of directors determines otherwise, apply to the cash, securities, or other property which our common stock was converted into or exchanged for pursuant to the reorganization event in the same manner and to the same extent as they applied to the common stock subject to the restricted stock award. However, the board may provide for the termination or deemed satisfaction of such repurchase or other rights under the restricted stock award agreement or in any other agreement between a participant and us, either initially or by amendment. Upon our liquidation or dissolution, except to the extent specifically provided to the contrary in the restricted stock award agreement or any other agreement between the participant and us, all restrictions and conditions on all restricted stock awards then outstanding will automatically be deemed terminated or satisfied.</w:t>
      </w:r>
    </w:p>
    <w:p>
      <w:pPr>
        <w:spacing w:after="0" w:line="159" w:lineRule="exact"/>
        <w:rPr>
          <w:sz w:val="20"/>
          <w:szCs w:val="20"/>
          <w:color w:val="auto"/>
        </w:rPr>
      </w:pPr>
    </w:p>
    <w:p>
      <w:pPr>
        <w:jc w:val="both"/>
        <w:ind w:right="20" w:firstLine="341"/>
        <w:spacing w:after="0" w:line="268" w:lineRule="auto"/>
        <w:rPr>
          <w:sz w:val="20"/>
          <w:szCs w:val="20"/>
          <w:color w:val="auto"/>
        </w:rPr>
      </w:pPr>
      <w:r>
        <w:rPr>
          <w:rFonts w:ascii="Arial" w:cs="Arial" w:eastAsia="Arial" w:hAnsi="Arial"/>
          <w:sz w:val="18"/>
          <w:szCs w:val="18"/>
          <w:color w:val="auto"/>
        </w:rPr>
        <w:t>At any time, our board of directors may provide that any award under the 2019 Plan will become immediately exercisable in whole or in part, free of some or all restrictions or conditions, or otherwise realizable in whole or in part as the case may be.</w:t>
      </w:r>
    </w:p>
    <w:p>
      <w:pPr>
        <w:spacing w:after="0" w:line="186" w:lineRule="exact"/>
        <w:rPr>
          <w:sz w:val="20"/>
          <w:szCs w:val="20"/>
          <w:color w:val="auto"/>
        </w:rPr>
      </w:pPr>
    </w:p>
    <w:p>
      <w:pPr>
        <w:jc w:val="both"/>
        <w:ind w:firstLine="538"/>
        <w:spacing w:after="0" w:line="255" w:lineRule="auto"/>
        <w:rPr>
          <w:sz w:val="20"/>
          <w:szCs w:val="20"/>
          <w:color w:val="auto"/>
        </w:rPr>
      </w:pPr>
      <w:r>
        <w:rPr>
          <w:rFonts w:ascii="Arial" w:cs="Arial" w:eastAsia="Arial" w:hAnsi="Arial"/>
          <w:sz w:val="18"/>
          <w:szCs w:val="18"/>
          <w:color w:val="auto"/>
        </w:rPr>
        <w:t>Except with respect to certain actions requiring stockholder approval under the Code or Nasdaq rules, our board of directors may amend, modify or terminate any outstanding award under the 2019 Plan, including but not limited to, substituting for the award another award of the same or a different type, changing the date of exercise or realization, and converting an incentive stock option to a nonstatutory stock option, subject to certain participant consent requirements. However, unless our stockholders approve such action, the 2019 Plan provides that we may not (except as otherwise permitted in connection with a change in capitalization or reorganization event):</w:t>
      </w:r>
    </w:p>
    <w:p>
      <w:pPr>
        <w:spacing w:after="0" w:line="224" w:lineRule="exact"/>
        <w:rPr>
          <w:sz w:val="20"/>
          <w:szCs w:val="20"/>
          <w:color w:val="auto"/>
        </w:rPr>
      </w:pPr>
    </w:p>
    <w:p>
      <w:pPr>
        <w:ind w:left="1080" w:hanging="532"/>
        <w:spacing w:after="0" w:line="33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amend any outstanding stock option or stock appreciation right granted under the 2019 Plan to provide an exercise or measurement price per share that is lower than the then-current exercise or measurement price per share of such outstanding award;</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cancel any outstanding stock option or stock appreciation right (whether or not granted under the 2019 Plan) and grant a new award under the 2019 Plan in substitution for the cancelled award (other than substitute awards permitted in connection with a merger or consolidation of an entity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332" w:lineRule="auto"/>
        <w:rPr>
          <w:sz w:val="20"/>
          <w:szCs w:val="20"/>
          <w:color w:val="auto"/>
        </w:rPr>
      </w:pPr>
      <w:r>
        <w:rPr>
          <w:rFonts w:ascii="Arial" w:cs="Arial" w:eastAsia="Arial" w:hAnsi="Arial"/>
          <w:sz w:val="16"/>
          <w:szCs w:val="16"/>
          <w:color w:val="auto"/>
        </w:rPr>
        <w:t>with us or our acquisition of property or stock of another entity) covering the same or a different number of shares of our common stock and having an exercise or measurement price per share lower than the then-current exercise or measurement price per share of the cancelled award;</w:t>
      </w:r>
    </w:p>
    <w:p>
      <w:pPr>
        <w:spacing w:after="0" w:line="153" w:lineRule="exact"/>
        <w:rPr>
          <w:sz w:val="20"/>
          <w:szCs w:val="20"/>
          <w:color w:val="auto"/>
        </w:rPr>
      </w:pPr>
    </w:p>
    <w:p>
      <w:pPr>
        <w:jc w:val="both"/>
        <w:ind w:left="108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cancel in exchange for a cash payment any outstanding option or stock appreciation right with an exercise or measurement price per share above the then-current fair market value of our common stock (valued in the manner determined by (or in the manner approved by) our board of directors); or</w:t>
      </w:r>
    </w:p>
    <w:p>
      <w:pPr>
        <w:spacing w:after="0" w:line="221"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take any other action that constitutes a "repricing" within the meaning of Nasdaq rules or rules of any other exchange or marketplace on which our common stock is listed or traded.</w:t>
      </w:r>
    </w:p>
    <w:p>
      <w:pPr>
        <w:spacing w:after="0" w:line="186"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8"/>
          <w:szCs w:val="18"/>
          <w:color w:val="auto"/>
        </w:rPr>
        <w:t>No award may be granted under the 2019 Plan on or after the date that is ten years following the effectiveness of the registration statement related to this offering. Our board of directors may amend, suspend or terminate the 2019 Plan at any time, except that stockholder approval may be required to comply with applicable law or stock market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592"/>
        <w:spacing w:after="0" w:line="290" w:lineRule="auto"/>
        <w:rPr>
          <w:sz w:val="20"/>
          <w:szCs w:val="20"/>
          <w:color w:val="auto"/>
        </w:rPr>
      </w:pPr>
      <w:r>
        <w:rPr>
          <w:rFonts w:ascii="Arial" w:cs="Arial" w:eastAsia="Arial" w:hAnsi="Arial"/>
          <w:sz w:val="16"/>
          <w:szCs w:val="16"/>
          <w:color w:val="auto"/>
        </w:rPr>
        <w:t>We expect our board of directors to adopt and our stockholders to approve the 2019 ESPP, which will become effective immediately prior to the effectiveness of the registration statement of which this prospectus forms a part. The 2019 ESPP will be administered by our board of directors or by a committee appointed by our board of directors. The 2019 ESPP initially provides participating employees with the opportunity to purchase up to an aggregate of 1,765,000 shares of our common stock. The number of shares of our common stock reserved for issuance under the 2019 ESPP will automatically increase on the first day of each fiscal year, beginning with the fiscal year ending on December 31, 2020 and continuing until, and including, the fiscal year ending on December 31, 2029, in an amount equal to the lowest of (i) 3,000,000 shares of our common stock, (ii) 1% of the number of shares of our common stock outstanding on such date and (iii) an amount determined by our board of directors.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our employees and employees of any designated subsidiary, as defined in the 2019 ESPP, are eligible to participate in the 2019 ESPP, provided that:</w:t>
      </w:r>
    </w:p>
    <w:p>
      <w:pPr>
        <w:spacing w:after="0" w:line="262" w:lineRule="exact"/>
        <w:rPr>
          <w:sz w:val="20"/>
          <w:szCs w:val="20"/>
          <w:color w:val="auto"/>
        </w:rPr>
      </w:pPr>
    </w:p>
    <w:p>
      <w:pPr>
        <w:ind w:left="1080" w:right="2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person is customarily employed by us or a designated subsidiary for more than 20 hours a week and for more than five months in a calendar year;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such person has been employed by us or by a designated subsidiary for at least three months prior to enrolling in the 2019 ESPP; and</w:t>
      </w:r>
    </w:p>
    <w:p>
      <w:pPr>
        <w:spacing w:after="0" w:line="275" w:lineRule="exact"/>
        <w:rPr>
          <w:rFonts w:ascii="Arial" w:cs="Arial" w:eastAsia="Arial" w:hAnsi="Arial"/>
          <w:sz w:val="16"/>
          <w:szCs w:val="16"/>
          <w:color w:val="auto"/>
        </w:rPr>
      </w:pPr>
    </w:p>
    <w:p>
      <w:pPr>
        <w:ind w:left="360" w:right="200" w:firstLine="188"/>
        <w:spacing w:after="0" w:line="563" w:lineRule="auto"/>
        <w:tabs>
          <w:tab w:leader="none" w:pos="1092"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such person was our employee or an employee of a designated subsidiary on the first day of the applicable offering period under the 2019 ESPP. We retain the discretion to determine which eligible employees may participate in an offering under applicable regulations.</w:t>
      </w:r>
    </w:p>
    <w:p>
      <w:pPr>
        <w:spacing w:after="0" w:line="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expect to make one or more offerings to our eligible employees to purchase stock under the 2019 ESPP beginning at such time and on such dates as our board of directors may determine, or on the first business day thereafter. Each offering will consist of a six-month offering period during which payroll deductions will be made and held for the purchase of our common stock at the end of the offering period. Our board of directors or a committee designated by the board of directors may, at its discretion, choose a different period of not more than 12 months for offerings.</w:t>
      </w:r>
    </w:p>
    <w:p>
      <w:pPr>
        <w:spacing w:after="0" w:line="167" w:lineRule="exact"/>
        <w:rPr>
          <w:sz w:val="20"/>
          <w:szCs w:val="20"/>
          <w:color w:val="auto"/>
        </w:rPr>
      </w:pPr>
    </w:p>
    <w:p>
      <w:pPr>
        <w:jc w:val="both"/>
        <w:ind w:right="20" w:firstLine="370"/>
        <w:spacing w:after="0" w:line="259" w:lineRule="auto"/>
        <w:rPr>
          <w:sz w:val="20"/>
          <w:szCs w:val="20"/>
          <w:color w:val="auto"/>
        </w:rPr>
      </w:pPr>
      <w:r>
        <w:rPr>
          <w:rFonts w:ascii="Arial" w:cs="Arial" w:eastAsia="Arial" w:hAnsi="Arial"/>
          <w:sz w:val="18"/>
          <w:szCs w:val="18"/>
          <w:color w:val="auto"/>
        </w:rPr>
        <w:t>On each offering commencement date, each participant will be granted an option to purchase, on the last business day of the offering period, up to a number of shares of our common stock determined by multiplying $2,083 by the number of full months in the offering period and dividing that product by the closing price of our common stock on the first day of the offering period. No employee may be granted 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option under the 2019 ESPP that permits the employee's rights to purchase shares under the 2019 ESPP and any other employee stock purchase plan of ours or of any of our subsidiaries to accrue at a rate that exceeds $25,000 of the fair market value of our common stock (determined as of the first day of each offering period) for each calendar year in which the option is outstanding. In addition, no employee may purchase shares of our common stock under the 2019 ESPP that would result in the employee owning 5% or more of the total combined voting power or value of our stock or the stock of any of our subsidiaries.</w:t>
      </w:r>
    </w:p>
    <w:p>
      <w:pPr>
        <w:spacing w:after="0" w:line="167" w:lineRule="exact"/>
        <w:rPr>
          <w:sz w:val="20"/>
          <w:szCs w:val="20"/>
          <w:color w:val="auto"/>
        </w:rPr>
      </w:pPr>
    </w:p>
    <w:p>
      <w:pPr>
        <w:jc w:val="both"/>
        <w:ind w:firstLine="482"/>
        <w:spacing w:after="0" w:line="290" w:lineRule="auto"/>
        <w:rPr>
          <w:sz w:val="20"/>
          <w:szCs w:val="20"/>
          <w:color w:val="auto"/>
        </w:rPr>
      </w:pPr>
      <w:r>
        <w:rPr>
          <w:rFonts w:ascii="Arial" w:cs="Arial" w:eastAsia="Arial" w:hAnsi="Arial"/>
          <w:sz w:val="16"/>
          <w:szCs w:val="16"/>
          <w:color w:val="auto"/>
        </w:rPr>
        <w:t>On the commencement date of each offering period, each eligible employee may authorize up to a maximum of 15% of his or her compensation to be deducted by us during the offering period. Each employee who continues to be a participant in the 2019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2019 ESPP, the purchase price will be determined by our board of directors or the committee for each offering period and will be at least 85% of the applicable closing price of our common stock. If our board of directors or the committee does not make a determination of the purchase price, the purchase price will be 85% of the lesser of the closing price of our common stock on the first business day of the offering period or on the last business day of the offering period.</w:t>
      </w:r>
    </w:p>
    <w:p>
      <w:pPr>
        <w:spacing w:after="0" w:line="172" w:lineRule="exact"/>
        <w:rPr>
          <w:sz w:val="20"/>
          <w:szCs w:val="20"/>
          <w:color w:val="auto"/>
        </w:rPr>
      </w:pPr>
    </w:p>
    <w:p>
      <w:pPr>
        <w:jc w:val="both"/>
        <w:ind w:firstLine="384"/>
        <w:spacing w:after="0" w:line="254" w:lineRule="auto"/>
        <w:rPr>
          <w:sz w:val="20"/>
          <w:szCs w:val="20"/>
          <w:color w:val="auto"/>
        </w:rPr>
      </w:pPr>
      <w:r>
        <w:rPr>
          <w:rFonts w:ascii="Arial" w:cs="Arial" w:eastAsia="Arial" w:hAnsi="Arial"/>
          <w:sz w:val="18"/>
          <w:szCs w:val="18"/>
          <w:color w:val="auto"/>
        </w:rPr>
        <w:t>An employee may at any time prior to the close of business on the fifteenth business day (or such other number of days as is determined by us) prior to the end of the offering period, and for any reason, permanently withdraw from participating in the offering and permanently withdraw the balance accumulated in the employee's account. If an employee elects to discontinue his or her payroll deductions during an offering period but does not elect to withdraw his or her funds, funds previously deducted will be applied to the purchase of common stock at the end of the offering period. If a participating employee's employment ends before the last business day of an offering period, no additional payroll deductions will be taken and the balance in the employee's account will be paid to the employee.</w:t>
      </w:r>
    </w:p>
    <w:p>
      <w:pPr>
        <w:spacing w:after="0" w:line="198" w:lineRule="exact"/>
        <w:rPr>
          <w:sz w:val="20"/>
          <w:szCs w:val="20"/>
          <w:color w:val="auto"/>
        </w:rPr>
      </w:pPr>
    </w:p>
    <w:p>
      <w:pPr>
        <w:jc w:val="both"/>
        <w:ind w:firstLine="450"/>
        <w:spacing w:after="0" w:line="298" w:lineRule="auto"/>
        <w:rPr>
          <w:sz w:val="20"/>
          <w:szCs w:val="20"/>
          <w:color w:val="auto"/>
        </w:rPr>
      </w:pPr>
      <w:r>
        <w:rPr>
          <w:rFonts w:ascii="Arial" w:cs="Arial" w:eastAsia="Arial" w:hAnsi="Arial"/>
          <w:sz w:val="16"/>
          <w:szCs w:val="16"/>
          <w:color w:val="auto"/>
        </w:rPr>
        <w:t>We will be required to make equitable adjustments to the extent determined by our board of directors or a committee thereof to the number and class of securities available under the 2019 ESPP, the share limitations under the 2019 ESPP, and the purchase price for an offering period under the 2019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67"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In connection with a merger or other reorganization event, as defined in the 2019 ESPP, our board of directors or a committee of our board of directors may take any one or more of the following actions as to outstanding options to purchase shares of our common stock under the 2019 ESPP on such terms as our board of directors or committee thereof determines:</w:t>
      </w:r>
    </w:p>
    <w:p>
      <w:pPr>
        <w:spacing w:after="0" w:line="208" w:lineRule="exact"/>
        <w:rPr>
          <w:sz w:val="20"/>
          <w:szCs w:val="20"/>
          <w:color w:val="auto"/>
        </w:rPr>
      </w:pPr>
    </w:p>
    <w:p>
      <w:pPr>
        <w:ind w:left="108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that options will be assumed, or substantially equivalent options will be substituted, by the acquiring or succeeding corporation (or an affiliate of the acquiring or succeeding corporation);</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board of directors or committee thereof in such notice, which date will not be less than ten days preceding the effective date of the reorganization event;</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event of a reorganization event under the terms of which holders of our common stock will receive upon consummation thereof a cash payment for each share surrendered in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90" w:lineRule="auto"/>
        <w:rPr>
          <w:sz w:val="20"/>
          <w:szCs w:val="20"/>
          <w:color w:val="auto"/>
        </w:rPr>
      </w:pPr>
      <w:r>
        <w:rPr>
          <w:rFonts w:ascii="Arial" w:cs="Arial" w:eastAsia="Arial" w:hAnsi="Arial"/>
          <w:sz w:val="16"/>
          <w:szCs w:val="16"/>
          <w:color w:val="auto"/>
        </w:rPr>
        <w:t>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offering period for purposes of determining the purchase price and where the number of shares that could be purchased is subject to the applicable limitations under the 2019 ESPP minus (2) the result of multiplying such number of shares by the purchase price; and/or</w:t>
      </w:r>
    </w:p>
    <w:p>
      <w:pPr>
        <w:spacing w:after="0" w:line="186" w:lineRule="exact"/>
        <w:rPr>
          <w:sz w:val="20"/>
          <w:szCs w:val="20"/>
          <w:color w:val="auto"/>
        </w:rPr>
      </w:pPr>
    </w:p>
    <w:p>
      <w:pPr>
        <w:ind w:left="108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options will convert into the right to receive liquidation proceeds (net of the purchase price thereof).</w:t>
      </w:r>
    </w:p>
    <w:p>
      <w:pPr>
        <w:spacing w:after="0" w:line="186"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6"/>
          <w:szCs w:val="16"/>
          <w:color w:val="auto"/>
        </w:rPr>
        <w:t>Our board of directors may at any time, and from time to time, amend or suspend the 2019 ESPP or any portion of the 2019 ESPP. We will obtain stockholder approval for any amendment if such approval is required by Section 423 of the Code. Further, our board of directors may not make any amendment that would cause the 2019 ESPP to fail to comply with Section 423 of the Internal Revenue Code. The 2019 ESPP may be terminated at any time by our board of directors. Upon termination, we will refund all amounts in the accounts of participating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match.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31"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Our certificate of incorporation, which will become effective upon the closing of this offering, limits the personal liability of directors for breach of fiduciary duty to the maximum extent permitted by the Delaware General Corporation Law, or the DGCL, and provides that no director will have personal liability to us or to our stockholders for monetary damages for breach of fiduciary duty as a director. However, these provisions do not eliminate or limit the liability of any of our directors:</w:t>
      </w:r>
    </w:p>
    <w:p>
      <w:pPr>
        <w:spacing w:after="0" w:line="224"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jc w:val="both"/>
        <w:ind w:firstLine="465"/>
        <w:spacing w:after="0" w:line="30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In addition, our certificate of incorporation, which will become effective upon the closing of this offering, provides that we must indemnify our directors and officers and we must advance expenses, including attorneys' fees, to our directors and officers in connection with legal proceedings, subject to very limited exceptions.</w:t>
      </w:r>
    </w:p>
    <w:p>
      <w:pPr>
        <w:spacing w:after="0" w:line="194"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We maintain a general liability insurance policy that covers specified liabilities of our directors and officers arising out of claims based on acts or omissions in their capacities as directors or officers. In addition, we intend to enter into indemnification agreements with all of our executive officers and directors prior to the completion of this offering. These indemnification agreements may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w:t>
      </w:r>
    </w:p>
    <w:p>
      <w:pPr>
        <w:spacing w:after="0" w:line="197" w:lineRule="exact"/>
        <w:rPr>
          <w:sz w:val="20"/>
          <w:szCs w:val="20"/>
          <w:color w:val="auto"/>
        </w:rPr>
      </w:pPr>
    </w:p>
    <w:p>
      <w:pPr>
        <w:jc w:val="both"/>
        <w:ind w:right="20" w:firstLine="374"/>
        <w:spacing w:after="0" w:line="268"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86" w:lineRule="exact"/>
        <w:rPr>
          <w:sz w:val="20"/>
          <w:szCs w:val="20"/>
          <w:color w:val="auto"/>
        </w:rPr>
      </w:pPr>
    </w:p>
    <w:p>
      <w:pPr>
        <w:jc w:val="both"/>
        <w:ind w:firstLine="407"/>
        <w:spacing w:after="0" w:line="332" w:lineRule="auto"/>
        <w:rPr>
          <w:sz w:val="20"/>
          <w:szCs w:val="20"/>
          <w:color w:val="auto"/>
        </w:rPr>
      </w:pPr>
      <w:r>
        <w:rPr>
          <w:rFonts w:ascii="Arial" w:cs="Arial" w:eastAsia="Arial" w:hAnsi="Arial"/>
          <w:sz w:val="16"/>
          <w:szCs w:val="16"/>
          <w:color w:val="auto"/>
        </w:rPr>
        <w:t>Insofar as indemnification for liabilities arising under the Securities Act of 1933, or the Securities Act, may be permitted to directors, executive officers or persons controlling us,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also is possible that the director or officer could amend or terminate the plan when not in possession of material, nonpublic information. In addition, our directors and executive officers may buy or sell additional shares outside of a Rule 10b5-1 plan when they are not in possession of material, nonpublic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shows all compensation to our non-employee directors during the year ended December 31, 2018.</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 or</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paid in cash</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6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2"/>
                <w:szCs w:val="12"/>
                <w:color w:val="auto"/>
              </w:rPr>
            </w:pP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6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center"/>
              <w:ind w:left="97"/>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780" w:type="dxa"/>
            <w:vAlign w:val="bottom"/>
            <w:gridSpan w:val="2"/>
          </w:tcPr>
          <w:p>
            <w:pPr>
              <w:jc w:val="right"/>
              <w:ind w:right="22"/>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(2)(3)</w:t>
            </w:r>
          </w:p>
        </w:tc>
        <w:tc>
          <w:tcPr>
            <w:tcW w:w="78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J. Collins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Alan Ezekowitz</w:t>
            </w:r>
          </w:p>
        </w:tc>
        <w:tc>
          <w:tcPr>
            <w:tcW w:w="1020" w:type="dxa"/>
            <w:vAlign w:val="bottom"/>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11,549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Geraghty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gridSpan w:val="3"/>
          </w:tcPr>
          <w:p>
            <w:pPr>
              <w:spacing w:after="0" w:line="256" w:lineRule="exact"/>
              <w:rPr>
                <w:sz w:val="20"/>
                <w:szCs w:val="20"/>
                <w:color w:val="auto"/>
              </w:rPr>
            </w:pPr>
            <w:r>
              <w:rPr>
                <w:rFonts w:ascii="Arial" w:cs="Arial" w:eastAsia="Arial" w:hAnsi="Arial"/>
                <w:sz w:val="18"/>
                <w:szCs w:val="18"/>
                <w:color w:val="auto"/>
              </w:rPr>
              <w:t>Kate Haviland</w:t>
            </w:r>
            <w:r>
              <w:rPr>
                <w:rFonts w:ascii="Arial" w:cs="Arial" w:eastAsia="Arial" w:hAnsi="Arial"/>
                <w:sz w:val="29"/>
                <w:szCs w:val="29"/>
                <w:color w:val="auto"/>
                <w:vertAlign w:val="superscript"/>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22"/>
                <w:szCs w:val="22"/>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82,459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99,959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Levin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James Tananbaum</w:t>
            </w:r>
            <w:r>
              <w:rPr>
                <w:rFonts w:ascii="Arial" w:cs="Arial" w:eastAsia="Arial" w:hAnsi="Arial"/>
                <w:sz w:val="29"/>
                <w:szCs w:val="29"/>
                <w:color w:val="auto"/>
                <w:vertAlign w:val="superscript"/>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December 31, 2018, the aggregate number of shares of our common stock held pursuant to restricted stock awards by each non-employee director was as follows: Dr. Collins, 165,000 shares; Mr. Ezekowitz, 165,000 shares; Mr. Geraghty, 565,000 shares; Ms. Haviland, 0 shares; Mr. Levin, 0 shares and Mr. Tananbaum, 0 shares.</w:t>
      </w:r>
    </w:p>
    <w:p>
      <w:pPr>
        <w:spacing w:after="0" w:line="221"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reflect the aggregate fair value of stock-based compensation awarded during the year computed in accordance with the provisions of ASC 718. See Note 8 to our consolidated financial statements appearing at the end of this prospectus regarding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680"/>
        <w:spacing w:after="0" w:line="259" w:lineRule="auto"/>
        <w:rPr>
          <w:sz w:val="20"/>
          <w:szCs w:val="20"/>
          <w:color w:val="auto"/>
        </w:rPr>
      </w:pPr>
      <w:r>
        <w:rPr>
          <w:rFonts w:ascii="Arial" w:cs="Arial" w:eastAsia="Arial" w:hAnsi="Arial"/>
          <w:sz w:val="18"/>
          <w:szCs w:val="18"/>
          <w:color w:val="auto"/>
        </w:rPr>
        <w:t>assumptions underlying the valuation of equity awards. These amounts reflect the accounting cost for these stock options and do not reflect the actual economic value that may be realized by the directors upon the vesting of the stock options, the exercise of the stock options or the sale of the common underlying such stock options.</w:t>
      </w:r>
    </w:p>
    <w:p>
      <w:pPr>
        <w:spacing w:after="0" w:line="208" w:lineRule="exact"/>
        <w:rPr>
          <w:sz w:val="20"/>
          <w:szCs w:val="20"/>
          <w:color w:val="auto"/>
        </w:rPr>
      </w:pPr>
    </w:p>
    <w:p>
      <w:pPr>
        <w:jc w:val="both"/>
        <w:ind w:left="1680" w:hanging="531"/>
        <w:spacing w:after="0" w:line="259" w:lineRule="auto"/>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of December 31, 2018, the aggregate number of shares of our common stock subject to outstanding option awards for each non-employee director was as follows: Dr. Collins, 25,000 shares; Mr. Ezekowitz, 25,000 shares; Mr. Geraghty, 25,000 shares; Ms. Haviland, 165,000 shares; Mr. Levin, 0 shares and Mr. Tananbaum, 0 shares.</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Kate Haviland joined our board of directors in June 2018.</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James Tananbaum resigned from our board of directors effective as of April 3, 2019.</w:t>
      </w:r>
    </w:p>
    <w:p>
      <w:pPr>
        <w:spacing w:after="0" w:line="225" w:lineRule="exact"/>
        <w:rPr>
          <w:sz w:val="20"/>
          <w:szCs w:val="20"/>
          <w:color w:val="auto"/>
        </w:rPr>
      </w:pPr>
    </w:p>
    <w:p>
      <w:pPr>
        <w:jc w:val="both"/>
        <w:ind w:firstLine="361"/>
        <w:spacing w:after="0" w:line="298" w:lineRule="auto"/>
        <w:rPr>
          <w:sz w:val="20"/>
          <w:szCs w:val="20"/>
          <w:color w:val="auto"/>
        </w:rPr>
      </w:pPr>
      <w:r>
        <w:rPr>
          <w:rFonts w:ascii="Arial" w:cs="Arial" w:eastAsia="Arial" w:hAnsi="Arial"/>
          <w:sz w:val="16"/>
          <w:szCs w:val="16"/>
          <w:color w:val="auto"/>
        </w:rPr>
        <w:t>In January 2019, Mr. Collins and Mr. Ezekowitz were each granted options to purchase 25,000 shares of our common stock. In May 2019, Mr. Geraghty was granted an option to purchase 25,000 shares of our common stock. Our board of directors has also granted an option to purchase 65,000 shares of our common stock to each of Mr. Geraghty and Ms. Haviland and an option to purchase 40,000 shares of our common stock to each of Dr. Collins and Mr. Ezekowitz, in each case effective upon the commencement of trading of our common stock on the Nasdaq Stock Market.</w:t>
      </w:r>
    </w:p>
    <w:p>
      <w:pPr>
        <w:spacing w:after="0" w:line="167"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Prior to this offering, we paid cash fees and granted restricted stock awards and options to purchase shares of our common stock to certain of our non-employee directors for their service on our board of directors pursuant to a non-employee and non-affiliate director compensation policy. We have historically reimbursed our non-employee directors for reasonable travel and out-of-pocket expenses incurred in connection with attending board of director and committee meetings.</w:t>
      </w:r>
    </w:p>
    <w:p>
      <w:pPr>
        <w:spacing w:after="0" w:line="197"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Dr. Gould, one of our directors who also serves as our president and chief executive officer, does not receive any additional compensation for his service as a director. Dr. Gould is one of our named executive officers and, accordingly, the compensation that we pay to Dr. Gould is discussed above under "—Summary Compensation Table" and "—Narrative to Summary Compensation Table."</w:t>
      </w:r>
    </w:p>
    <w:p>
      <w:pPr>
        <w:spacing w:after="0" w:line="194"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In June 2019, our board of directors approved a director compensation program that will become effective on the effective date of the registration statements of which this prospectus is a part. Under this director compensation program, we will pay our non-employee directors a cash retainer for service on the board of directors and for service on each committee on which the director is a member. The chairman of the board and of each committee will receive additional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and no fee will be payable in respect of any period prior to the completion of this offering. The fees paid to non-employee directors for service on the board of directors and for service on each committee of the board of directors on which the director is a member are as follows: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Chairman</w:t>
            </w:r>
          </w:p>
        </w:tc>
      </w:tr>
      <w:tr>
        <w:trPr>
          <w:trHeight w:val="149"/>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Member</w:t>
            </w:r>
          </w:p>
        </w:tc>
        <w:tc>
          <w:tcPr>
            <w:tcW w:w="8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Supplemental</w:t>
            </w:r>
          </w:p>
        </w:tc>
      </w:tr>
      <w:tr>
        <w:trPr>
          <w:trHeight w:val="161"/>
        </w:trPr>
        <w:tc>
          <w:tcPr>
            <w:tcW w:w="588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Annual Fee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7"/>
              </w:rPr>
              <w:t>Annual Fee</w:t>
            </w:r>
          </w:p>
        </w:tc>
        <w:tc>
          <w:tcPr>
            <w:tcW w:w="160" w:type="dxa"/>
            <w:vAlign w:val="bottom"/>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Audit Committee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r>
    </w:tbl>
    <w:p>
      <w:pPr>
        <w:spacing w:after="0" w:line="201" w:lineRule="exact"/>
        <w:rPr>
          <w:sz w:val="20"/>
          <w:szCs w:val="20"/>
          <w:color w:val="auto"/>
        </w:rPr>
      </w:pPr>
    </w:p>
    <w:p>
      <w:pPr>
        <w:ind w:firstLine="408"/>
        <w:spacing w:after="0" w:line="268" w:lineRule="auto"/>
        <w:rPr>
          <w:sz w:val="20"/>
          <w:szCs w:val="20"/>
          <w:color w:val="auto"/>
        </w:rPr>
      </w:pPr>
      <w:r>
        <w:rPr>
          <w:rFonts w:ascii="Arial" w:cs="Arial" w:eastAsia="Arial" w:hAnsi="Arial"/>
          <w:sz w:val="18"/>
          <w:szCs w:val="18"/>
          <w:color w:val="auto"/>
        </w:rPr>
        <w:t>We also will continue to reimburse our non-employee directors for reasonable travel and other expenses incurred in connection with attending meetings of our board of directors and any committee of our board of directors on which he or she serves.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9"/>
        <w:spacing w:after="0" w:line="287" w:lineRule="auto"/>
        <w:rPr>
          <w:sz w:val="20"/>
          <w:szCs w:val="20"/>
          <w:color w:val="auto"/>
        </w:rPr>
      </w:pPr>
      <w:r>
        <w:rPr>
          <w:rFonts w:ascii="Arial" w:cs="Arial" w:eastAsia="Arial" w:hAnsi="Arial"/>
          <w:sz w:val="16"/>
          <w:szCs w:val="16"/>
          <w:color w:val="auto"/>
        </w:rPr>
        <w:t>In addition, under our director compensation program to be effective on the effective date of the registration statement of which this prospectus is a part, each non-employee director will receive, upon his or her initial election or appointment to our board of directors, an option to purchase 130,000 shares of our common stock under the 2019 Plan. Each of these options will vest as to 2.7778% of the shares of our common stock underlying such option at the end of each successive one month period following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will receive, under the 2019 Plan, an option to purchase 65,000 shares of our common stock under the 2019 Plan. Each of these options will vest with respect to all of the shares underlying such option on the first anniversary of the grant date or, if earlier, immediately prior to the first annual meeting of stockholders occurring after the grant date, subject to the non-employee director's continued service as a director. All options issued to our non-employee directors under our director compensation program will be issued at exercise prices equal to the fair market value of our common stock on the date of grant and will become exercisable in full upon specified change in control events.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TRANSACTIONS WITH RELATED PERSONS</w:t>
      </w:r>
    </w:p>
    <w:p>
      <w:pPr>
        <w:spacing w:after="0" w:line="231" w:lineRule="exact"/>
        <w:rPr>
          <w:sz w:val="20"/>
          <w:szCs w:val="20"/>
          <w:color w:val="auto"/>
        </w:rPr>
      </w:pPr>
    </w:p>
    <w:p>
      <w:pPr>
        <w:jc w:val="both"/>
        <w:ind w:firstLine="369"/>
        <w:spacing w:after="0" w:line="256" w:lineRule="auto"/>
        <w:rPr>
          <w:sz w:val="20"/>
          <w:szCs w:val="20"/>
          <w:color w:val="auto"/>
        </w:rPr>
      </w:pPr>
      <w:r>
        <w:rPr>
          <w:rFonts w:ascii="Arial" w:cs="Arial" w:eastAsia="Arial" w:hAnsi="Arial"/>
          <w:sz w:val="18"/>
          <w:szCs w:val="18"/>
          <w:color w:val="auto"/>
        </w:rPr>
        <w:t>Since January 1, 2016, we have engaged in the following transactions in which the amounts involved exceeded $120,000 and any of our directors, executive officers or holders of more than 5% of our voting securities, or any member of the immediate family of, or person sharing the household with, the foregoing persons, had or will have a direct or indirect material interest. We believe that all of these transactions were on terms as favorable as could have been obtained from unrelated third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Promissory Note</w:t>
      </w:r>
    </w:p>
    <w:p>
      <w:pPr>
        <w:spacing w:after="0" w:line="231"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On April 14, 2016, we issued and sold a convertible promissory note to Third Rock Ventures III, L.P. in the aggregate principal amount of $3,500,000. The note accrued interest at a rate of 6% per annum. All principal and interest under the note was converted into shares of Series A preferred stock in connection with our initial closing of our Series A preferred stock financing in July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 Financing</w:t>
      </w:r>
    </w:p>
    <w:p>
      <w:pPr>
        <w:spacing w:after="0" w:line="231" w:lineRule="exact"/>
        <w:rPr>
          <w:sz w:val="20"/>
          <w:szCs w:val="20"/>
          <w:color w:val="auto"/>
        </w:rPr>
      </w:pPr>
    </w:p>
    <w:p>
      <w:pPr>
        <w:jc w:val="both"/>
        <w:ind w:firstLine="462"/>
        <w:spacing w:after="0" w:line="294" w:lineRule="auto"/>
        <w:rPr>
          <w:sz w:val="20"/>
          <w:szCs w:val="20"/>
          <w:color w:val="auto"/>
        </w:rPr>
      </w:pPr>
      <w:r>
        <w:rPr>
          <w:rFonts w:ascii="Arial" w:cs="Arial" w:eastAsia="Arial" w:hAnsi="Arial"/>
          <w:sz w:val="16"/>
          <w:szCs w:val="16"/>
          <w:color w:val="auto"/>
        </w:rPr>
        <w:t>From July 18, 2016 to June 6, 2018, we issued and sold an aggregate of 60,000,000 shares of our Series A preferred stock, consisting of (i) 53,313,014 shares sold at a price per share of $1.00 in cash, for an aggregate purchase price of $53,313,014 and (ii) 6,686,986 shares issued upon conversion of $6,868,986 in outstanding principal and accrued and unpaid interest under the notes issued on October 15, 2015 and April 14, 2016, at a price per share of $1.00 in cash. The following table sets forth the aggregate numbers of shares of our Series A preferred stock that we issued and sold to our 5% stockholders and their affiliates in this transaction and the aggregate amount of consideration for such shares: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 Series 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Received upon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Funded by</w:t>
            </w:r>
          </w:p>
        </w:tc>
        <w:tc>
          <w:tcPr>
            <w:tcW w:w="0" w:type="dxa"/>
            <w:vAlign w:val="bottom"/>
          </w:tcPr>
          <w:p>
            <w:pPr>
              <w:spacing w:after="0"/>
              <w:rPr>
                <w:sz w:val="1"/>
                <w:szCs w:val="1"/>
                <w:color w:val="auto"/>
              </w:rPr>
            </w:pPr>
          </w:p>
        </w:tc>
      </w:tr>
      <w:tr>
        <w:trPr>
          <w:trHeight w:val="149"/>
        </w:trPr>
        <w:tc>
          <w:tcPr>
            <w:tcW w:w="3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r>
              <w:rPr>
                <w:rFonts w:ascii="Arial" w:cs="Arial" w:eastAsia="Arial" w:hAnsi="Arial"/>
                <w:sz w:val="22"/>
                <w:szCs w:val="22"/>
                <w:b w:val="1"/>
                <w:bCs w:val="1"/>
                <w:color w:val="auto"/>
                <w:vertAlign w:val="superscript"/>
              </w:rPr>
              <w:t>(1)(2)</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Conversion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Conversion of</w:t>
            </w:r>
          </w:p>
        </w:tc>
        <w:tc>
          <w:tcPr>
            <w:tcW w:w="0" w:type="dxa"/>
            <w:vAlign w:val="bottom"/>
          </w:tcPr>
          <w:p>
            <w:pPr>
              <w:spacing w:after="0"/>
              <w:rPr>
                <w:sz w:val="1"/>
                <w:szCs w:val="1"/>
                <w:color w:val="auto"/>
              </w:rPr>
            </w:pPr>
          </w:p>
        </w:tc>
      </w:tr>
      <w:tr>
        <w:trPr>
          <w:trHeight w:val="161"/>
        </w:trPr>
        <w:tc>
          <w:tcPr>
            <w:tcW w:w="3140" w:type="dxa"/>
            <w:vAlign w:val="bottom"/>
            <w:gridSpan w:val="4"/>
            <w:vMerge w:val="continue"/>
          </w:tcPr>
          <w:p>
            <w:pPr>
              <w:spacing w:after="0"/>
              <w:rPr>
                <w:sz w:val="14"/>
                <w:szCs w:val="14"/>
                <w:color w:val="auto"/>
              </w:rPr>
            </w:pP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Sold for 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Promissory Note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Promissory Note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7/18/2016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5,156,507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5,156,507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6,686,986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11/15/2016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5,156,507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5,156,507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6,333,333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6,333,333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5/3/2017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1/4/2018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3/13/2018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5/9/2018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6/6/2018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Levin, a member of our board of directors, is a partner of Third Rock Ventures.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231" w:lineRule="exact"/>
        <w:rPr>
          <w:sz w:val="20"/>
          <w:szCs w:val="20"/>
          <w:color w:val="auto"/>
        </w:rPr>
      </w:pPr>
    </w:p>
    <w:p>
      <w:pPr>
        <w:ind w:firstLine="383"/>
        <w:spacing w:after="0" w:line="332" w:lineRule="auto"/>
        <w:rPr>
          <w:sz w:val="20"/>
          <w:szCs w:val="20"/>
          <w:color w:val="auto"/>
        </w:rPr>
      </w:pPr>
      <w:r>
        <w:rPr>
          <w:rFonts w:ascii="Arial" w:cs="Arial" w:eastAsia="Arial" w:hAnsi="Arial"/>
          <w:sz w:val="16"/>
          <w:szCs w:val="16"/>
          <w:color w:val="auto"/>
        </w:rPr>
        <w:t>In August 2018, we issued and sold an aggregate of 40,000,000 shares of our Series B preferred stock at a price per share of $2.00 in cash, for an aggregate purchase price of $80,000,000. The following table sets forth the aggregate numbers of shares of our Series B preferred stock that we sold to our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their affiliates in this transaction and the aggregate amount of consideration for such shares: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49"/>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r>
              <w:rPr>
                <w:rFonts w:ascii="Arial" w:cs="Arial" w:eastAsia="Arial" w:hAnsi="Arial"/>
                <w:sz w:val="22"/>
                <w:szCs w:val="22"/>
                <w:b w:val="1"/>
                <w:bCs w:val="1"/>
                <w:color w:val="auto"/>
                <w:vertAlign w:val="superscript"/>
              </w:rPr>
              <w:t>(1)</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6640" w:type="dxa"/>
            <w:vAlign w:val="bottom"/>
            <w:gridSpan w:val="4"/>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6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Foresite Capital Fund IV, L.P.</w:t>
            </w:r>
            <w:r>
              <w:rPr>
                <w:rFonts w:ascii="Arial" w:cs="Arial" w:eastAsia="Arial" w:hAnsi="Arial"/>
                <w:sz w:val="28"/>
                <w:szCs w:val="28"/>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11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2"/>
              </w:rPr>
              <w:t>$  21,000,000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Tananbaum, a former member of our board of directors who served during this transaction, is founder and chief executive officer of Foresite Capital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GSK</w:t>
      </w:r>
    </w:p>
    <w:p>
      <w:pPr>
        <w:spacing w:after="0" w:line="231"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auto"/>
        </w:rPr>
        <w:t>On February 8, 2019, we entered into a right of reference and license agreement with affiliates of GlaxoSmithKline plc, or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right of reference and license agreement.</w:t>
      </w:r>
    </w:p>
    <w:p>
      <w:pPr>
        <w:spacing w:after="0" w:line="170"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also agreed to provide GSK the opportunity to purchase shares of common stock in connection with this offering equal to the proportion that the shares of common stock held by GSK (assuming conversion of all preferred stock into common stock upon consummation of this offering) bear to the total number of shares of common stock immediately prior to the closing of this offering (assuming conversion of all preferred stock into common stock upon consummation of this offering and all outstanding options). If GSK exercises its rights to purchase shares of common stock in connection with this offering, subject to certain conditions, GSK may purchase shares offered in this offering or may purchase shares of common stock in a private placement that is expected to close concurrently with this offering, in each case at the initial per share public offering price.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"Business—Right of Reference and License Agreement with GlaxoSmithKline" for additional information regarding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Provided by Third Rock Ventures, LLC</w:t>
      </w:r>
    </w:p>
    <w:p>
      <w:pPr>
        <w:spacing w:after="0" w:line="231" w:lineRule="exact"/>
        <w:rPr>
          <w:sz w:val="20"/>
          <w:szCs w:val="20"/>
          <w:color w:val="auto"/>
        </w:rPr>
      </w:pPr>
    </w:p>
    <w:p>
      <w:pPr>
        <w:jc w:val="both"/>
        <w:ind w:firstLine="355"/>
        <w:spacing w:after="0" w:line="310" w:lineRule="auto"/>
        <w:rPr>
          <w:sz w:val="20"/>
          <w:szCs w:val="20"/>
          <w:color w:val="auto"/>
        </w:rPr>
      </w:pPr>
      <w:r>
        <w:rPr>
          <w:rFonts w:ascii="Arial" w:cs="Arial" w:eastAsia="Arial" w:hAnsi="Arial"/>
          <w:sz w:val="15"/>
          <w:szCs w:val="15"/>
          <w:color w:val="auto"/>
        </w:rPr>
        <w:t>Since inception, we have received consulting and management services from Third Rock Ventures LLC, or Third Rock Ventures, which through its affiliates, has a significant interest in us. We have paid Third Rock Ventures $1.9 million for these services since January 1, 2016, including the reimbursement of expenses. We do not have a written agreement in place with Third Rock Ventures with respect to the provision of consulting and management services. The consulting and management services fees are payable to Third Rock Ventures pursuant to invoices submitted to us by Third Rock Ventures quarterly. The consulting and management services fees paid to Third Rock Ventures did not exceed 5% of the consolidated gross revenue of Third Rock Ventures during any of the past three fiscal years. From time to time and at our request, partners and associates of Third Rock Ventures provide us with certain strategic and ordinary course business operations consulting services. We have issued an aggregate of 996,000 shares of our common stock to these consultants in exchange for their continuing consulting services. We may continue to occassionally engage Third Rock Ventures or their partners or associates for consulting services following this offering.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are a party to an investor rights agreement with the holders of our preferred stock, including our 5% stockholders and their affiliates and entities affiliated with some of our directors. This investor rights agreement provides these holders the right, subject to certain conditions, beginning six months following the completion of this offering, to demand that we file a registration statement or to request that their shares be covered by a registration statement that we are otherwise filing.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"Description of Capital Stock—Registration Rights" for additional information regarding these registration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8"/>
          <w:szCs w:val="18"/>
          <w:color w:val="auto"/>
        </w:rPr>
        <w:t>Our certificate of incorporation, which will become effective upon the closing of this offering, provides that we will indemnify our directors and officers to the fullest extent permitted by Delaware law. In addition, we intend to enter into indemnification agreements with all of our directors and executive officers prior to the completion of this offering.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31"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auto"/>
        </w:rPr>
        <w:t>Our board of directors has adopted written policies and procedures, which will be effective at the time of this offering,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61"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general counsel, and if none, our chief operating officer or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72" w:lineRule="exact"/>
        <w:rPr>
          <w:sz w:val="20"/>
          <w:szCs w:val="20"/>
          <w:color w:val="auto"/>
        </w:rPr>
      </w:pPr>
    </w:p>
    <w:p>
      <w:pPr>
        <w:jc w:val="both"/>
        <w:ind w:right="20" w:firstLine="379"/>
        <w:spacing w:after="0" w:line="33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53"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could have been reached with an unrelated third party;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6" w:lineRule="exact"/>
        <w:rPr>
          <w:sz w:val="20"/>
          <w:szCs w:val="20"/>
          <w:color w:val="auto"/>
        </w:rPr>
      </w:pPr>
    </w:p>
    <w:p>
      <w:pPr>
        <w:jc w:val="both"/>
        <w:ind w:firstLine="564"/>
        <w:spacing w:after="0" w:line="332" w:lineRule="auto"/>
        <w:rPr>
          <w:sz w:val="20"/>
          <w:szCs w:val="20"/>
          <w:color w:val="auto"/>
        </w:rPr>
      </w:pPr>
      <w:r>
        <w:rPr>
          <w:rFonts w:ascii="Arial" w:cs="Arial" w:eastAsia="Arial" w:hAnsi="Arial"/>
          <w:sz w:val="16"/>
          <w:szCs w:val="16"/>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39"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221" w:lineRule="exact"/>
        <w:rPr>
          <w:sz w:val="20"/>
          <w:szCs w:val="20"/>
          <w:color w:val="auto"/>
        </w:rPr>
      </w:pPr>
    </w:p>
    <w:p>
      <w:pPr>
        <w:jc w:val="both"/>
        <w:ind w:left="1080" w:hanging="532"/>
        <w:spacing w:after="0" w:line="294"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certificate of incorporation or bylaws.</w:t>
      </w:r>
    </w:p>
    <w:p>
      <w:pPr>
        <w:spacing w:after="0" w:line="225" w:lineRule="exact"/>
        <w:rPr>
          <w:sz w:val="20"/>
          <w:szCs w:val="20"/>
          <w:color w:val="auto"/>
        </w:rPr>
      </w:pPr>
    </w:p>
    <w:p>
      <w:pPr>
        <w:jc w:val="both"/>
        <w:ind w:firstLine="417"/>
        <w:spacing w:after="0" w:line="268"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our compensation committee in the manner specified in the compensation committee's charter.</w:t>
      </w:r>
    </w:p>
    <w:p>
      <w:pPr>
        <w:spacing w:after="0" w:line="186"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We did not have a written policy regarding the review and approval of related person transactions prior to this offering. Nevertheless, with respect to such transactions, it has been the practice of our board of directors to consider the nature of and business reasons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April 30, 2019 by:</w:t>
      </w:r>
    </w:p>
    <w:p>
      <w:pPr>
        <w:spacing w:after="0" w:line="23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jc w:val="both"/>
        <w:ind w:firstLine="576"/>
        <w:spacing w:after="0" w:line="286" w:lineRule="auto"/>
        <w:rPr>
          <w:sz w:val="20"/>
          <w:szCs w:val="20"/>
          <w:color w:val="auto"/>
        </w:rPr>
      </w:pPr>
      <w:r>
        <w:rPr>
          <w:rFonts w:ascii="Arial" w:cs="Arial" w:eastAsia="Arial" w:hAnsi="Arial"/>
          <w:sz w:val="16"/>
          <w:szCs w:val="16"/>
          <w:color w:val="auto"/>
        </w:rPr>
        <w:t>The column entitled "Percentage of Shares Beneficially Owned—Before Offering" is based on a total of 131,930,506 shares of our common stock outstanding as of April 30, 2019, assuming the automatic conversion of all outstanding shares of our preferred stock into an aggregate of 112,500,000 shares of</w:t>
      </w:r>
    </w:p>
    <w:p>
      <w:pPr>
        <w:jc w:val="both"/>
        <w:spacing w:after="0" w:line="250" w:lineRule="auto"/>
        <w:rPr>
          <w:sz w:val="20"/>
          <w:szCs w:val="20"/>
          <w:color w:val="auto"/>
        </w:rPr>
      </w:pPr>
      <w:r>
        <w:rPr>
          <w:rFonts w:ascii="Arial" w:cs="Arial" w:eastAsia="Arial" w:hAnsi="Arial"/>
          <w:sz w:val="18"/>
          <w:szCs w:val="18"/>
          <w:color w:val="auto"/>
        </w:rPr>
        <w:t>our common stock upon the closing of this offering. The column entitled "Percentage of Shares Beneficially Owned—After Offering" is based on shares of our common stock to be outstanding after this offering, including the shares of our common stock that we are selling in this offering,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but not including any additional shares issuable upon exercise of outstanding options.</w:t>
      </w:r>
    </w:p>
    <w:p>
      <w:pPr>
        <w:spacing w:after="0" w:line="219"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April 30, 2019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each beneficial owner is c/o Fulcrum Therapeutics, Inc., 26 Landsdowne Street, Cambridge, MA 02139.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5"/>
          </w:tcPr>
          <w:p>
            <w:pPr>
              <w:jc w:val="center"/>
              <w:ind w:right="1320"/>
              <w:spacing w:after="0" w:line="149" w:lineRule="exact"/>
              <w:rPr>
                <w:sz w:val="20"/>
                <w:szCs w:val="20"/>
                <w:color w:val="auto"/>
              </w:rPr>
            </w:pPr>
            <w:r>
              <w:rPr>
                <w:rFonts w:ascii="Arial" w:cs="Arial" w:eastAsia="Arial" w:hAnsi="Arial"/>
                <w:sz w:val="14"/>
                <w:szCs w:val="14"/>
                <w:b w:val="1"/>
                <w:bCs w:val="1"/>
                <w:color w:val="auto"/>
                <w:w w:val="84"/>
              </w:rPr>
              <w:t>Shares Beneficially</w:t>
            </w:r>
          </w:p>
        </w:tc>
      </w:t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27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85"/>
              </w:rPr>
              <w:t>Owned</w:t>
            </w:r>
          </w:p>
        </w:tc>
      </w:tr>
      <w:tr>
        <w:trPr>
          <w:trHeight w:val="129"/>
        </w:trPr>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After</w:t>
            </w:r>
          </w:p>
        </w:tc>
        <w:tc>
          <w:tcPr>
            <w:tcW w:w="1300" w:type="dxa"/>
            <w:vAlign w:val="bottom"/>
            <w:gridSpan w:val="2"/>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2"/>
                <w:szCs w:val="12"/>
                <w:color w:val="auto"/>
              </w:rPr>
            </w:pPr>
          </w:p>
        </w:tc>
        <w:tc>
          <w:tcPr>
            <w:tcW w:w="196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91"/>
              </w:rPr>
              <w:t>Offering</w:t>
            </w:r>
          </w:p>
        </w:tc>
      </w:tr>
      <w:tr>
        <w:trPr>
          <w:trHeight w:val="168"/>
        </w:trPr>
        <w:tc>
          <w:tcPr>
            <w:tcW w:w="1140" w:type="dxa"/>
            <w:vAlign w:val="bottom"/>
          </w:tcPr>
          <w:p>
            <w:pPr>
              <w:spacing w:after="0"/>
              <w:rPr>
                <w:sz w:val="14"/>
                <w:szCs w:val="14"/>
                <w:color w:val="auto"/>
              </w:rPr>
            </w:pPr>
          </w:p>
        </w:tc>
        <w:tc>
          <w:tcPr>
            <w:tcW w:w="6440" w:type="dxa"/>
            <w:vAlign w:val="bottom"/>
            <w:gridSpan w:val="5"/>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Owned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4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Entities affiliated with Third Rock Ventures</w:t>
            </w:r>
            <w:r>
              <w:rPr>
                <w:rFonts w:ascii="Arial" w:cs="Arial" w:eastAsia="Arial" w:hAnsi="Arial"/>
                <w:sz w:val="29"/>
                <w:szCs w:val="29"/>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57,000,000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Glaxo Group Limited</w:t>
            </w:r>
            <w:r>
              <w:rPr>
                <w:rFonts w:ascii="Arial" w:cs="Arial" w:eastAsia="Arial" w:hAnsi="Arial"/>
                <w:sz w:val="29"/>
                <w:szCs w:val="29"/>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Foresite Capital Fund IV, L.P.</w:t>
            </w:r>
            <w:r>
              <w:rPr>
                <w:rFonts w:ascii="Arial" w:cs="Arial" w:eastAsia="Arial" w:hAnsi="Arial"/>
                <w:sz w:val="29"/>
                <w:szCs w:val="29"/>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10,500,000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Robert J. Gould</w:t>
            </w:r>
            <w:r>
              <w:rPr>
                <w:rFonts w:ascii="Arial" w:cs="Arial" w:eastAsia="Arial" w:hAnsi="Arial"/>
                <w:sz w:val="29"/>
                <w:szCs w:val="29"/>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3,901,415</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Bryan Stuart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Diego Cadavid</w:t>
            </w:r>
            <w:r>
              <w:rPr>
                <w:rFonts w:ascii="Arial" w:cs="Arial" w:eastAsia="Arial" w:hAnsi="Arial"/>
                <w:sz w:val="29"/>
                <w:szCs w:val="29"/>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556,343</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Mark Levin</w:t>
            </w:r>
            <w:r>
              <w:rPr>
                <w:rFonts w:ascii="Arial" w:cs="Arial" w:eastAsia="Arial" w:hAnsi="Arial"/>
                <w:sz w:val="29"/>
                <w:szCs w:val="29"/>
                <w:color w:val="auto"/>
                <w:vertAlign w:val="superscript"/>
              </w:rPr>
              <w:t>(6)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41,166,667</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James J. Collins</w:t>
            </w:r>
            <w:r>
              <w:rPr>
                <w:rFonts w:ascii="Arial" w:cs="Arial" w:eastAsia="Arial" w:hAnsi="Arial"/>
                <w:sz w:val="29"/>
                <w:szCs w:val="29"/>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196,250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Alan Ezekowitz</w:t>
            </w:r>
            <w:r>
              <w:rPr>
                <w:rFonts w:ascii="Arial" w:cs="Arial" w:eastAsia="Arial" w:hAnsi="Arial"/>
                <w:sz w:val="29"/>
                <w:szCs w:val="29"/>
                <w:color w:val="auto"/>
                <w:vertAlign w:val="superscript"/>
              </w:rPr>
              <w:t>(8)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202,500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James Geraghty</w:t>
            </w:r>
            <w:r>
              <w:rPr>
                <w:rFonts w:ascii="Arial" w:cs="Arial" w:eastAsia="Arial" w:hAnsi="Arial"/>
                <w:sz w:val="29"/>
                <w:szCs w:val="29"/>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590,000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Kate Haviland</w:t>
            </w:r>
            <w:r>
              <w:rPr>
                <w:rFonts w:ascii="Arial" w:cs="Arial" w:eastAsia="Arial" w:hAnsi="Arial"/>
                <w:sz w:val="29"/>
                <w:szCs w:val="29"/>
                <w:color w:val="auto"/>
                <w:vertAlign w:val="superscript"/>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36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All current executive officers and directors as a group (9 persons)</w:t>
            </w:r>
            <w:r>
              <w:rPr>
                <w:rFonts w:ascii="Arial" w:cs="Arial" w:eastAsia="Arial" w:hAnsi="Arial"/>
                <w:sz w:val="29"/>
                <w:szCs w:val="29"/>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47,544,044</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1"/>
        </w:trPr>
        <w:tc>
          <w:tcPr>
            <w:tcW w:w="11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120" w:type="dxa"/>
            <w:vAlign w:val="bottom"/>
            <w:gridSpan w:val="3"/>
          </w:tcPr>
          <w:p>
            <w:pPr>
              <w:jc w:val="right"/>
              <w:ind w:right="4360"/>
              <w:spacing w:after="0"/>
              <w:rPr>
                <w:sz w:val="20"/>
                <w:szCs w:val="20"/>
                <w:color w:val="auto"/>
              </w:rPr>
            </w:pPr>
            <w:r>
              <w:rPr>
                <w:rFonts w:ascii="Arial" w:cs="Arial" w:eastAsia="Arial" w:hAnsi="Arial"/>
                <w:sz w:val="18"/>
                <w:szCs w:val="18"/>
                <w:color w:val="auto"/>
                <w:w w:val="97"/>
              </w:rPr>
              <w:t>Less than one percent</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20" w:type="dxa"/>
            <w:vAlign w:val="bottom"/>
            <w:gridSpan w:val="3"/>
          </w:tcPr>
          <w:p>
            <w:pPr>
              <w:jc w:val="right"/>
              <w:ind w:right="1740"/>
              <w:spacing w:after="0"/>
              <w:rPr>
                <w:sz w:val="20"/>
                <w:szCs w:val="20"/>
                <w:color w:val="auto"/>
              </w:rPr>
            </w:pPr>
            <w:r>
              <w:rPr>
                <w:rFonts w:ascii="Arial" w:cs="Arial" w:eastAsia="Arial" w:hAnsi="Arial"/>
                <w:sz w:val="18"/>
                <w:szCs w:val="18"/>
                <w:color w:val="auto"/>
              </w:rPr>
              <w:t>184</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86" w:lineRule="auto"/>
        <w:tabs>
          <w:tab w:leader="none" w:pos="16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(i) (a) 2,000,000 shares of common stock and (b) 39,166,667 shares of common stock issuable upon the conversion of preferred stock held by Third Rock Ventures III, L.P., or TRV III LP, and (ii) 15,833,333 shares of common stock issuable upon the conversion of preferred stock held by Third Rock Ventures IV, L.P., or TRV IV LP. Third Rock Ventures GP III, L.P., or TRV GP III, is the sole general partner of TRV III LP. TRV GP III, LLC, or TRV III LLC, is the sole general partner of TRV GP III. Each of TRV GP III, TRV III LLC, and Mark Levin, Kevin Starr and Robert Tepper, the managers of TRV III LLC, may be deemed to share voting and dispositive power over the shares of record held by TRV III LP. Each of TRV GP III, TRV III LLC, and Mark Levin, Kevin Starr and Robert Tepper disclaims beneficial ownership of all shares held by TRV III LP except to the extent of their pecuniary interest therein. Third Rock Ventures GP IV, L.P., or TRV GP IV, is the sole general partner of TRV IV LP. TRV GP IV, LLC, or TRV IV LLC, is the sole general partner of TRV GP IV. Abbie Celniker, Ph.D., Robert Tepper, M.D., Craig Muir and Cary Pfeffer, M.D. are the managing members of TRV IV LLC who collectively make voting and investment decisions with respect to shares held by TRV IV LP. The address of TRV III LP and TRV IV LP is 29 Newbury Street, Boston, MA 02116.</w:t>
      </w:r>
    </w:p>
    <w:p>
      <w:pPr>
        <w:spacing w:after="0" w:line="208"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12,500,000 shares of common stock issuable upon the conversion of preferred stock held by Glaxo Group Limited, an indirect wholly-owned subsidiary of GlaxoSmithKline plc, which beneficially owns the shares held by Glaxo Group Limited. The address of Glaxo Group Limited is 980 Great West Road, Brentford, Middlesex TW8 9GS England.</w:t>
      </w:r>
    </w:p>
    <w:p>
      <w:pPr>
        <w:spacing w:after="0" w:line="207" w:lineRule="exact"/>
        <w:rPr>
          <w:rFonts w:ascii="Arial" w:cs="Arial" w:eastAsia="Arial" w:hAnsi="Arial"/>
          <w:sz w:val="18"/>
          <w:szCs w:val="18"/>
          <w:color w:val="auto"/>
        </w:rPr>
      </w:pPr>
    </w:p>
    <w:p>
      <w:pPr>
        <w:jc w:val="both"/>
        <w:ind w:left="1680" w:hanging="531"/>
        <w:spacing w:after="0" w:line="254" w:lineRule="auto"/>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10,500,000 shares of common stock issuable upon the conversion of preferred stock held by Foresite Capital Fund, IV, L.P., or FCF IV. Foresite Capital Management IV, LLC, or FCM IV, the general partner of FCF IV, may be deemed to have sole voting and dispositive power over these shares. James B. Tananbaum, in his capacity as managing member of FCM IV, may be deemed to have sole voting and dispositive power over these shares. Each of FCM IV and its members and Mr. Tananbaum disclaims beneficial ownership of any of these shares except to the extent of any pecuniary interest therein. The address of FCF IV is 600 Montgomery Street, Suite 4500, San Francisco, CA 94111.</w:t>
      </w:r>
    </w:p>
    <w:p>
      <w:pPr>
        <w:spacing w:after="0" w:line="211" w:lineRule="exact"/>
        <w:rPr>
          <w:rFonts w:ascii="Arial" w:cs="Arial" w:eastAsia="Arial" w:hAnsi="Arial"/>
          <w:sz w:val="18"/>
          <w:szCs w:val="18"/>
          <w:color w:val="auto"/>
        </w:rPr>
      </w:pPr>
    </w:p>
    <w:p>
      <w:pPr>
        <w:ind w:left="1680" w:hanging="531"/>
        <w:spacing w:after="0"/>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3,901,415 shares of common stock held by Dr. Gould.</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497,500 shares of common stock held by Dr. Cadavid and 58,843 shares of common stock underlying options held by Dr. Cadavid that are exercisable as of April 30, 2019 or will become exercisable within 60 days after such date.</w:t>
      </w:r>
    </w:p>
    <w:p>
      <w:pPr>
        <w:spacing w:after="0" w:line="199"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the shares described in Note 1 above held by TRV III LP. Mr. Levin, a member of our board of directors, is a manager of TRV III LLC, which is the sole general partner of TRV GP III, which is the sole general partner of TRV III LP and may be deemed to be the indirect beneficial owner of such shares. Mr. Levin disclaims beneficial ownership over such shares, except to the extent of his proportionate pecuniary interest therein.</w:t>
      </w:r>
    </w:p>
    <w:p>
      <w:pPr>
        <w:spacing w:after="0" w:line="210"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165,000 shares of common stock held by Dr. Collins and 31,250 shares of common stock underlying options held by Dr. Collins that are exercisable as of April 30, 2019 or will become exercisable within 60 days after such date.</w:t>
      </w:r>
    </w:p>
    <w:p>
      <w:pPr>
        <w:spacing w:after="0" w:line="212" w:lineRule="exact"/>
        <w:rPr>
          <w:rFonts w:ascii="Arial" w:cs="Arial" w:eastAsia="Arial" w:hAnsi="Arial"/>
          <w:sz w:val="18"/>
          <w:szCs w:val="18"/>
          <w:color w:val="auto"/>
        </w:rPr>
      </w:pPr>
    </w:p>
    <w:p>
      <w:pPr>
        <w:ind w:left="1680" w:right="20" w:hanging="531"/>
        <w:spacing w:after="0" w:line="332" w:lineRule="auto"/>
        <w:tabs>
          <w:tab w:leader="none" w:pos="16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165,000 shares of common stock held by Dr. Ezekowitz and 37,500 shares of common stock underlying options held by Dr. Ezekowitz that are exercisable as of April 30, 2019 or will become exercisable within 60 days after such date.</w:t>
      </w:r>
    </w:p>
    <w:p>
      <w:pPr>
        <w:spacing w:after="0" w:line="152" w:lineRule="exact"/>
        <w:rPr>
          <w:rFonts w:ascii="Arial" w:cs="Arial" w:eastAsia="Arial" w:hAnsi="Arial"/>
          <w:sz w:val="16"/>
          <w:szCs w:val="16"/>
          <w:color w:val="auto"/>
        </w:rPr>
      </w:pPr>
    </w:p>
    <w:p>
      <w:pPr>
        <w:ind w:left="1680" w:hanging="531"/>
        <w:spacing w:after="0" w:line="332" w:lineRule="auto"/>
        <w:tabs>
          <w:tab w:leader="none" w:pos="16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565,000 shares of common stock held by Mr. Geraghty and 25,000 shares of common stock underlying options held by Mr. Geraghty that are exercisable as of April 30, 2019 or will become exercisable within 60 days after such date.</w:t>
      </w:r>
    </w:p>
    <w:p>
      <w:pPr>
        <w:spacing w:after="0" w:line="152"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41,250 shares of common stock underlying options held by Ms. Haviland that are exercisable as of April 30, 2019 or will become exercisable within 60 days after such date.</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193,843 shares of common stock underlying options that are exercisable as of April 30, 2019 or will become exercisable within 60 days after such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and are qualified by reference to the certificate of incorporation and the bylaws that will be in effect upon the closing of this offering. We will file copies of these documents with the SEC as exhibits to our registration statement of which this prospectus is a part. The description of the capital stock reflects changes to our capital structure that will occur upon the closing of this offering.</w:t>
      </w:r>
    </w:p>
    <w:p>
      <w:pPr>
        <w:spacing w:after="0" w:line="197"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auto"/>
        </w:rPr>
        <w:t>Upon the closing of this offering, our authorized capital stock will consist of 200,000,000 shares of our common stock, par value $0.001 per share, and 5,000,000 shares of our preferred stock, par value $0.001 per share, all of which preferred stock will be undesignated.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30, 2019, we had issued and outstanding:</w:t>
      </w:r>
    </w:p>
    <w:p>
      <w:pPr>
        <w:spacing w:after="0" w:line="23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19,430,506 shares of our common stock held by 77 stockholders of record;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60,000,000 shares of our Series A preferred stock held by 3 stockholders of record, convertible into 60,000,000 shares of our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52,500,000 shares of our Series B preferred stock held by 21 stockholders of record, convertible into 52,500,000 shares of our common stock;</w:t>
      </w:r>
    </w:p>
    <w:p>
      <w:pPr>
        <w:spacing w:after="0" w:line="24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Upon the closing of this offering, all of the outstanding shares of our preferred stock will automatically convert into an aggregate of 112,500,000 shares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preferred stock.</w:t>
      </w:r>
    </w:p>
    <w:p>
      <w:pPr>
        <w:spacing w:after="0" w:line="197"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In the event of our liquidation or dissolution, the holders of our common stock are entitled to receive proportionately all assets available for distribution to stockholders after the payment of all debts and other liabilities and subject to the prior rights of any of our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Under the terms of our certificate of incorporation that will become effective upon the closing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97"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Unvested Restricted Stock</w:t>
      </w:r>
    </w:p>
    <w:p>
      <w:pPr>
        <w:spacing w:after="0" w:line="231" w:lineRule="exact"/>
        <w:rPr>
          <w:sz w:val="20"/>
          <w:szCs w:val="20"/>
          <w:color w:val="auto"/>
        </w:rPr>
      </w:pPr>
    </w:p>
    <w:p>
      <w:pPr>
        <w:jc w:val="both"/>
        <w:ind w:firstLine="386"/>
        <w:spacing w:after="0" w:line="268" w:lineRule="auto"/>
        <w:rPr>
          <w:sz w:val="20"/>
          <w:szCs w:val="20"/>
          <w:color w:val="auto"/>
        </w:rPr>
      </w:pPr>
      <w:r>
        <w:rPr>
          <w:rFonts w:ascii="Arial" w:cs="Arial" w:eastAsia="Arial" w:hAnsi="Arial"/>
          <w:sz w:val="18"/>
          <w:szCs w:val="18"/>
          <w:color w:val="auto"/>
        </w:rPr>
        <w:t>As of April 30, 2019, options to purchase an aggregate of 10,503,582 shares of our common stock, at a weighted average exercise price of $1.09 per share, were outstanding, and 6,972,076 shares of unvested restricted common stock were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 and Certain Charter and Bylaw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 that will own 15% or more of our outstanding voting stock upon the closing of this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auto"/>
        </w:rPr>
        <w:t>Our certificate of incorporation and our bylaws to be effective upon the closing of this offering divide our board of directors into three classes with staggered three-year terms. In addition, our certificate of incorporation and our bylaws to be effective upon the closing of this offering provide that directors may be removed only for cause and only by the affirmative vote of the holders of 75% of our shares of capital stock present in person or by proxy and entitled to vote. Under our certificate of incorporation and our bylaws to be effective upon the closing of this offering, any vacancy on our board of directors, including a vacancy resulting from an enlargement of our board of directors, may be filled only by vote of a majority of our directors then in office. Furthermore, our certificate of incorporation to be effective upon the closing of this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Our certificate of incorporation and our bylaws to be effective upon the closing of this offering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to be effective upon the closing of this offering also provide that, except as otherwise required by law, special meetings of the stockholders can only be called by our board of directors. In addition, our bylaws to be effective upon the closing of this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to be effective upon the closing of this offering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jc w:val="both"/>
        <w:ind w:firstLine="394"/>
        <w:spacing w:after="0" w:line="288" w:lineRule="auto"/>
        <w:rPr>
          <w:sz w:val="20"/>
          <w:szCs w:val="20"/>
          <w:color w:val="auto"/>
        </w:rPr>
      </w:pPr>
      <w:r>
        <w:rPr>
          <w:rFonts w:ascii="Arial" w:cs="Arial" w:eastAsia="Arial" w:hAnsi="Arial"/>
          <w:sz w:val="16"/>
          <w:szCs w:val="16"/>
          <w:color w:val="auto"/>
        </w:rPr>
        <w:t>Our certificate of incorporation to be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97"/>
        <w:spacing w:after="0" w:line="298" w:lineRule="auto"/>
        <w:rPr>
          <w:sz w:val="20"/>
          <w:szCs w:val="20"/>
          <w:color w:val="auto"/>
        </w:rPr>
      </w:pPr>
      <w:r>
        <w:rPr>
          <w:rFonts w:ascii="Arial" w:cs="Arial" w:eastAsia="Arial" w:hAnsi="Arial"/>
          <w:sz w:val="16"/>
          <w:szCs w:val="16"/>
          <w:color w:val="auto"/>
        </w:rPr>
        <w:t>We have entered into an amended and restated investor rights agreement dated as of August 24, 2018, or the investor rights agreement, with holders of our preferred stock. Beginning six months following the closing of this offering, holders of a total of 114,500,000 shares of our common stock will have the right to require us to register these shares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225" w:lineRule="exact"/>
        <w:rPr>
          <w:sz w:val="20"/>
          <w:szCs w:val="20"/>
          <w:color w:val="auto"/>
        </w:rPr>
      </w:pPr>
    </w:p>
    <w:p>
      <w:pPr>
        <w:jc w:val="both"/>
        <w:ind w:firstLine="408"/>
        <w:spacing w:after="0" w:line="259" w:lineRule="auto"/>
        <w:rPr>
          <w:sz w:val="20"/>
          <w:szCs w:val="20"/>
          <w:color w:val="auto"/>
        </w:rPr>
      </w:pPr>
      <w:r>
        <w:rPr>
          <w:rFonts w:ascii="Arial" w:cs="Arial" w:eastAsia="Arial" w:hAnsi="Arial"/>
          <w:sz w:val="18"/>
          <w:szCs w:val="18"/>
          <w:color w:val="auto"/>
        </w:rPr>
        <w:t>Beginning 180 days after this offering, subject to specified limitations set forth in the investor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 million. We are not obligated to file a registration statement pursuant to this provision on more than two occasions.</w:t>
      </w:r>
    </w:p>
    <w:p>
      <w:pPr>
        <w:spacing w:after="0" w:line="225"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In addition, subject to specified limitations set forth in the investor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jc w:val="both"/>
        <w:ind w:firstLine="447"/>
        <w:spacing w:after="0" w:line="259" w:lineRule="auto"/>
        <w:rPr>
          <w:sz w:val="20"/>
          <w:szCs w:val="20"/>
          <w:color w:val="auto"/>
        </w:rPr>
      </w:pPr>
      <w:r>
        <w:rPr>
          <w:rFonts w:ascii="Arial" w:cs="Arial" w:eastAsia="Arial" w:hAnsi="Arial"/>
          <w:sz w:val="18"/>
          <w:szCs w:val="18"/>
          <w:color w:val="auto"/>
        </w:rPr>
        <w:t>If, at any time after the closing of this offering, we propose to register for our own account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94" w:lineRule="exact"/>
        <w:rPr>
          <w:sz w:val="20"/>
          <w:szCs w:val="20"/>
          <w:color w:val="auto"/>
        </w:rPr>
      </w:pPr>
    </w:p>
    <w:p>
      <w:pPr>
        <w:jc w:val="both"/>
        <w:ind w:firstLine="379"/>
        <w:spacing w:after="0" w:line="332" w:lineRule="auto"/>
        <w:rPr>
          <w:sz w:val="20"/>
          <w:szCs w:val="20"/>
          <w:color w:val="auto"/>
        </w:rPr>
      </w:pPr>
      <w:r>
        <w:rPr>
          <w:rFonts w:ascii="Arial" w:cs="Arial" w:eastAsia="Arial" w:hAnsi="Arial"/>
          <w:sz w:val="16"/>
          <w:szCs w:val="16"/>
          <w:color w:val="auto"/>
        </w:rPr>
        <w:t>In the event that any registration in which the holders of registrable securities participate pursuant to our investor rights agreement is an underwritten public offering, we have agreed to enter into an underwriting agreement in usual and customary form and use our reasonable best efforts to facilitate such offering.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color w:val="auto"/>
        </w:rPr>
        <w:t>Pursuant to the investor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98"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investor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will be Computershare Trust Company 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have our common stock listed on the Nasdaq Global Market under the symbol "FULC."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 liquid trading market for our common stock may not develop or be sustained after this offering. Future sales of substantial amounts of our common stock in the public market, including shares issued upon exercise of outstanding options, or the anticipation of these sales, could adversely affect market prices prevailing from time to time and could impair our ability to raise capital through sales of equity securities.</w:t>
      </w:r>
    </w:p>
    <w:p>
      <w:pPr>
        <w:spacing w:after="0" w:line="197"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6"/>
          <w:szCs w:val="16"/>
          <w:color w:val="auto"/>
        </w:rPr>
        <w:t>Upon the closing of this offering, we will have outstanding shares of our common stock, based on the 19,430,506 shares of our common stock that were outstanding on April 30, 2019, after giving effect to the issuance of shares of our common stock in this offering, assuming no exercise by</w:t>
      </w:r>
    </w:p>
    <w:p>
      <w:pPr>
        <w:jc w:val="both"/>
        <w:spacing w:after="0" w:line="281" w:lineRule="auto"/>
        <w:rPr>
          <w:sz w:val="20"/>
          <w:szCs w:val="20"/>
          <w:color w:val="auto"/>
        </w:rPr>
      </w:pPr>
      <w:r>
        <w:rPr>
          <w:rFonts w:ascii="Arial" w:cs="Arial" w:eastAsia="Arial" w:hAnsi="Arial"/>
          <w:sz w:val="16"/>
          <w:szCs w:val="16"/>
          <w:color w:val="auto"/>
        </w:rPr>
        <w:t>the underwriters of their option to purchase additional shares of our common stock, and the conversion of all outstanding shares of our preferred stock into an aggregate of 112,500,000 shares of our common stock upon the closing of this offering. Of these shares, all shares sold in this offering will be freely tradable without restriction under the Securities Act of 1933, as amended, or the Securities Act, unless purchased by our "affiliates," as that term is defined in Rule 144</w:t>
      </w:r>
    </w:p>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under the Securities Act. The remaining shares of our common stock will be "restricted securities" under Rule 144, and we expect that substantially all of these restricted securities will be subject to the 180-day lock-up period under the lock-up agreements as described below. These restricted securities may be sold in the public market upon release or waiver of any applicable lock-up agreements and only if registered or pursuant to an exemption from registration, such as Rule 144 or Rule 701 under the Securities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held their shares for at least six months, including the holding period of any prior owner other than one of our affiliates, may sell those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0" w:lineRule="exact"/>
        <w:rPr>
          <w:sz w:val="20"/>
          <w:szCs w:val="20"/>
          <w:color w:val="auto"/>
        </w:rPr>
      </w:pPr>
    </w:p>
    <w:p>
      <w:pPr>
        <w:jc w:val="both"/>
        <w:ind w:right="20" w:firstLine="384"/>
        <w:spacing w:after="0" w:line="259"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 of the number of shares of our common stock then outstanding, which will equal approximately and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 offering;</w:t>
      </w:r>
    </w:p>
    <w:p>
      <w:pPr>
        <w:spacing w:after="0" w:line="478" w:lineRule="exact"/>
        <w:rPr>
          <w:sz w:val="20"/>
          <w:szCs w:val="20"/>
          <w:color w:val="auto"/>
        </w:rPr>
      </w:pPr>
    </w:p>
    <w:p>
      <w:pPr>
        <w:sectPr>
          <w:pgSz w:w="11900" w:h="16838" w:orient="portrait"/>
          <w:cols w:equalWidth="0" w:num="3">
            <w:col w:w="600" w:space="480"/>
            <w:col w:w="7060" w:space="580"/>
            <w:col w:w="2700"/>
          </w:cols>
          <w:pgMar w:left="240" w:top="131" w:right="239" w:bottom="1440" w:gutter="0" w:footer="0" w:header="0"/>
          <w:type w:val="continuous"/>
        </w:sectPr>
      </w:pPr>
    </w:p>
    <w:p>
      <w:pPr>
        <w:spacing w:after="0" w:line="13" w:lineRule="exact"/>
        <w:rPr>
          <w:sz w:val="20"/>
          <w:szCs w:val="20"/>
          <w:color w:val="auto"/>
        </w:rPr>
      </w:pPr>
    </w:p>
    <w:p>
      <w:pPr>
        <w:ind w:left="108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date of filing of a Notice of Proposed Sale of Securities Pursuant to Rule 144 with respect to the sale.</w:t>
      </w:r>
    </w:p>
    <w:p>
      <w:pPr>
        <w:spacing w:after="0" w:line="186" w:lineRule="exact"/>
        <w:rPr>
          <w:sz w:val="20"/>
          <w:szCs w:val="20"/>
          <w:color w:val="auto"/>
        </w:rPr>
      </w:pPr>
    </w:p>
    <w:p>
      <w:pPr>
        <w:ind w:firstLine="533"/>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ind w:firstLine="364"/>
        <w:spacing w:after="0" w:line="332" w:lineRule="auto"/>
        <w:rPr>
          <w:sz w:val="20"/>
          <w:szCs w:val="20"/>
          <w:color w:val="auto"/>
        </w:rPr>
      </w:pPr>
      <w:r>
        <w:rPr>
          <w:rFonts w:ascii="Arial" w:cs="Arial" w:eastAsia="Arial" w:hAnsi="Arial"/>
          <w:sz w:val="16"/>
          <w:szCs w:val="16"/>
          <w:color w:val="auto"/>
        </w:rPr>
        <w:t>Upon waiver or expiration of the 180-day lock-up period described below, approximately shares of our common stock will be eligible for sale under Rule 144. We cannot estimate the number of shares of our common stock that our existing stockholders will elect to sell under Rule 144.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jc w:val="both"/>
        <w:ind w:firstLine="417"/>
        <w:spacing w:after="0" w:line="284"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various restrictions, including the availability of public information about us, holding period and volume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limitations, contained in Rule 144. Subject to the 180-day lock-up period described below, approximately shares of our common stock, based on shares outstanding as of , 2019 will be eligible for sale in accordance with Rule 701.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each of our executive officers and directors and the holders of a majority of our outstanding securities have agreed that, without the prior written consent of Morgan Stanley &amp; Co. LLC, BofA Securities, Inc. and SVB Leerink LLC, on behalf of the underwriters, we and they will not, subject to limited exceptions, during the period ending 180 days after the date of this prospectus:</w:t>
      </w:r>
    </w:p>
    <w:p>
      <w:pPr>
        <w:spacing w:after="0" w:line="208" w:lineRule="exact"/>
        <w:rPr>
          <w:sz w:val="20"/>
          <w:szCs w:val="20"/>
          <w:color w:val="auto"/>
        </w:rPr>
      </w:pPr>
    </w:p>
    <w:p>
      <w:pPr>
        <w:jc w:val="both"/>
        <w:ind w:left="1080" w:hanging="532"/>
        <w:spacing w:after="0" w:line="306"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is to be settled by delivery of common stock or such other securities, in cash or otherwise.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agreements are subject to certain exceptions, as described in the section of this prospectus entitled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Beginning six months after the closing of this offering, the holders of an aggregate of 114,500,000 shares of our common stock will have rights, subject to certain conditions, to require us to file registration statements covering their shares or to include their shares in registration statements that we may file for ourselves or other stockholders. After registration pursuant to these rights, these shares will become freely tradable without restriction under the Securities Act. See "Description of Capital Stock—Registration Rights" for additional information regarding these registration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Form S-8 Registration Statement</w:t>
      </w:r>
    </w:p>
    <w:p>
      <w:pPr>
        <w:spacing w:after="0" w:line="231"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As of April 30, 2019, we had outstanding options to purchase an aggregate of 10,503,582 shares of our common stock under the 2016 Plan, of which options to purchase 354,098 shares were vested. Following this offering, we intend to file a registration statement on Form S-8 under the Securities Act to register all of the shares of our common stock subject to outstanding options and reserved for future options and other awards under the 2016 Plan, the 2019 Plan and the 2019 ESPP. See "Executive Compensation—Stock Option and Other Compensation Plans" for additional information regarding these plans. Accordingly, shares of our common stock registered under the registration statements will be available for sale in the open market, subject to Rule 144 volume limitations applicable to affiliates, and subject to any vesting restrictions and lock-up agreements applicable to these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NON-U.S. HOLDERS OF COMMON STOCK</w:t>
      </w:r>
    </w:p>
    <w:p>
      <w:pPr>
        <w:spacing w:after="0" w:line="219" w:lineRule="exact"/>
        <w:rPr>
          <w:sz w:val="20"/>
          <w:szCs w:val="20"/>
          <w:color w:val="auto"/>
        </w:rPr>
      </w:pPr>
    </w:p>
    <w:p>
      <w:pPr>
        <w:jc w:val="both"/>
        <w:ind w:firstLine="512"/>
        <w:spacing w:after="0" w:line="259" w:lineRule="auto"/>
        <w:rPr>
          <w:sz w:val="20"/>
          <w:szCs w:val="20"/>
          <w:color w:val="auto"/>
        </w:rPr>
      </w:pPr>
      <w:r>
        <w:rPr>
          <w:rFonts w:ascii="Arial" w:cs="Arial" w:eastAsia="Arial" w:hAnsi="Arial"/>
          <w:sz w:val="18"/>
          <w:szCs w:val="18"/>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208"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70"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or differing interpretation could alter the tax consequences to non-U.S. holders described in this prospectus. There can be no assurance that the Internal Revenue Service, or the IRS, will not challenge one or more of the tax consequences described in this prospectus.</w:t>
      </w:r>
    </w:p>
    <w:p>
      <w:pPr>
        <w:spacing w:after="0" w:line="197" w:lineRule="exact"/>
        <w:rPr>
          <w:sz w:val="20"/>
          <w:szCs w:val="20"/>
          <w:color w:val="auto"/>
        </w:rPr>
      </w:pPr>
    </w:p>
    <w:p>
      <w:pPr>
        <w:jc w:val="both"/>
        <w:ind w:firstLine="418"/>
        <w:spacing w:after="0" w:line="294" w:lineRule="auto"/>
        <w:rPr>
          <w:sz w:val="20"/>
          <w:szCs w:val="20"/>
          <w:color w:val="auto"/>
        </w:rPr>
      </w:pPr>
      <w:r>
        <w:rPr>
          <w:rFonts w:ascii="Arial" w:cs="Arial" w:eastAsia="Arial" w:hAnsi="Arial"/>
          <w:sz w:val="16"/>
          <w:szCs w:val="16"/>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non-U.S. governments;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jc w:val="both"/>
        <w:ind w:firstLine="702"/>
        <w:spacing w:after="0" w:line="258"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As discussed under the heading "Dividend Policy" above, 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w:t>
      </w:r>
    </w:p>
    <w:p>
      <w:pPr>
        <w:spacing w:after="0" w:line="198" w:lineRule="exact"/>
        <w:rPr>
          <w:sz w:val="20"/>
          <w:szCs w:val="20"/>
          <w:color w:val="auto"/>
        </w:rPr>
      </w:pPr>
    </w:p>
    <w:p>
      <w:pPr>
        <w:jc w:val="both"/>
        <w:ind w:firstLine="413"/>
        <w:spacing w:after="0" w:line="289" w:lineRule="auto"/>
        <w:rPr>
          <w:sz w:val="20"/>
          <w:szCs w:val="20"/>
          <w:color w:val="auto"/>
        </w:rPr>
      </w:pPr>
      <w:r>
        <w:rPr>
          <w:rFonts w:ascii="Arial" w:cs="Arial" w:eastAsia="Arial" w:hAnsi="Arial"/>
          <w:sz w:val="16"/>
          <w:szCs w:val="16"/>
          <w:color w:val="auto"/>
        </w:rPr>
        <w:t>Subject to the discussions below under the headings "Information Reporting and Backup Withholding" and "FATCA", dividends paid to a non-U.S. holder generally will be subject to withholding of U.S. federal income tax at a 30% rate or such lower rate as may be specified by an applicable income tax treaty between the United States and such holder's country of residence. 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 and the specific methods available to them to satisfy these requirements.</w:t>
      </w:r>
    </w:p>
    <w:p>
      <w:pPr>
        <w:spacing w:after="0" w:line="172"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1"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A non-U.S. holder generally will not be subject to U.S. federal income tax on gain recognized on the non-U.S. holder's sale, exchange or other disposition of our common stock unless:</w:t>
      </w:r>
    </w:p>
    <w:p>
      <w:pPr>
        <w:spacing w:after="0" w:line="199" w:lineRule="exact"/>
        <w:rPr>
          <w:sz w:val="20"/>
          <w:szCs w:val="20"/>
          <w:color w:val="auto"/>
        </w:rPr>
      </w:pPr>
    </w:p>
    <w:p>
      <w:pPr>
        <w:jc w:val="both"/>
        <w:ind w:left="1080" w:hanging="532"/>
        <w:spacing w:after="0" w:line="294"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(as defined in the Code)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196"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10" w:lineRule="exact"/>
        <w:rPr>
          <w:rFonts w:ascii="Arial" w:cs="Arial" w:eastAsia="Arial" w:hAnsi="Arial"/>
          <w:sz w:val="18"/>
          <w:szCs w:val="18"/>
          <w:color w:val="auto"/>
        </w:rPr>
      </w:pPr>
    </w:p>
    <w:p>
      <w:pPr>
        <w:jc w:val="both"/>
        <w:ind w:left="1080" w:hanging="532"/>
        <w:spacing w:after="0" w:line="286"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(as defined in the Code). Generally, a corporation is a "U.S. real property holding corporation" only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231"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Shares of our common stock that are owned or treated as owned by an individual who is not a citizen or resident of the United States (as specially defined for U.S. federal estate tax purposes) at the time of such individual's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jc w:val="both"/>
        <w:ind w:firstLine="387"/>
        <w:spacing w:after="0" w:line="298" w:lineRule="auto"/>
        <w:rPr>
          <w:sz w:val="20"/>
          <w:szCs w:val="20"/>
          <w:color w:val="auto"/>
        </w:rPr>
      </w:pPr>
      <w:r>
        <w:rPr>
          <w:rFonts w:ascii="Arial" w:cs="Arial" w:eastAsia="Arial" w:hAnsi="Arial"/>
          <w:sz w:val="16"/>
          <w:szCs w:val="16"/>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94"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201"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jc w:val="both"/>
        <w:ind w:right="20" w:firstLine="385"/>
        <w:spacing w:after="0" w:line="332" w:lineRule="auto"/>
        <w:rPr>
          <w:sz w:val="20"/>
          <w:szCs w:val="20"/>
          <w:color w:val="auto"/>
        </w:rPr>
      </w:pPr>
      <w:r>
        <w:rPr>
          <w:rFonts w:ascii="Arial" w:cs="Arial" w:eastAsia="Arial" w:hAnsi="Arial"/>
          <w:sz w:val="16"/>
          <w:szCs w:val="16"/>
          <w:color w:val="auto"/>
        </w:rPr>
        <w:t>Backup withholding is not an additional tax. Rather,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Provisions of the Code commonly referred to as the Foreign Account Tax Compliance Act, or FATCA, generally impose a 30% withholding tax on dividends on, and, subject to the discussion below with respect to proposed U.S. Treasury Regulations excluding gross proceeds from such required withholding,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excepted under FATCA.</w:t>
      </w:r>
    </w:p>
    <w:p>
      <w:pPr>
        <w:spacing w:after="0" w:line="170" w:lineRule="exact"/>
        <w:rPr>
          <w:sz w:val="20"/>
          <w:szCs w:val="20"/>
          <w:color w:val="auto"/>
        </w:rPr>
      </w:pPr>
    </w:p>
    <w:p>
      <w:pPr>
        <w:jc w:val="both"/>
        <w:ind w:firstLine="408"/>
        <w:spacing w:after="0" w:line="256"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apply to payments of gross proceeds from a sale or other disposition of our common stock, under recently proposed U.S. Treasury Regulations withholding on payments of gross proceeds is not required. Although such regulations are not final, applicable withholding agents may rely on the proposed regulations until final regulations are issued.</w:t>
      </w:r>
    </w:p>
    <w:p>
      <w:pPr>
        <w:spacing w:after="0" w:line="19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92" w:lineRule="exact"/>
        <w:rPr>
          <w:sz w:val="20"/>
          <w:szCs w:val="20"/>
          <w:color w:val="auto"/>
        </w:rPr>
      </w:pPr>
    </w:p>
    <w:p>
      <w:pPr>
        <w:jc w:val="both"/>
        <w:ind w:firstLine="392"/>
        <w:spacing w:after="0" w:line="339" w:lineRule="auto"/>
        <w:rPr>
          <w:sz w:val="20"/>
          <w:szCs w:val="20"/>
          <w:color w:val="auto"/>
        </w:rPr>
      </w:pPr>
      <w:r>
        <w:rPr>
          <w:rFonts w:ascii="Arial" w:cs="Arial" w:eastAsia="Arial" w:hAnsi="Arial"/>
          <w:sz w:val="15"/>
          <w:szCs w:val="15"/>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UNDERWRITERS</w:t>
      </w:r>
    </w:p>
    <w:p>
      <w:pPr>
        <w:spacing w:after="0" w:line="231" w:lineRule="exact"/>
        <w:rPr>
          <w:sz w:val="20"/>
          <w:szCs w:val="20"/>
          <w:color w:val="auto"/>
        </w:rPr>
      </w:pPr>
    </w:p>
    <w:p>
      <w:pPr>
        <w:jc w:val="both"/>
        <w:ind w:firstLine="483"/>
        <w:spacing w:after="0" w:line="268" w:lineRule="auto"/>
        <w:rPr>
          <w:sz w:val="20"/>
          <w:szCs w:val="20"/>
          <w:color w:val="auto"/>
        </w:rPr>
      </w:pPr>
      <w:r>
        <w:rPr>
          <w:rFonts w:ascii="Arial" w:cs="Arial" w:eastAsia="Arial" w:hAnsi="Arial"/>
          <w:sz w:val="18"/>
          <w:szCs w:val="18"/>
          <w:color w:val="auto"/>
        </w:rPr>
        <w:t>Under the terms and subject to the conditions in an underwriting agreement to be dated the date of this prospectus, the underwriters named below will severally agreed to purchase, and we will agree to sell to them, severally, the number of shares indicated below:</w:t>
      </w:r>
    </w:p>
    <w:p>
      <w:pPr>
        <w:spacing w:after="0" w:line="182" w:lineRule="exact"/>
        <w:rPr>
          <w:sz w:val="20"/>
          <w:szCs w:val="20"/>
          <w:color w:val="auto"/>
        </w:rPr>
      </w:pPr>
    </w:p>
    <w:p>
      <w:pPr>
        <w:ind w:left="1720"/>
        <w:spacing w:after="0"/>
        <w:tabs>
          <w:tab w:leader="none" w:pos="83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0</wp:posOffset>
            </wp:positionV>
            <wp:extent cx="7975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Total:</w:t>
      </w:r>
    </w:p>
    <w:p>
      <w:pPr>
        <w:spacing w:after="0" w:line="219" w:lineRule="exact"/>
        <w:rPr>
          <w:sz w:val="20"/>
          <w:szCs w:val="20"/>
          <w:color w:val="auto"/>
        </w:rPr>
      </w:pPr>
    </w:p>
    <w:p>
      <w:pPr>
        <w:jc w:val="both"/>
        <w:ind w:firstLine="369"/>
        <w:spacing w:after="0" w:line="294" w:lineRule="auto"/>
        <w:rPr>
          <w:sz w:val="20"/>
          <w:szCs w:val="20"/>
          <w:color w:val="auto"/>
        </w:rPr>
      </w:pPr>
      <w:r>
        <w:rPr>
          <w:rFonts w:ascii="Arial" w:cs="Arial" w:eastAsia="Arial" w:hAnsi="Arial"/>
          <w:sz w:val="16"/>
          <w:szCs w:val="16"/>
          <w:color w:val="auto"/>
        </w:rPr>
        <w:t>The underwriters are collectively referred to as the "underwriters". The underwriters will offer the shares of common stock subject to their acceptance of the shares from us and subject to prior sale. The underwriting agreement will provide that the obligations of the several underwriters to pay for and accept delivery of the shares of common stock offered by this prospectus are subject to the approval of certain legal matters by their counsel and to certain other conditions. The underwriters will be obligated to take and pay for all of the shares of common stock offered by this prospectus if any such shares are taken. However, the underwriters will not be required to take or pay for the shares covered by the underwriters' over-allotment option described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w:t>
      </w:r>
    </w:p>
    <w:p>
      <w:pPr>
        <w:spacing w:after="0" w:line="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and part to certain dealers at a price that represents a concession not in excess of $ per share under the public offering price. After the initial offering of the shares of common stock, the offering price and other selling terms may from time to time be varied by the underwriters.</w:t>
      </w:r>
    </w:p>
    <w:p>
      <w:pPr>
        <w:spacing w:after="0" w:line="192"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We will grant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80" w:type="dxa"/>
            <w:vAlign w:val="bottom"/>
            <w:gridSpan w:val="5"/>
          </w:tcPr>
          <w:p>
            <w:pPr>
              <w:spacing w:after="0"/>
              <w:rPr>
                <w:sz w:val="20"/>
                <w:szCs w:val="20"/>
                <w:color w:val="auto"/>
              </w:rPr>
            </w:pPr>
            <w:r>
              <w:rPr>
                <w:rFonts w:ascii="Arial" w:cs="Arial" w:eastAsia="Arial" w:hAnsi="Arial"/>
                <w:sz w:val="18"/>
                <w:szCs w:val="18"/>
                <w:color w:val="auto"/>
                <w:w w:val="88"/>
              </w:rPr>
              <w:t>amounts are shown assuming both no exercise and full exercise of the underwriters' option to purchase up to an additional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3"/>
          </w:tcPr>
          <w:p>
            <w:pPr>
              <w:ind w:left="200"/>
              <w:spacing w:after="0"/>
              <w:rPr>
                <w:sz w:val="20"/>
                <w:szCs w:val="20"/>
                <w:color w:val="auto"/>
              </w:rPr>
            </w:pPr>
            <w:r>
              <w:rPr>
                <w:rFonts w:ascii="Arial" w:cs="Arial" w:eastAsia="Arial" w:hAnsi="Arial"/>
                <w:sz w:val="18"/>
                <w:szCs w:val="18"/>
                <w:color w:val="auto"/>
              </w:rPr>
              <w:t>shares of common stock.</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w:t>
            </w:r>
          </w:p>
        </w:tc>
        <w:tc>
          <w:tcPr>
            <w:tcW w:w="56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Total</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Borders>
              <w:top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No</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Full</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Exercise</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Exercise</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46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46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9700" w:type="dxa"/>
            <w:vAlign w:val="bottom"/>
            <w:gridSpan w:val="9"/>
          </w:tcPr>
          <w:p>
            <w:pPr>
              <w:ind w:left="400"/>
              <w:spacing w:after="0"/>
              <w:rPr>
                <w:sz w:val="20"/>
                <w:szCs w:val="20"/>
                <w:color w:val="auto"/>
              </w:rPr>
            </w:pPr>
            <w:r>
              <w:rPr>
                <w:rFonts w:ascii="Arial" w:cs="Arial" w:eastAsia="Arial" w:hAnsi="Arial"/>
                <w:sz w:val="18"/>
                <w:szCs w:val="18"/>
                <w:color w:val="auto"/>
                <w:w w:val="92"/>
              </w:rPr>
              <w:t>The estimated offering expenses payable by us, exclusive of the underwriting discounts and commissions, are approximately $</w:t>
            </w:r>
          </w:p>
        </w:tc>
        <w:tc>
          <w:tcPr>
            <w:tcW w:w="1720" w:type="dxa"/>
            <w:vAlign w:val="bottom"/>
          </w:tcPr>
          <w:p>
            <w:pPr>
              <w:jc w:val="right"/>
              <w:spacing w:after="0"/>
              <w:rPr>
                <w:sz w:val="20"/>
                <w:szCs w:val="20"/>
                <w:color w:val="auto"/>
              </w:rPr>
            </w:pPr>
            <w:r>
              <w:rPr>
                <w:rFonts w:ascii="Arial" w:cs="Arial" w:eastAsia="Arial" w:hAnsi="Arial"/>
                <w:sz w:val="18"/>
                <w:szCs w:val="18"/>
                <w:color w:val="auto"/>
              </w:rPr>
              <w:t>. We have agreed to</w:t>
            </w:r>
          </w:p>
        </w:tc>
        <w:tc>
          <w:tcPr>
            <w:tcW w:w="0" w:type="dxa"/>
            <w:vAlign w:val="bottom"/>
          </w:tcPr>
          <w:p>
            <w:pPr>
              <w:spacing w:after="0"/>
              <w:rPr>
                <w:sz w:val="1"/>
                <w:szCs w:val="1"/>
                <w:color w:val="auto"/>
              </w:rPr>
            </w:pPr>
          </w:p>
        </w:tc>
      </w:tr>
      <w:tr>
        <w:trPr>
          <w:trHeight w:val="222"/>
        </w:trPr>
        <w:tc>
          <w:tcPr>
            <w:tcW w:w="9700" w:type="dxa"/>
            <w:vAlign w:val="bottom"/>
            <w:gridSpan w:val="9"/>
          </w:tcPr>
          <w:p>
            <w:pPr>
              <w:spacing w:after="0"/>
              <w:rPr>
                <w:sz w:val="20"/>
                <w:szCs w:val="20"/>
                <w:color w:val="auto"/>
              </w:rPr>
            </w:pPr>
            <w:r>
              <w:rPr>
                <w:rFonts w:ascii="Arial" w:cs="Arial" w:eastAsia="Arial" w:hAnsi="Arial"/>
                <w:sz w:val="18"/>
                <w:szCs w:val="18"/>
                <w:color w:val="auto"/>
                <w:w w:val="92"/>
              </w:rPr>
              <w:t>reimburse the underwriters for expenses relating to clearance of this offering with the Financial Industry Regulatory Authority up to $</w:t>
            </w:r>
          </w:p>
        </w:tc>
        <w:tc>
          <w:tcPr>
            <w:tcW w:w="1720" w:type="dxa"/>
            <w:vAlign w:val="bottom"/>
          </w:tcPr>
          <w:p>
            <w:pPr>
              <w:jc w:val="right"/>
              <w:ind w:right="1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360" w:type="dxa"/>
            <w:vAlign w:val="bottom"/>
            <w:gridSpan w:val="2"/>
          </w:tcPr>
          <w:p>
            <w:pPr>
              <w:jc w:val="right"/>
              <w:ind w:right="1432"/>
              <w:spacing w:after="0"/>
              <w:rPr>
                <w:sz w:val="20"/>
                <w:szCs w:val="20"/>
                <w:color w:val="auto"/>
              </w:rPr>
            </w:pPr>
            <w:r>
              <w:rPr>
                <w:rFonts w:ascii="Arial" w:cs="Arial" w:eastAsia="Arial" w:hAnsi="Arial"/>
                <w:sz w:val="18"/>
                <w:szCs w:val="18"/>
                <w:color w:val="auto"/>
              </w:rPr>
              <w:t>196</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63"/>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list our common stock on the Nasdaq Global Market under the symbol "FULC".</w:t>
      </w:r>
    </w:p>
    <w:p>
      <w:pPr>
        <w:spacing w:after="0" w:line="225" w:lineRule="exact"/>
        <w:rPr>
          <w:sz w:val="20"/>
          <w:szCs w:val="20"/>
          <w:color w:val="auto"/>
        </w:rPr>
      </w:pPr>
    </w:p>
    <w:p>
      <w:pPr>
        <w:ind w:firstLine="516"/>
        <w:spacing w:after="0" w:line="268" w:lineRule="auto"/>
        <w:rPr>
          <w:sz w:val="20"/>
          <w:szCs w:val="20"/>
          <w:color w:val="auto"/>
        </w:rPr>
      </w:pPr>
      <w:r>
        <w:rPr>
          <w:rFonts w:ascii="Arial" w:cs="Arial" w:eastAsia="Arial" w:hAnsi="Arial"/>
          <w:sz w:val="18"/>
          <w:szCs w:val="18"/>
          <w:color w:val="auto"/>
        </w:rPr>
        <w:t>We and all of our directors and officers and the holders of all of our outstanding securities have agreed that, without the prior written consent of the underwriters, we and they will not, during the period ending 180 days after the date of this prospectus (the "restricted period"):</w:t>
      </w:r>
    </w:p>
    <w:p>
      <w:pPr>
        <w:spacing w:after="0" w:line="199" w:lineRule="exact"/>
        <w:rPr>
          <w:sz w:val="20"/>
          <w:szCs w:val="20"/>
          <w:color w:val="auto"/>
        </w:rPr>
      </w:pPr>
    </w:p>
    <w:p>
      <w:pPr>
        <w:jc w:val="both"/>
        <w:ind w:left="1080" w:hanging="532"/>
        <w:spacing w:after="0" w:line="306"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restrictions on transfers or other dispositions by holders of our outstanding securities described in the immediately preceding paragraph do not apply to:</w:t>
      </w:r>
    </w:p>
    <w:p>
      <w:pPr>
        <w:spacing w:after="0" w:line="262" w:lineRule="exact"/>
        <w:rPr>
          <w:sz w:val="20"/>
          <w:szCs w:val="20"/>
          <w:color w:val="auto"/>
        </w:rPr>
      </w:pPr>
    </w:p>
    <w:p>
      <w:pPr>
        <w:jc w:val="both"/>
        <w:ind w:left="1080" w:hanging="532"/>
        <w:spacing w:after="0" w:line="306"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as a bona fide gift or gifts, or to a charitable organization or educational institution in a transaction not involving a disposition for value;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to any member of the immediate family of the signatory or any trust for the direct or indirect benefit of the signatory or the immediate family of the signatory in a transaction not involving a disposition for value;</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by will, other testamentary document or intestate succession to the legal representative, heir, beneficiary or a member of the immediate family of the signatory upon the death of the signatory or (ii) solely by operation of law pursuant to a qualified domestic order or in connection with a divorce settlement;</w:t>
      </w:r>
    </w:p>
    <w:p>
      <w:pPr>
        <w:spacing w:after="0" w:line="187" w:lineRule="exact"/>
        <w:rPr>
          <w:rFonts w:ascii="Arial" w:cs="Arial" w:eastAsia="Arial" w:hAnsi="Arial"/>
          <w:sz w:val="16"/>
          <w:szCs w:val="16"/>
          <w:color w:val="auto"/>
        </w:rPr>
      </w:pPr>
    </w:p>
    <w:p>
      <w:pPr>
        <w:jc w:val="both"/>
        <w:ind w:left="1080" w:right="2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signatory is an entity, transfers or distributions of shares of common stock or any security convertible into common stock to general or limited partners, members or stockholders of the signatory, the signatory's direct and indirect affiliates, or to an investment fund or other entity that controls or manages, or is under common control with, the signatory;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4"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security convertible into or exercisable or exchangeable for common stock to us pursuant to any contractual arrangement in effect on the date of the lock-up agreement and disclosed to the underwriters that provides for the repurchase of the signatory's common stock or other securities by us or in connection with the termination of the signatory's employment with or service to us; provided that, subject to certain limited exceptions, no filing under Section 16(a) of the Exchange Act reporting a reduction in beneficial ownership of shares of common stock shall be required or shall be voluntarily made during the restricted period in connection with any such transfers or dispositions;</w:t>
      </w:r>
    </w:p>
    <w:p>
      <w:pPr>
        <w:spacing w:after="0" w:line="225"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conversion of outstanding shares of preferred stock described in this prospectus and outstanding as of the date of this prospectus into shares of common stock as described in this prospectus, provided that the shares of common stock received upon conversion shall be subject to the restrictions set forth in the lock-up agreement;</w:t>
      </w:r>
    </w:p>
    <w:p>
      <w:pPr>
        <w:spacing w:after="0" w:line="207"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exercise of stock options to purchase shares of common stock granted under plans described in this prospectus and any related transfer to us of shares of common stock, subject to certain limitations, including that any shares of common stock received upon exercise shall be subject to the restrictions on transfer set forth in the lock-up agreement; provided that, subject to certain limited exceptions, no filing under Section 16(a) of the Exchange Act reporting a reduction in beneficial ownership of shares of common stock shall be required or shall be voluntarily made during the restricted period;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38" w:lineRule="exact"/>
        <w:rPr>
          <w:rFonts w:ascii="Arial" w:cs="Arial" w:eastAsia="Arial" w:hAnsi="Arial"/>
          <w:sz w:val="16"/>
          <w:szCs w:val="16"/>
          <w:color w:val="auto"/>
        </w:rPr>
      </w:pPr>
    </w:p>
    <w:p>
      <w:pPr>
        <w:jc w:val="both"/>
        <w:ind w:left="1080"/>
        <w:spacing w:after="0" w:line="302" w:lineRule="auto"/>
        <w:rPr>
          <w:rFonts w:ascii="Arial" w:cs="Arial" w:eastAsia="Arial" w:hAnsi="Arial"/>
          <w:sz w:val="16"/>
          <w:szCs w:val="16"/>
          <w:color w:val="auto"/>
        </w:rPr>
      </w:pPr>
      <w:r>
        <w:rPr>
          <w:rFonts w:ascii="Arial" w:cs="Arial" w:eastAsia="Arial" w:hAnsi="Arial"/>
          <w:sz w:val="16"/>
          <w:szCs w:val="16"/>
          <w:color w:val="auto"/>
        </w:rPr>
        <w:t>(i) such plan does not provide for the transfer of common stock during the restricted period and (ii) to the extent a public announcement or filing under the Exchange Act, if any, is required of or voluntarily made regarding the establishment of such plan, such announcement or filing shall include a statement to the effect that no transfer of common stock may be made under such plan during the restricted period; or</w:t>
      </w:r>
    </w:p>
    <w:p>
      <w:pPr>
        <w:spacing w:after="0" w:line="190"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transfers of shares of common stock (or any securities convertible into or exercisable or exchangeable for common stock) pursuant to a bona fide third-party tender offer for shares of our capital stock made to all holders of securities, merger, consolidation or other similar transaction approved by our board of directors the result of which is a change of control or (ii) entry into any lock-up, voting or similar agreement pursuant to which the signatory may agree to transfer, sell, tender or otherwise dispose of shares of common stock or such other securities in connection with such a change of control;</w:t>
      </w:r>
    </w:p>
    <w:p>
      <w:pPr>
        <w:spacing w:after="0" w:line="196" w:lineRule="exact"/>
        <w:rPr>
          <w:rFonts w:ascii="Arial" w:cs="Arial" w:eastAsia="Arial" w:hAnsi="Arial"/>
          <w:sz w:val="18"/>
          <w:szCs w:val="18"/>
          <w:color w:val="auto"/>
        </w:rPr>
      </w:pPr>
    </w:p>
    <w:p>
      <w:pPr>
        <w:jc w:val="both"/>
        <w:ind w:left="1080"/>
        <w:spacing w:after="0" w:line="291" w:lineRule="auto"/>
        <w:rPr>
          <w:rFonts w:ascii="Arial" w:cs="Arial" w:eastAsia="Arial" w:hAnsi="Arial"/>
          <w:sz w:val="18"/>
          <w:szCs w:val="18"/>
          <w:color w:val="auto"/>
        </w:rPr>
      </w:pPr>
      <w:r>
        <w:rPr>
          <w:rFonts w:ascii="Arial" w:cs="Arial" w:eastAsia="Arial" w:hAnsi="Arial"/>
          <w:sz w:val="16"/>
          <w:szCs w:val="16"/>
          <w:color w:val="auto"/>
        </w:rPr>
        <w:t>provided that in the case of any transfer, disposition or distribution pursuant to the second, third, fourth or fifth bullet (i) each transferee, donee or distributee shall agree to be subject to the restrictions described in the immediately preceding paragraph and (ii) no filing under Section 16(a) of the Exchange Act, reporting a reduction in beneficial ownership of shares of common stock, shall be required or shall be voluntarily made during the restricted period (other than, in the case of a transfer or other disposition pursuant to the third bullet above, any Form 4 or Form 5 required to be filed under the Exchange Act if the signatory is subject to Section 16 reporting with respect to us under the Exchange Act and indicating by footnote disclosure or otherwise the nature of the transfer or disposition).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on transfers or other dispositions by us described in the paragraph above do not apply to:</w:t>
      </w:r>
    </w:p>
    <w:p>
      <w:pPr>
        <w:spacing w:after="0" w:line="23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pursuant to stock plans disclosed in this prospectus;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306"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grant by us of any options to purchase shares of common stock or other awards granted under a stock incentive plan or stock purchase plan described in this prospectus, and the issuance by us of shares of common stock upon the exercise thereof, provided that we will cause each recipient of such grant to execute and deliver to the underwriters a lock-up agreement if such recipient has not already delivered one;</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filing by the us of any registration statement on Form S-8 or a successor form thereto relating to the shares of common stock granted pursuant to or reserved for issuance under a stock incentive plan or stock purchase plan described in this prospectus; or</w:t>
      </w:r>
    </w:p>
    <w:p>
      <w:pPr>
        <w:spacing w:after="0" w:line="199"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shares of common stock or other securities issued in connection with a joint venture, equipment leasing arrangement, licensing or collaboration transaction or other strategic transaction with an unaffiliated third party, provided that (x) the aggregate number of shares issued pursuant to this exception will not exceed 5% of the total number of outstanding shares of common stock immediately following the issuance and sale of the shares to be sold in this offering and (y) the recipient of any such shares of common stock and securities issued pursuant to this exception during the restricted period will enter into a lock-up agreement.</w:t>
      </w:r>
    </w:p>
    <w:p>
      <w:pPr>
        <w:spacing w:after="0" w:line="197" w:lineRule="exact"/>
        <w:rPr>
          <w:sz w:val="20"/>
          <w:szCs w:val="20"/>
          <w:color w:val="auto"/>
        </w:rPr>
      </w:pPr>
    </w:p>
    <w:p>
      <w:pPr>
        <w:jc w:val="both"/>
        <w:ind w:right="20" w:firstLine="376"/>
        <w:spacing w:after="0" w:line="268" w:lineRule="auto"/>
        <w:rPr>
          <w:sz w:val="20"/>
          <w:szCs w:val="20"/>
          <w:color w:val="auto"/>
        </w:rPr>
      </w:pPr>
      <w:r>
        <w:rPr>
          <w:rFonts w:ascii="Arial" w:cs="Arial" w:eastAsia="Arial" w:hAnsi="Arial"/>
          <w:sz w:val="18"/>
          <w:szCs w:val="18"/>
          <w:color w:val="auto"/>
        </w:rPr>
        <w:t>The underwriters,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jc w:val="both"/>
        <w:ind w:firstLine="412"/>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and the underwriters will agree to indemnify each other against certain liabilities, including liabilities under the Securities Act.</w:t>
      </w:r>
    </w:p>
    <w:p>
      <w:pPr>
        <w:spacing w:after="0" w:line="225" w:lineRule="exact"/>
        <w:rPr>
          <w:sz w:val="20"/>
          <w:szCs w:val="20"/>
          <w:color w:val="auto"/>
        </w:rPr>
      </w:pPr>
    </w:p>
    <w:p>
      <w:pPr>
        <w:jc w:val="both"/>
        <w:ind w:firstLine="583"/>
        <w:spacing w:after="0" w:line="306" w:lineRule="auto"/>
        <w:rPr>
          <w:sz w:val="20"/>
          <w:szCs w:val="20"/>
          <w:color w:val="auto"/>
        </w:rPr>
      </w:pPr>
      <w:r>
        <w:rPr>
          <w:rFonts w:ascii="Arial" w:cs="Arial" w:eastAsia="Arial" w:hAnsi="Arial"/>
          <w:sz w:val="16"/>
          <w:szCs w:val="16"/>
          <w:color w:val="auto"/>
        </w:rPr>
        <w:t>A prospectus in electronic format may be made available on websites maintained by one or more underwriters, or selling group members, if any, participating in this offering. The underwriters may agree to allocate a number of shares of common stock for sale to their online brokerage account holders. Internet distributions will be allocated to underwriters that may make Internet distributions on the same basis as other allocations.</w:t>
      </w:r>
    </w:p>
    <w:p>
      <w:pPr>
        <w:spacing w:after="0" w:line="161" w:lineRule="exact"/>
        <w:rPr>
          <w:sz w:val="20"/>
          <w:szCs w:val="20"/>
          <w:color w:val="auto"/>
        </w:rPr>
      </w:pPr>
    </w:p>
    <w:p>
      <w:pPr>
        <w:jc w:val="both"/>
        <w:ind w:firstLine="480"/>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and may in the future perform, various financial advisory and investment banking services for us, for which they received or will receive customary fees and expenses.</w:t>
      </w:r>
    </w:p>
    <w:p>
      <w:pPr>
        <w:spacing w:after="0" w:line="186"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31" w:lineRule="exact"/>
        <w:rPr>
          <w:sz w:val="20"/>
          <w:szCs w:val="20"/>
          <w:color w:val="auto"/>
        </w:rPr>
      </w:pPr>
    </w:p>
    <w:p>
      <w:pPr>
        <w:jc w:val="both"/>
        <w:ind w:firstLine="371"/>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underwriters.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207"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9"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jc w:val="both"/>
        <w:ind w:firstLine="381"/>
        <w:spacing w:after="0" w:line="33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9"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25"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jc w:val="both"/>
        <w:ind w:right="20" w:firstLine="373"/>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jc w:val="both"/>
        <w:ind w:firstLine="371"/>
        <w:spacing w:after="0" w:line="298"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5"/>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this offering may be publicly distributed or otherwise made publicly available in Switzerland. Neither this prospectus nor any other offering or marketing material relating to this offering, us, or the shares have been or will be filed with or approved by any Swiss regulatory authority. In particular, this prospectus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225" w:lineRule="exact"/>
        <w:rPr>
          <w:sz w:val="20"/>
          <w:szCs w:val="20"/>
          <w:color w:val="auto"/>
        </w:rPr>
      </w:pPr>
    </w:p>
    <w:p>
      <w:pPr>
        <w:jc w:val="both"/>
        <w:ind w:firstLine="496"/>
        <w:spacing w:after="0" w:line="294"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should conduct their own due diligence on the shares. If you do not understand the contents of this prospectus you should consult an authorized financial advisor.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225" w:lineRule="exact"/>
        <w:rPr>
          <w:sz w:val="20"/>
          <w:szCs w:val="20"/>
          <w:color w:val="auto"/>
        </w:rPr>
      </w:pPr>
    </w:p>
    <w:p>
      <w:pPr>
        <w:jc w:val="both"/>
        <w:ind w:firstLine="404"/>
        <w:spacing w:after="0" w:line="294"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this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 or their needs, objectives and circumstances, and, if necessary, seek expert advice on those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jc w:val="both"/>
        <w:ind w:firstLine="366"/>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"professional investors" as defined in the Securities and Futures Ordinance and any rules made under that Ordinance.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our shares may not be circulated or distributed, nor may our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74"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Where our shares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Saudi Arabia</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or the CMA pursuant to resolution number 2-11-2004 dated 4 October 2004 as amended by resolution number 1-28-2008, as amended, or the CMA Regulations.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w:t>
      </w:r>
    </w:p>
    <w:p>
      <w:pPr>
        <w:spacing w:after="0" w:line="225"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This prospectus does not constitute a public offer of shares, whether by sale or subscription, in the People's Republic of China, or the PRC. The shares are not being offered or sold directly or indirectly in the PRC to or for the benefit of, legal or natural persons of the PRC.</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required, whether statutorily or otherwise. Persons who come into possession of this prospectus are required by the issuer and its representatives to observe these restrictions.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w:t>
      </w:r>
    </w:p>
    <w:p>
      <w:pPr>
        <w:spacing w:after="0" w:line="225"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Taiwan</w:t>
      </w:r>
    </w:p>
    <w:p>
      <w:pPr>
        <w:spacing w:after="0" w:line="225" w:lineRule="exact"/>
        <w:rPr>
          <w:sz w:val="20"/>
          <w:szCs w:val="20"/>
          <w:color w:val="auto"/>
        </w:rPr>
      </w:pPr>
    </w:p>
    <w:p>
      <w:pPr>
        <w:jc w:val="both"/>
        <w:ind w:right="20" w:firstLine="550"/>
        <w:spacing w:after="0" w:line="298"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this offering and sale of the shares in Taiwan.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594"/>
        <w:spacing w:after="0" w:line="268" w:lineRule="auto"/>
        <w:rPr>
          <w:sz w:val="20"/>
          <w:szCs w:val="20"/>
          <w:color w:val="auto"/>
        </w:rPr>
      </w:pPr>
      <w:r>
        <w:rPr>
          <w:rFonts w:ascii="Arial" w:cs="Arial" w:eastAsia="Arial" w:hAnsi="Arial"/>
          <w:sz w:val="18"/>
          <w:szCs w:val="18"/>
          <w:color w:val="auto"/>
        </w:rPr>
        <w:t>The validity of the shares of common stock offered hereby is being passed upon for us by Wilmer Cutler Pickering Hale and Dorr LLP, Boston, Massachusetts. Ropes &amp; Gray LLP, Boston, Massachusetts is acting as counsel for the underwriters in connection with this offering.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2017 and 2018, and for each of the two years in the period ended December 31, 2018, as set forth in their report (which contains an explanatory paragraph describing conditions that raise substantial doubt about the company's ability to continue as a going concern as described in Note 1 to the consolidated financial statements). We have included our financial statements in the prospectus and elsewhere in the registration statement in reliance on Ernst &amp; Young LLP's report, given 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74" w:lineRule="exact"/>
        <w:rPr>
          <w:sz w:val="20"/>
          <w:szCs w:val="20"/>
          <w:color w:val="auto"/>
        </w:rPr>
      </w:pPr>
    </w:p>
    <w:p>
      <w:pPr>
        <w:jc w:val="both"/>
        <w:ind w:firstLine="600"/>
        <w:spacing w:after="0" w:line="290" w:lineRule="auto"/>
        <w:rPr>
          <w:sz w:val="20"/>
          <w:szCs w:val="20"/>
          <w:color w:val="auto"/>
        </w:rPr>
      </w:pPr>
      <w:r>
        <w:rPr>
          <w:rFonts w:ascii="Arial" w:cs="Arial" w:eastAsia="Arial" w:hAnsi="Arial"/>
          <w:sz w:val="16"/>
          <w:szCs w:val="16"/>
          <w:color w:val="auto"/>
        </w:rPr>
        <w:t>The SEC maintains an Internet website, which is located at http://www.sec.gov, that contains reports, proxy and information statements and other information regarding issuers that file electronically with the SEC. You may access the registration statement of which this prospectus is a part at the SEC's Internet website. Upon completion of this offering, we will be subject to the information reporting requirements of the Securities Exchange Act of 1934, as amended, and we will file reports, proxy statements and other information with the SEC. We plan to fulfill our obligations with respect to such requirements by filing periodic reports and other information with the SEC. We intend to furnish our stockholders with annual reports containing financial statements certified by an independent registered public accounting firm. Our website address is www.fulcrumtx.com. The information contained on, or that can be accessed through, our website is not a part of this prospectus. We have included our website address in this prospectus solely as an inactive textual reference.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gridSpan w:val="8"/>
            <w:vMerge w:val="restart"/>
          </w:tcPr>
          <w:p>
            <w:pPr>
              <w:ind w:left="1140"/>
              <w:spacing w:after="0"/>
              <w:rPr>
                <w:sz w:val="20"/>
                <w:szCs w:val="20"/>
                <w:color w:val="auto"/>
              </w:rPr>
            </w:pPr>
            <w:r>
              <w:rPr>
                <w:rFonts w:ascii="Arial" w:cs="Arial" w:eastAsia="Arial" w:hAnsi="Arial"/>
                <w:sz w:val="18"/>
                <w:szCs w:val="18"/>
                <w:color w:val="auto"/>
              </w:rPr>
              <w:t>Years Ended December 31, 2017 and 2018</w:t>
            </w:r>
          </w:p>
        </w:tc>
        <w:tc>
          <w:tcPr>
            <w:tcW w:w="1760" w:type="dxa"/>
            <w:vAlign w:val="bottom"/>
            <w:gridSpan w:val="5"/>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9660" w:type="dxa"/>
            <w:vAlign w:val="bottom"/>
            <w:gridSpan w:val="8"/>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8340" w:type="dxa"/>
            <w:vAlign w:val="bottom"/>
            <w:gridSpan w:val="7"/>
          </w:tcPr>
          <w:p>
            <w:pPr>
              <w:spacing w:after="0" w:line="184" w:lineRule="exact"/>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w:t>
              </w:r>
            </w:hyperlink>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right"/>
              <w:ind w:right="1300"/>
              <w:spacing w:after="0" w:line="184" w:lineRule="exact"/>
              <w:rPr>
                <w:rFonts w:ascii="Arial" w:cs="Arial" w:eastAsia="Arial" w:hAnsi="Arial"/>
                <w:sz w:val="18"/>
                <w:szCs w:val="18"/>
                <w:color w:val="0000EE"/>
                <w:w w:val="81"/>
              </w:rPr>
            </w:pPr>
            <w:hyperlink w:anchor="page212">
              <w:r>
                <w:rPr>
                  <w:rFonts w:ascii="Arial" w:cs="Arial" w:eastAsia="Arial" w:hAnsi="Arial"/>
                  <w:sz w:val="18"/>
                  <w:szCs w:val="18"/>
                  <w:color w:val="0000EE"/>
                  <w:w w:val="81"/>
                </w:rPr>
                <w:t>F-2</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Consolidated Balance Sheets</w:t>
              </w:r>
            </w:hyperlink>
          </w:p>
        </w:tc>
        <w:tc>
          <w:tcPr>
            <w:tcW w:w="42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jc w:val="right"/>
              <w:spacing w:after="0" w:line="196" w:lineRule="exact"/>
              <w:rPr>
                <w:rFonts w:ascii="Arial" w:cs="Arial" w:eastAsia="Arial" w:hAnsi="Arial"/>
                <w:sz w:val="18"/>
                <w:szCs w:val="18"/>
                <w:color w:val="0000EE"/>
                <w:w w:val="81"/>
              </w:rPr>
            </w:pPr>
            <w:hyperlink w:anchor="page213">
              <w:r>
                <w:rPr>
                  <w:rFonts w:ascii="Arial" w:cs="Arial" w:eastAsia="Arial" w:hAnsi="Arial"/>
                  <w:sz w:val="18"/>
                  <w:szCs w:val="18"/>
                  <w:color w:val="0000EE"/>
                  <w:w w:val="81"/>
                </w:rPr>
                <w:t>F-3</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14">
              <w:r>
                <w:rPr>
                  <w:rFonts w:ascii="Arial" w:cs="Arial" w:eastAsia="Arial" w:hAnsi="Arial"/>
                  <w:sz w:val="18"/>
                  <w:szCs w:val="18"/>
                  <w:color w:val="0000EE"/>
                  <w:w w:val="87"/>
                </w:rPr>
                <w:t>Consolidated Statements of Operations and Comprehensive Loss</w:t>
              </w:r>
            </w:hyperlink>
          </w:p>
        </w:tc>
        <w:tc>
          <w:tcPr>
            <w:tcW w:w="37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214">
              <w:r>
                <w:rPr>
                  <w:rFonts w:ascii="Arial" w:cs="Arial" w:eastAsia="Arial" w:hAnsi="Arial"/>
                  <w:sz w:val="18"/>
                  <w:szCs w:val="18"/>
                  <w:color w:val="0000EE"/>
                  <w:w w:val="81"/>
                </w:rPr>
                <w:t>F-4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Consolidated Statements of Convertible Preferred Stock and Stockholders' (Deficit) Equity</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0000EE"/>
                <w:w w:val="81"/>
              </w:rPr>
            </w:pPr>
            <w:hyperlink w:anchor="page215">
              <w:r>
                <w:rPr>
                  <w:rFonts w:ascii="Arial" w:cs="Arial" w:eastAsia="Arial" w:hAnsi="Arial"/>
                  <w:sz w:val="18"/>
                  <w:szCs w:val="18"/>
                  <w:color w:val="0000EE"/>
                  <w:w w:val="81"/>
                </w:rPr>
                <w:t>F-5</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Consolidated Statements of Cash Flows</w:t>
              </w:r>
            </w:hyperlink>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jc w:val="right"/>
              <w:spacing w:after="0" w:line="196" w:lineRule="exact"/>
              <w:rPr>
                <w:rFonts w:ascii="Arial" w:cs="Arial" w:eastAsia="Arial" w:hAnsi="Arial"/>
                <w:sz w:val="18"/>
                <w:szCs w:val="18"/>
                <w:color w:val="0000EE"/>
                <w:w w:val="81"/>
              </w:rPr>
            </w:pPr>
            <w:hyperlink w:anchor="page216">
              <w:r>
                <w:rPr>
                  <w:rFonts w:ascii="Arial" w:cs="Arial" w:eastAsia="Arial" w:hAnsi="Arial"/>
                  <w:sz w:val="18"/>
                  <w:szCs w:val="18"/>
                  <w:color w:val="0000EE"/>
                  <w:w w:val="81"/>
                </w:rPr>
                <w:t>F-6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Notes to Consolidated Financial Statements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0000EE"/>
                <w:w w:val="81"/>
              </w:rPr>
            </w:pPr>
            <w:hyperlink w:anchor="page217">
              <w:r>
                <w:rPr>
                  <w:rFonts w:ascii="Arial" w:cs="Arial" w:eastAsia="Arial" w:hAnsi="Arial"/>
                  <w:sz w:val="18"/>
                  <w:szCs w:val="18"/>
                  <w:color w:val="0000EE"/>
                  <w:w w:val="81"/>
                </w:rPr>
                <w:t>F-7</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9660" w:type="dxa"/>
            <w:vAlign w:val="bottom"/>
            <w:gridSpan w:val="8"/>
          </w:tcPr>
          <w:p>
            <w:pPr>
              <w:ind w:left="1140"/>
              <w:spacing w:after="0"/>
              <w:rPr>
                <w:sz w:val="20"/>
                <w:szCs w:val="20"/>
                <w:color w:val="auto"/>
              </w:rPr>
            </w:pPr>
            <w:r>
              <w:rPr>
                <w:rFonts w:ascii="Arial" w:cs="Arial" w:eastAsia="Arial" w:hAnsi="Arial"/>
                <w:sz w:val="18"/>
                <w:szCs w:val="18"/>
                <w:color w:val="auto"/>
              </w:rPr>
              <w:t>Interim Financial Statements (Unaudited)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8340" w:type="dxa"/>
            <w:vAlign w:val="bottom"/>
            <w:gridSpan w:val="7"/>
          </w:tcPr>
          <w:p>
            <w:pPr>
              <w:spacing w:after="0" w:line="184" w:lineRule="exact"/>
              <w:rPr>
                <w:rFonts w:ascii="Arial" w:cs="Arial" w:eastAsia="Arial" w:hAnsi="Arial"/>
                <w:sz w:val="18"/>
                <w:szCs w:val="18"/>
                <w:color w:val="0000EE"/>
              </w:rPr>
            </w:pPr>
            <w:hyperlink w:anchor="page243">
              <w:r>
                <w:rPr>
                  <w:rFonts w:ascii="Arial" w:cs="Arial" w:eastAsia="Arial" w:hAnsi="Arial"/>
                  <w:sz w:val="18"/>
                  <w:szCs w:val="18"/>
                  <w:color w:val="0000EE"/>
                </w:rPr>
                <w:t>Consolidated Balance Sheets</w:t>
              </w:r>
            </w:hyperlink>
          </w:p>
        </w:tc>
        <w:tc>
          <w:tcPr>
            <w:tcW w:w="120" w:type="dxa"/>
            <w:vAlign w:val="bottom"/>
          </w:tcPr>
          <w:p>
            <w:pPr>
              <w:spacing w:after="0"/>
              <w:rPr>
                <w:sz w:val="15"/>
                <w:szCs w:val="15"/>
                <w:color w:val="auto"/>
              </w:rPr>
            </w:pPr>
          </w:p>
        </w:tc>
        <w:tc>
          <w:tcPr>
            <w:tcW w:w="1640" w:type="dxa"/>
            <w:vAlign w:val="bottom"/>
            <w:gridSpan w:val="4"/>
          </w:tcPr>
          <w:p>
            <w:pPr>
              <w:jc w:val="right"/>
              <w:ind w:right="1300"/>
              <w:spacing w:after="0" w:line="184"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F-33</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44">
              <w:r>
                <w:rPr>
                  <w:rFonts w:ascii="Arial" w:cs="Arial" w:eastAsia="Arial" w:hAnsi="Arial"/>
                  <w:sz w:val="18"/>
                  <w:szCs w:val="18"/>
                  <w:color w:val="0000EE"/>
                  <w:w w:val="87"/>
                </w:rPr>
                <w:t>Consolidated Statements of Operations and Comprehensive Loss</w:t>
              </w:r>
            </w:hyperlink>
          </w:p>
        </w:tc>
        <w:tc>
          <w:tcPr>
            <w:tcW w:w="37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F-34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Consolidated Statements of Convertible Preferred Stock and Stockholders' (Deficit) Equity</w:t>
              </w:r>
            </w:hyperlink>
          </w:p>
        </w:tc>
        <w:tc>
          <w:tcPr>
            <w:tcW w:w="12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0000EE"/>
                <w:w w:val="86"/>
              </w:rPr>
            </w:pPr>
            <w:hyperlink w:anchor="page245">
              <w:r>
                <w:rPr>
                  <w:rFonts w:ascii="Arial" w:cs="Arial" w:eastAsia="Arial" w:hAnsi="Arial"/>
                  <w:sz w:val="18"/>
                  <w:szCs w:val="18"/>
                  <w:color w:val="0000EE"/>
                  <w:w w:val="86"/>
                </w:rPr>
                <w:t>F-35</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Consolidated Statements of Cash Flows</w:t>
              </w:r>
            </w:hyperlink>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246">
              <w:r>
                <w:rPr>
                  <w:rFonts w:ascii="Arial" w:cs="Arial" w:eastAsia="Arial" w:hAnsi="Arial"/>
                  <w:sz w:val="18"/>
                  <w:szCs w:val="18"/>
                  <w:color w:val="0000EE"/>
                  <w:w w:val="86"/>
                </w:rPr>
                <w:t>F-36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Notes to Consolidated Financial Statements</w:t>
              </w:r>
            </w:hyperlink>
          </w:p>
        </w:tc>
        <w:tc>
          <w:tcPr>
            <w:tcW w:w="12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0000EE"/>
                <w:w w:val="86"/>
              </w:rPr>
            </w:pPr>
            <w:hyperlink w:anchor="page247">
              <w:r>
                <w:rPr>
                  <w:rFonts w:ascii="Arial" w:cs="Arial" w:eastAsia="Arial" w:hAnsi="Arial"/>
                  <w:sz w:val="18"/>
                  <w:szCs w:val="18"/>
                  <w:color w:val="0000EE"/>
                  <w:w w:val="86"/>
                </w:rPr>
                <w:t>F-37</w:t>
              </w:r>
            </w:hyperlink>
          </w:p>
        </w:tc>
        <w:tc>
          <w:tcPr>
            <w:tcW w:w="0" w:type="dxa"/>
            <w:vAlign w:val="bottom"/>
          </w:tcPr>
          <w:p>
            <w:pPr>
              <w:spacing w:after="0"/>
              <w:rPr>
                <w:sz w:val="1"/>
                <w:szCs w:val="1"/>
                <w:color w:val="auto"/>
              </w:rPr>
            </w:pPr>
          </w:p>
        </w:tc>
      </w:tr>
      <w:tr>
        <w:trPr>
          <w:trHeight w:val="451"/>
        </w:trPr>
        <w:tc>
          <w:tcPr>
            <w:tcW w:w="132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F-1</w:t>
            </w:r>
          </w:p>
        </w:tc>
        <w:tc>
          <w:tcPr>
            <w:tcW w:w="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Fulcrum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We have audited the accompanying consolidated balance sheets of Fulcrum Therapeutics, Inc. (the Company) as of December 31, 2018 and 2017, the related consolidated statements of operations and comprehensive loss, convertible preferred stock and stockholders' (deficit)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the years then ended, in conformity with U.S. generally accepted accounting principles.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31" w:lineRule="exact"/>
        <w:rPr>
          <w:sz w:val="20"/>
          <w:szCs w:val="20"/>
          <w:color w:val="auto"/>
        </w:rPr>
      </w:pPr>
    </w:p>
    <w:p>
      <w:pPr>
        <w:jc w:val="both"/>
        <w:ind w:firstLine="471"/>
        <w:spacing w:after="0" w:line="294"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a history of losses and negative operating cash flows, will require additional capital to fund its current operating plan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jc w:val="both"/>
        <w:ind w:firstLine="513"/>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72,797</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74,095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74,095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assets</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(deficit) equity</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Deferred lease incentive,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Deferred rent, excluding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lease incentive, excluding current portion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Other liabilities, excluding current portion</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Series A convertible preferred stock, $0.001 par value; 60,000,000 shares authorized as of</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3"/>
              </w:rPr>
              <w:t>December 31, 2017 and 2018; 34,666,666 and 60,000,000 shares issued and outstanding as of</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1"/>
              </w:rPr>
              <w:t>December 31, 2017 and 2018, respectively (liquidation preference of $67,187 as of December 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2018); no shares issued or outstanding, pro forma as of December 31, 2018 (unaudited)</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34,587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59,909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tcPr>
          <w:p>
            <w:pPr>
              <w:spacing w:after="0" w:line="138" w:lineRule="exact"/>
              <w:rPr>
                <w:sz w:val="20"/>
                <w:szCs w:val="20"/>
                <w:color w:val="auto"/>
              </w:rPr>
            </w:pPr>
            <w:r>
              <w:rPr>
                <w:rFonts w:ascii="Arial" w:cs="Arial" w:eastAsia="Arial" w:hAnsi="Arial"/>
                <w:sz w:val="14"/>
                <w:szCs w:val="14"/>
                <w:color w:val="auto"/>
                <w:w w:val="86"/>
              </w:rPr>
              <w:t>Series B convertible preferred stock, $0.001 par value; no shares and 40,000,000 shares authorized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w w:val="87"/>
              </w:rPr>
              <w:t>December 31, 2017 and 2018, respectively; no shares and 40,000,000 shares issued and outstanding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rPr>
              <w:t>as of December 31, 2017 and 2018, respectively (liquidation preference of $82,261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w w:val="98"/>
              </w:rPr>
              <w:t>December 31, 2018); no shares issued or outstanding, pro forma as of December 31, 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tcPr>
          <w:p>
            <w:pPr>
              <w:ind w:left="140"/>
              <w:spacing w:after="0" w:line="159"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79,761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 equity:</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tcPr>
          <w:p>
            <w:pPr>
              <w:ind w:left="140"/>
              <w:spacing w:after="0" w:line="138" w:lineRule="exact"/>
              <w:rPr>
                <w:sz w:val="20"/>
                <w:szCs w:val="20"/>
                <w:color w:val="auto"/>
              </w:rPr>
            </w:pPr>
            <w:r>
              <w:rPr>
                <w:rFonts w:ascii="Arial" w:cs="Arial" w:eastAsia="Arial" w:hAnsi="Arial"/>
                <w:sz w:val="14"/>
                <w:szCs w:val="14"/>
                <w:color w:val="auto"/>
                <w:w w:val="87"/>
              </w:rPr>
              <w:t>Common stock, $0.001 par value; 80,000,000 and 135,000,000 shares authorized as of 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9"/>
              </w:rPr>
              <w:t>2017 and 2018, respectively; 18,401,555 and 19,542,588 shares issued as of December 31, 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6"/>
              </w:rPr>
              <w:t>and 2018, respectively; 6,806,102 and 11,116,085 shares outstanding as of December 31, 2017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9"/>
              </w:rPr>
              <w:t>2018, respectively; 119,542,588 and 111,116,085 shares issued and outstanding, pro forma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tcPr>
          <w:p>
            <w:pPr>
              <w:ind w:left="280"/>
              <w:spacing w:after="0" w:line="159" w:lineRule="exact"/>
              <w:rPr>
                <w:sz w:val="20"/>
                <w:szCs w:val="20"/>
                <w:color w:val="auto"/>
              </w:rPr>
            </w:pPr>
            <w:r>
              <w:rPr>
                <w:rFonts w:ascii="Arial" w:cs="Arial" w:eastAsia="Arial" w:hAnsi="Arial"/>
                <w:sz w:val="14"/>
                <w:szCs w:val="14"/>
                <w:color w:val="auto"/>
              </w:rPr>
              <w:t>December 31, 2018 (unaudited)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88"/>
              </w:rPr>
              <w:t>Treasury stock, at cost; 56,250 and 469,169 shares as of December 31, 2017 and 2018, respectively;</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469,169 shares, pro forma as of December 31, 2018 (unaudited)</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144,013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(35,536)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(68,124)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(68,124)</w:t>
            </w:r>
          </w:p>
        </w:tc>
        <w:tc>
          <w:tcPr>
            <w:tcW w:w="0" w:type="dxa"/>
            <w:vAlign w:val="bottom"/>
          </w:tcPr>
          <w:p>
            <w:pPr>
              <w:spacing w:after="0"/>
              <w:rPr>
                <w:sz w:val="1"/>
                <w:szCs w:val="1"/>
                <w:color w:val="auto"/>
              </w:rPr>
            </w:pPr>
          </w:p>
        </w:tc>
      </w:tr>
      <w:tr>
        <w:trPr>
          <w:trHeight w:val="142"/>
        </w:trPr>
        <w:tc>
          <w:tcPr>
            <w:tcW w:w="5720" w:type="dxa"/>
            <w:vAlign w:val="bottom"/>
            <w:gridSpan w:val="2"/>
          </w:tcPr>
          <w:p>
            <w:pPr>
              <w:spacing w:after="0" w:line="142" w:lineRule="exact"/>
              <w:rPr>
                <w:sz w:val="20"/>
                <w:szCs w:val="20"/>
                <w:color w:val="auto"/>
              </w:rPr>
            </w:pPr>
            <w:r>
              <w:rPr>
                <w:rFonts w:ascii="Arial" w:cs="Arial" w:eastAsia="Arial" w:hAnsi="Arial"/>
                <w:sz w:val="14"/>
                <w:szCs w:val="14"/>
                <w:color w:val="auto"/>
              </w:rPr>
              <w:t>Total stockholders' (deficit) equity</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 convertible preferred stock, and stockholders' (deficit) equity</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9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(22,993)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(22,964)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(32,588)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Cumulative convertible preferred stock dividends</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(25,371)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(39,147)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Weighted average number of common shares used in net loss per share attributable to common</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w w:val="91"/>
              </w:rPr>
              <w:t>Pro forma net loss per share attributable to common stockholders, basic and diluted (unaudited)</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weighted average number of common shares used in net loss per share attributable to</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basic and diluted (unaudited)</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 Equity</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5"/>
              </w:rPr>
              <w:t>Series A</w:t>
            </w:r>
          </w:p>
        </w:tc>
        <w:tc>
          <w:tcPr>
            <w:tcW w:w="900" w:type="dxa"/>
            <w:vAlign w:val="bottom"/>
            <w:gridSpan w:val="4"/>
          </w:tcPr>
          <w:p>
            <w:pPr>
              <w:jc w:val="center"/>
              <w:ind w:left="332"/>
              <w:spacing w:after="0"/>
              <w:rPr>
                <w:sz w:val="20"/>
                <w:szCs w:val="20"/>
                <w:color w:val="auto"/>
              </w:rPr>
            </w:pPr>
            <w:r>
              <w:rPr>
                <w:rFonts w:ascii="Arial" w:cs="Arial" w:eastAsia="Arial" w:hAnsi="Arial"/>
                <w:sz w:val="14"/>
                <w:szCs w:val="14"/>
                <w:b w:val="1"/>
                <w:bCs w:val="1"/>
                <w:color w:val="auto"/>
                <w:w w:val="82"/>
              </w:rPr>
              <w:t>Series B</w:t>
            </w:r>
          </w:p>
        </w:tc>
        <w:tc>
          <w:tcPr>
            <w:tcW w:w="4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gridSpan w:val="6"/>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60" w:type="dxa"/>
            <w:vAlign w:val="bottom"/>
            <w:tcBorders>
              <w:right w:val="single" w:sz="8" w:color="auto"/>
            </w:tcBorders>
            <w:gridSpan w:val="6"/>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60" w:type="dxa"/>
            <w:vAlign w:val="bottom"/>
            <w:gridSpan w:val="6"/>
            <w:vMerge w:val="continue"/>
          </w:tcPr>
          <w:p>
            <w:pPr>
              <w:spacing w:after="0"/>
              <w:rPr>
                <w:sz w:val="4"/>
                <w:szCs w:val="4"/>
                <w:color w:val="auto"/>
              </w:rPr>
            </w:pPr>
          </w:p>
        </w:tc>
        <w:tc>
          <w:tcPr>
            <w:tcW w:w="1460" w:type="dxa"/>
            <w:vAlign w:val="bottom"/>
            <w:tcBorders>
              <w:right w:val="single" w:sz="8" w:color="auto"/>
            </w:tcBorders>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8"/>
              </w:rPr>
              <w:t>Preferred Stock</w:t>
            </w:r>
          </w:p>
        </w:tc>
        <w:tc>
          <w:tcPr>
            <w:tcW w:w="1460" w:type="dxa"/>
            <w:vAlign w:val="bottom"/>
            <w:tcBorders>
              <w:right w:val="single" w:sz="8" w:color="auto"/>
            </w:tcBorders>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60" w:type="dxa"/>
            <w:vAlign w:val="bottom"/>
          </w:tcPr>
          <w:p>
            <w:pPr>
              <w:spacing w:after="0"/>
              <w:rPr>
                <w:sz w:val="8"/>
                <w:szCs w:val="8"/>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Treasury Stock</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gridSpan w:val="6"/>
            <w:vMerge w:val="continue"/>
          </w:tcPr>
          <w:p>
            <w:pPr>
              <w:spacing w:after="0"/>
              <w:rPr>
                <w:sz w:val="5"/>
                <w:szCs w:val="5"/>
                <w:color w:val="auto"/>
              </w:rPr>
            </w:pPr>
          </w:p>
        </w:tc>
        <w:tc>
          <w:tcPr>
            <w:tcW w:w="1460" w:type="dxa"/>
            <w:vAlign w:val="bottom"/>
            <w:tcBorders>
              <w:right w:val="single" w:sz="8" w:color="auto"/>
            </w:tcBorders>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jc w:val="right"/>
              <w:ind w:right="72"/>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5"/>
                <w:szCs w:val="5"/>
                <w:color w:val="auto"/>
              </w:rPr>
            </w:pPr>
          </w:p>
        </w:tc>
        <w:tc>
          <w:tcPr>
            <w:tcW w:w="880" w:type="dxa"/>
            <w:vAlign w:val="bottom"/>
            <w:gridSpan w:val="3"/>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17,000,000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16,962</w:t>
            </w:r>
          </w:p>
        </w:tc>
        <w:tc>
          <w:tcPr>
            <w:tcW w:w="6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3,559,520</w:t>
            </w:r>
          </w:p>
        </w:tc>
        <w:tc>
          <w:tcPr>
            <w:tcW w:w="38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887</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(12,572)</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(11,681)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$42</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17,666,666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17,625</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3,246,582</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56,250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(22,964)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(22,964)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34,666,666</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34,587</w:t>
            </w:r>
          </w:p>
        </w:tc>
        <w:tc>
          <w:tcPr>
            <w:tcW w:w="6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6,806,102</w:t>
            </w:r>
          </w:p>
        </w:tc>
        <w:tc>
          <w:tcPr>
            <w:tcW w:w="38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56,250</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2,264</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(35,536)</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vMerge w:val="restart"/>
          </w:tcPr>
          <w:p>
            <w:pPr>
              <w:ind w:left="120"/>
              <w:spacing w:after="0" w:line="158" w:lineRule="exact"/>
              <w:rPr>
                <w:sz w:val="20"/>
                <w:szCs w:val="20"/>
                <w:color w:val="auto"/>
              </w:rPr>
            </w:pPr>
            <w:r>
              <w:rPr>
                <w:rFonts w:ascii="Arial" w:cs="Arial" w:eastAsia="Arial" w:hAnsi="Arial"/>
                <w:sz w:val="14"/>
                <w:szCs w:val="14"/>
                <w:color w:val="auto"/>
              </w:rPr>
              <w:t>Issuance of</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$11</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25,333,334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25,322</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Series B</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stock at $2.00</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3"/>
              </w:rPr>
              <w:t>costs of $239</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79,761</w:t>
            </w: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4,309,983</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655,980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Retirement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treasury</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shares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(243,061)</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(32,588)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60,000,000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59,909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79,761</w:t>
            </w: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11,116,085</w:t>
            </w:r>
          </w:p>
        </w:tc>
        <w:tc>
          <w:tcPr>
            <w:tcW w:w="38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469,169</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4,443</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(68,124)</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(63,670)</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Pro forma</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w w:val="96"/>
              </w:rPr>
              <w:t>preferred 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and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stockholders'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equity</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into</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(unaudited)</w:t>
            </w: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(60,000,000)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8"/>
              </w:rPr>
              <w:t>(59,909)</w:t>
            </w: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3"/>
              </w:rPr>
              <w:t>(40,000,000)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4"/>
              </w:rPr>
              <w:t>(79,761)</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100,000,000</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100</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139,570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139,670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auto"/>
                <w:w w:val="90"/>
              </w:rPr>
              <w:t>Pro forma balance</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at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2018</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8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89"/>
              </w:rPr>
              <w:t>111,116,085</w:t>
            </w:r>
          </w:p>
        </w:tc>
        <w:tc>
          <w:tcPr>
            <w:tcW w:w="38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w w:val="85"/>
              </w:rPr>
              <w:t>111</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469,169</w:t>
            </w:r>
          </w:p>
        </w:tc>
        <w:tc>
          <w:tcPr>
            <w:tcW w:w="40" w:type="dxa"/>
            <w:vAlign w:val="bottom"/>
          </w:tcPr>
          <w:p>
            <w:pPr>
              <w:spacing w:after="0"/>
              <w:rPr>
                <w:sz w:val="13"/>
                <w:szCs w:val="13"/>
                <w:color w:val="auto"/>
              </w:rPr>
            </w:pPr>
          </w:p>
        </w:tc>
        <w:tc>
          <w:tcPr>
            <w:tcW w:w="420" w:type="dxa"/>
            <w:vAlign w:val="bottom"/>
            <w:gridSpan w:val="2"/>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144,013</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(68,124)</w:t>
            </w:r>
          </w:p>
        </w:tc>
        <w:tc>
          <w:tcPr>
            <w:tcW w:w="1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76,000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147"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(22,964)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and deferred lease incentive</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(20,074)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6"/>
              </w:rPr>
              <w:t>Proceeds from issuance of Series A convertible preferred stock, net of issuance costs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w w:val="96"/>
              </w:rPr>
              <w:t>Proceeds from issuance of Series B convertible preferred stock, net of issuance costs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6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Property and equipment purchases unpaid at end of period</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provides a reconciliation of the cash, cash equivalents, and restricted cash balances as of each of the periods shown above:</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Restricted cash</w:t>
            </w:r>
          </w:p>
        </w:tc>
        <w:tc>
          <w:tcPr>
            <w:tcW w:w="1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31"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86"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The Company has incurred recurring losses and negative cash flows from operations since inception and has primarily funded its operations with proceeds from the issuance of convertible notes and convertible preferred stock. As of December 31, 2018, the Company had an accumulated deficit of $68.1 million. The Company expects its operating losses and negative operating cash flows to continue into the foreseeable future as it continues to expand its research and development efforts. As of May 1, 2019, the issuance date of the consolidated financial statements for the year ended December 31, 2018, the Company expected that its cash and cash equivalents as of December 31, 2018 will be sufficient to fund its operating expenses and capital expenditure requirements into the first quarter of 2020. The future viability of the Company beyond that point is dependent on its ability to raise additional capital to finance its operations.</w:t>
      </w:r>
    </w:p>
    <w:p>
      <w:pPr>
        <w:spacing w:after="0" w:line="174" w:lineRule="exact"/>
        <w:rPr>
          <w:sz w:val="20"/>
          <w:szCs w:val="20"/>
          <w:color w:val="auto"/>
        </w:rPr>
      </w:pPr>
    </w:p>
    <w:p>
      <w:pPr>
        <w:jc w:val="both"/>
        <w:ind w:firstLine="577"/>
        <w:spacing w:after="0" w:line="291" w:lineRule="auto"/>
        <w:rPr>
          <w:sz w:val="20"/>
          <w:szCs w:val="20"/>
          <w:color w:val="auto"/>
        </w:rPr>
      </w:pPr>
      <w:r>
        <w:rPr>
          <w:rFonts w:ascii="Arial" w:cs="Arial" w:eastAsia="Arial" w:hAnsi="Arial"/>
          <w:sz w:val="16"/>
          <w:szCs w:val="16"/>
          <w:color w:val="auto"/>
        </w:rPr>
        <w:t>If the Company is unable to obtain additional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The Company is seeking to complete an initial public offering ("IPO") of its common stock ("Common Stock"). In the event the Company does not complete an IPO, the Company expects to seek additional funding through private equity financings, debt financings, or other capital sources, including collaborations with other companies or other strategic transactions. Although management plans to pursue additional funding, there is no assurance that the Company will be successful in obtaining sufficient funding on terms acceptable to the Company to fund continuing operations, if at all.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 (Continued)</w:t>
      </w:r>
    </w:p>
    <w:p>
      <w:pPr>
        <w:spacing w:after="0" w:line="231"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auto"/>
        </w:rPr>
        <w:t>Based on its recurring losses and negative cash flows from operations since inception, expectation of continuing operating losses and negative cash flows from operations for the foreseeable future, and the need to raise additional capital to finance its future operations, management concluded that there is substantial doubt about the Company's ability to continue as a going concern within one year after the date that the consolidated financial statements for the year ended December 31, 2018 were issued.</w:t>
      </w:r>
    </w:p>
    <w:p>
      <w:pPr>
        <w:spacing w:after="0" w:line="197"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The accompanying unaudited pro forma balance sheet and statement of stockholders' (deficit) equity as of December 31, 2018 has been prepared to give effect, upon the closing of a qualified IPO, to the automatic conversion of all shares of convertible preferred stock outstanding as of December 31, 2018 into 100,000,000 shares of Common Stock. In the accompanying consolidated statements of operations and comprehensive loss, the unaudited pro forma basic and diluted net loss per share attributable to common stockholders for the year ended December 31, 2018 have been prepared to give effect, upon the closing of a qualified IPO, to the automatic conversion of all outstanding shares of convertible preferred stock as if the proposed IPO had occurred on the later of January 1, 2018 or the issuance date of the convertible preferred stock (see Note 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These assets include investments in money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funds that invest in U.S. Treasury obligations. The Company maintains its bank accounts at major financial institutions. The Company had no cash equivalents as of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represents the cash held to secure a letter of credit associated with the Company's 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left="540" w:firstLine="390"/>
        <w:spacing w:after="0" w:line="268"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6" w:lineRule="exact"/>
        <w:rPr>
          <w:sz w:val="20"/>
          <w:szCs w:val="20"/>
          <w:color w:val="auto"/>
        </w:rPr>
      </w:pPr>
    </w:p>
    <w:p>
      <w:pPr>
        <w:ind w:left="540" w:right="20" w:firstLine="501"/>
        <w:spacing w:after="0" w:line="268"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20" w:firstLine="485"/>
        <w:spacing w:after="0" w:line="268"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cash equivalents are carried at fair value, determined according to the fair value hierarchy described above (see Note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firstLine="390"/>
        <w:spacing w:after="0" w:line="332" w:lineRule="auto"/>
        <w:rPr>
          <w:sz w:val="20"/>
          <w:szCs w:val="20"/>
          <w:color w:val="auto"/>
        </w:rPr>
      </w:pPr>
      <w:r>
        <w:rPr>
          <w:rFonts w:ascii="Arial" w:cs="Arial" w:eastAsia="Arial" w:hAnsi="Arial"/>
          <w:sz w:val="16"/>
          <w:szCs w:val="16"/>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Estimated Useful Life (in years)</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Software</w:t>
            </w:r>
          </w:p>
        </w:tc>
        <w:tc>
          <w:tcPr>
            <w:tcW w:w="50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Shorter of useful life or remaining lease term</w:t>
            </w:r>
          </w:p>
        </w:tc>
      </w:tr>
    </w:tbl>
    <w:p>
      <w:pPr>
        <w:spacing w:after="0" w:line="208"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Construction-in-progress is stated at cost, which includes direct costs attributable to the setup or construction of the related asset. Depreciation expense is not recorded on construction-in-progress until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403"/>
        <w:spacing w:after="0" w:line="294" w:lineRule="auto"/>
        <w:rPr>
          <w:sz w:val="20"/>
          <w:szCs w:val="20"/>
          <w:color w:val="auto"/>
        </w:rPr>
      </w:pPr>
      <w:r>
        <w:rPr>
          <w:rFonts w:ascii="Arial" w:cs="Arial" w:eastAsia="Arial" w:hAnsi="Arial"/>
          <w:sz w:val="16"/>
          <w:szCs w:val="16"/>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2017 or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 Deferred issuance costs as of December 31, 2018 were less than $0.1 million. No deferred issuance costs were capitalized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75"/>
        <w:spacing w:after="0" w:line="323" w:lineRule="auto"/>
        <w:rPr>
          <w:sz w:val="20"/>
          <w:szCs w:val="20"/>
          <w:color w:val="auto"/>
        </w:rPr>
      </w:pPr>
      <w:r>
        <w:rPr>
          <w:rFonts w:ascii="Arial" w:cs="Arial" w:eastAsia="Arial" w:hAnsi="Arial"/>
          <w:sz w:val="15"/>
          <w:szCs w:val="15"/>
          <w:color w:val="auto"/>
        </w:rPr>
        <w:t>Leases are classified at their inception as either operating or capital leases. The Company recognizes rent expense for its facility lease, which is classified as an operating lease, on a straight-line basis over the respective lease term, inclusive of rent escalation provisions and rent holidays. The difference between rent payments made and straight-line rent expense is recorded as deferred rent. Additionally, the Company recognizes tenant improvement allowances for its operating leases as a deferred lease incentive and amortizes the lease incentive as a reduction to rent expense on a straight-line basis over the respective lease term.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225"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 Company records accruals for estimated ongoing research costs. When evaluating the adequacy of the accrued liabilities, the Company analyzes progress of the studies or trials, including invoices received and contracted costs. Significant judgments and estimates are made in determining the accrued balances at each reporting period. Actual results could differ from the Company's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Patent-related costs incurred in connection with patent applications are expensed as incurred due to the uncertainty about the recovery of the expenditure.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incurred are classified as general and administrative expenses in the accompanying statements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 and Series B Convertible Preferred Stock</w:t>
      </w:r>
    </w:p>
    <w:p>
      <w:pPr>
        <w:spacing w:after="0" w:line="225" w:lineRule="exact"/>
        <w:rPr>
          <w:sz w:val="20"/>
          <w:szCs w:val="20"/>
          <w:color w:val="auto"/>
        </w:rPr>
      </w:pPr>
    </w:p>
    <w:p>
      <w:pPr>
        <w:jc w:val="both"/>
        <w:ind w:firstLine="414"/>
        <w:spacing w:after="0" w:line="287" w:lineRule="auto"/>
        <w:rPr>
          <w:sz w:val="20"/>
          <w:szCs w:val="20"/>
          <w:color w:val="auto"/>
        </w:rPr>
      </w:pPr>
      <w:r>
        <w:rPr>
          <w:rFonts w:ascii="Arial" w:cs="Arial" w:eastAsia="Arial" w:hAnsi="Arial"/>
          <w:sz w:val="16"/>
          <w:szCs w:val="16"/>
          <w:color w:val="auto"/>
        </w:rPr>
        <w:t>The Company determined the estimated fair value of Common Stock and Series B convertible preferred stock (the "Series B Preferred Stock") based on a number of objective and subjective factors, including, but not limited to, external market conditions affecting the biotechnology industry sector, the prices at which the Company sold shares of convertible preferred stock and the superior rights and preferences of securities senior to the Company's Common Stock at the time, and the likelihood and potential timing of achieving a liquidity event, such as an IPO, in light of prevailing market conditions. The Company utilized valuation methodologies in accordance with the guidance outlined in the American Institute of Certified Public Accountants' Accounting and Valuation Guide, Valuation of Privately-Held-Company Equity Securities Issued as Compensation, to estimate the fair value of Common Stock and the Series B Preferred Stock. The methodologies utilized to estimate the fair value of Common Stock included the guideline public company method and/or the precedent transaction method to estimate the equity value, and the option-pricing method ("OPM") or the hybrid method, which is a probability-weighted expected return method ("PWERM"), to allocate equity value to the Common Stock and Preferred Stock. The Company utilized the hybrid method to estimate the fair value of the Series B Preferred Stock. Significant changes to the key assumptions used in the valuations could result in different fair values of Common Stock and the Series B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67"/>
        <w:spacing w:after="0" w:line="314" w:lineRule="auto"/>
        <w:rPr>
          <w:sz w:val="20"/>
          <w:szCs w:val="20"/>
          <w:color w:val="auto"/>
        </w:rPr>
      </w:pPr>
      <w:r>
        <w:rPr>
          <w:rFonts w:ascii="Arial" w:cs="Arial" w:eastAsia="Arial" w:hAnsi="Arial"/>
          <w:sz w:val="15"/>
          <w:szCs w:val="15"/>
          <w:color w:val="auto"/>
        </w:rPr>
        <w:t>The Company measures stock-based awards based on the fair value on the date of grant. Compensation expense of those awards is recognized over the requisite service period, which is generally the vesting period of the respective award. Generally, the Company issues awards with only service-based vesting conditions and records the expense for these awards using the straight-line method. The Company has also granted certain stock-based awards with performance-based vesting conditions. The Company records the expense for stock-based awards with performance-based vesting conditions over the remaining service period using an accelerated attribution method when management determines that achievement of the performance condition is probable. At each reporting date, the Company evaluates if the achievement of a performance-based milestone is probable based on the expected satisfaction of the performance conditions.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firstLine="447"/>
        <w:spacing w:after="0" w:line="288" w:lineRule="auto"/>
        <w:rPr>
          <w:sz w:val="20"/>
          <w:szCs w:val="20"/>
          <w:color w:val="auto"/>
        </w:rPr>
      </w:pPr>
      <w:r>
        <w:rPr>
          <w:rFonts w:ascii="Arial" w:cs="Arial" w:eastAsia="Arial" w:hAnsi="Arial"/>
          <w:sz w:val="16"/>
          <w:szCs w:val="16"/>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fair value of the Company's Common Stock,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74" w:lineRule="exact"/>
        <w:rPr>
          <w:sz w:val="20"/>
          <w:szCs w:val="20"/>
          <w:color w:val="auto"/>
        </w:rPr>
      </w:pPr>
    </w:p>
    <w:p>
      <w:pPr>
        <w:jc w:val="both"/>
        <w:ind w:firstLine="412"/>
        <w:spacing w:after="0" w:line="332" w:lineRule="auto"/>
        <w:rPr>
          <w:sz w:val="20"/>
          <w:szCs w:val="20"/>
          <w:color w:val="auto"/>
        </w:rPr>
      </w:pPr>
      <w:r>
        <w:rPr>
          <w:rFonts w:ascii="Arial" w:cs="Arial" w:eastAsia="Arial" w:hAnsi="Arial"/>
          <w:sz w:val="16"/>
          <w:szCs w:val="16"/>
          <w:color w:val="auto"/>
        </w:rPr>
        <w:t>The Company accounts for forfeitures as they occur (refer to the "Recently Adopted Accounting Pronouncements" below). The Company classifies stock-based compensation expense in its statements of operations in the same manner in which the award recipient's payroll or service costs are classified.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53"/>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jc w:val="both"/>
        <w:ind w:firstLine="552"/>
        <w:spacing w:after="0" w:line="306" w:lineRule="auto"/>
        <w:rPr>
          <w:sz w:val="20"/>
          <w:szCs w:val="20"/>
          <w:color w:val="auto"/>
        </w:rPr>
      </w:pPr>
      <w:r>
        <w:rPr>
          <w:rFonts w:ascii="Arial" w:cs="Arial" w:eastAsia="Arial" w:hAnsi="Arial"/>
          <w:sz w:val="16"/>
          <w:szCs w:val="16"/>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For the years ended December 31, 2017 and 2018, comprehensive loss was equal to net loss.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72"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awards,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415"/>
        <w:spacing w:after="0" w:line="306"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 operating segment.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(the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an offering or such earlier time that it is no longer an EGC.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The standard replaces existing revenue recognition standards and significantly expands the disclosure requirements for revenue arrangements. The standard must be adopted using either a modified retrospective approach or a full retrospective approach for all periods presented. The Company adopted the standard as of January 1, 2017 under the full retrospective method. The Company does not have and has never had any contracts that are within the scope of ASU 2014-09 or its predecessor guidance,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Accordingly, adoption of the standard did not have an impact on the Company's financial position, results of operations or cash flows. However, the adoption of this standard will impact the accounting for potential future revenue transactions.</w:t>
      </w:r>
    </w:p>
    <w:p>
      <w:pPr>
        <w:spacing w:after="0" w:line="174"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("ASU 2016-09"), which amends ASC Topic 718, Compensation —Stock Compensation ("Topic 718"). The standard is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 Company adopted ASU 2016-09 effective as of January 1, 2016. The Company elected to account prospectively for forfeitures as they occur rather than apply an estimated forfeiture rate to stock-based compensation expense. The adoption of the standard did not have a material impact on the Company's consolidated financial statements or footnote disclosures.</w:t>
      </w:r>
    </w:p>
    <w:p>
      <w:pPr>
        <w:spacing w:after="0" w:line="174"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which simplifies certain elements of cash flow classification. The standard is intended to reduce diversity in practice in how certain transactions are classified in the statement of cash flows. The Company adopted the standard effective as of January 1, 2016. The adoption of the standard did not have a material impact on the Company's consolidated financial statements or footnote disclosures.</w:t>
      </w:r>
    </w:p>
    <w:p>
      <w:pPr>
        <w:spacing w:after="0" w:line="197"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The standard requires that amounts generally described as restricted cash be included within cash and cash equivalents when reconciling the beginning-of-period and end-of-period total amounts shown on the statement of cash flows. The Company adopted ASU 2016-18 effective as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January 1, 2016 using a full retrospective approach. The adoption of the standard did not have a material impact on the Company's consolidated financial statements or footnote disclosures.</w:t>
      </w:r>
    </w:p>
    <w:p>
      <w:pPr>
        <w:spacing w:after="0" w:line="186" w:lineRule="exact"/>
        <w:rPr>
          <w:sz w:val="20"/>
          <w:szCs w:val="20"/>
          <w:color w:val="auto"/>
        </w:rPr>
      </w:pPr>
    </w:p>
    <w:p>
      <w:pPr>
        <w:jc w:val="both"/>
        <w:ind w:firstLine="527"/>
        <w:spacing w:after="0" w:line="253"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The standard clarifies the framework for determining whether an integrated set of assets and activities meets the definition of a business. The revised framework establishes a screen for determining whether an integrated set of assets and activities is a business and narrows the definition of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 The Company adopted ASU 2017-01 effective as of January 1, 2018. The adoption of this standard did not have a material impact on the Company's consolidated financial statements or footnote disclosures.</w:t>
      </w:r>
    </w:p>
    <w:p>
      <w:pPr>
        <w:spacing w:after="0" w:line="201"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The standard is intended to reduce the diversity in practice and cost and complexity when applying the guidance in Topic 718 to a change to the terms or conditions of a share-based payment award. Under the guidance, modification accounting is required only if the fair value, the vesting conditions or the classification of the award (as equity or liability) changes as a result of the change in terms or conditions. The Company adopted ASU 2017-09 effective as of January 1, 2016. The adoption of this standard did not have a material impact on the Company's consolidated financial statements or footnote disclosures.</w:t>
      </w:r>
    </w:p>
    <w:p>
      <w:pPr>
        <w:spacing w:after="0" w:line="170"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 to Nonemployee Share-Based Payment</w:t>
      </w:r>
      <w:r>
        <w:rPr>
          <w:rFonts w:ascii="Arial" w:cs="Arial" w:eastAsia="Arial" w:hAnsi="Arial"/>
          <w:sz w:val="16"/>
          <w:szCs w:val="16"/>
          <w:color w:val="auto"/>
        </w:rPr>
        <w:t xml:space="preserve"> ("ASU 2018-07"). The standard is intended to simplify the accounting for share-based payments to non-employees by aligning it with the accounting for share-based payments to employees, with certain exceptions. Under the guidance, the measurement of equity-classified non-employee awards will be fixed at the grant date, which may lower their cost and reduce volatility in the income statement. The Company adopted ASU 2018-07 as of January 1, 2017. The adoption of this standard did not have a material impact on the Company's consolidated financial statements or footnote disclosures.</w:t>
      </w:r>
    </w:p>
    <w:p>
      <w:pPr>
        <w:spacing w:after="0" w:line="170" w:lineRule="exact"/>
        <w:rPr>
          <w:sz w:val="20"/>
          <w:szCs w:val="20"/>
          <w:color w:val="auto"/>
        </w:rPr>
      </w:pPr>
    </w:p>
    <w:p>
      <w:pPr>
        <w:jc w:val="both"/>
        <w:ind w:firstLine="650"/>
        <w:spacing w:after="0" w:line="256"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The standard eliminates, adds and modifies certain disclosure requirements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The Company adopted ASU 2018-13 as of January 1, 2018. The adoption of this standard did not have a material impact on the Company's consolidated financial statements or footnote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jc w:val="both"/>
        <w:ind w:firstLine="516"/>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8"/>
          <w:szCs w:val="18"/>
          <w:i w:val="1"/>
          <w:iCs w:val="1"/>
          <w:color w:val="auto"/>
        </w:rPr>
        <w:t>Leases (Topic 842):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Targeted Improvements </w:t>
      </w:r>
      <w:r>
        <w:rPr>
          <w:rFonts w:ascii="Arial" w:cs="Arial" w:eastAsia="Arial" w:hAnsi="Arial"/>
          <w:sz w:val="16"/>
          <w:szCs w:val="16"/>
          <w:color w:val="auto"/>
        </w:rPr>
        <w:t>("ASU 2018-11"), which permits entities to continue applying legacy guidance in ASC 840,</w:t>
      </w:r>
      <w:r>
        <w:rPr>
          <w:rFonts w:ascii="Arial" w:cs="Arial" w:eastAsia="Arial" w:hAnsi="Arial"/>
          <w:sz w:val="16"/>
          <w:szCs w:val="16"/>
          <w:i w:val="1"/>
          <w:iCs w:val="1"/>
          <w:color w:val="auto"/>
        </w:rPr>
        <w:t xml:space="preserve"> Leases</w:t>
      </w:r>
      <w:r>
        <w:rPr>
          <w:rFonts w:ascii="Arial" w:cs="Arial" w:eastAsia="Arial" w:hAnsi="Arial"/>
          <w:sz w:val="16"/>
          <w:szCs w:val="16"/>
          <w:color w:val="auto"/>
        </w:rPr>
        <w:t>, including its disclosure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comparative periods presented in the year that the entity adopts the new leasing standard. The new standard will be effective for the Company on January 1, 2020 (refer to previous discussion under "Emerging Growth Company Status").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2" w:lineRule="exact"/>
        <w:rPr>
          <w:sz w:val="20"/>
          <w:szCs w:val="20"/>
          <w:color w:val="auto"/>
        </w:rPr>
      </w:pPr>
    </w:p>
    <w:p>
      <w:pPr>
        <w:jc w:val="both"/>
        <w:ind w:firstLine="580"/>
        <w:spacing w:after="0" w:line="29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standard requires that credit losses be reported using an expected losses model rather than the incurred losses model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70"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(refer to previous discussion under "Emerging Growth Company Status"). The Company is currently evaluating the impact that the adoption of ASU 2017-11 will have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 the level of the fair value hierarchy utilized to determine such fair values as of December 31, 2018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72,797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72,797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72,797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The Company had no cash equivalents as of December 31, 2017. There have been no transfers between fair value levels during the year ended December 31,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(1,958)</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10,546</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8"/>
        <w:spacing w:after="0" w:line="335" w:lineRule="auto"/>
        <w:rPr>
          <w:sz w:val="20"/>
          <w:szCs w:val="20"/>
          <w:color w:val="auto"/>
        </w:rPr>
      </w:pPr>
      <w:r>
        <w:rPr>
          <w:rFonts w:ascii="Arial" w:cs="Arial" w:eastAsia="Arial" w:hAnsi="Arial"/>
          <w:sz w:val="15"/>
          <w:szCs w:val="15"/>
          <w:color w:val="auto"/>
        </w:rPr>
        <w:t>Depreciation expense for the years ended December 31, 2017 and 2018 was $0.7 million and $1.3 million, respectively. Total property and equipment, gross, as of December 31, 2017 and 2018 included zero and $0.2 million, respectively, of property and equipment recorded under capital leases. Accumulated depreciation, as of December 31, 2017 and 2018, included zero and less than $0.1 million, respectively, for property and equipment recorded under capital leases.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88"/>
              </w:rPr>
              <w:t>Prepaid sign-on bonuses subject to vesting provisions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Leasehold improvement allowance receivable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receivable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prepaid expenses and other current assets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40" w:type="dxa"/>
            <w:vAlign w:val="bottom"/>
            <w:gridSpan w:val="2"/>
          </w:tcPr>
          <w:p>
            <w:pPr>
              <w:jc w:val="right"/>
              <w:ind w:right="1592"/>
              <w:spacing w:after="0"/>
              <w:rPr>
                <w:sz w:val="20"/>
                <w:szCs w:val="20"/>
                <w:color w:val="auto"/>
              </w:rPr>
            </w:pPr>
            <w:r>
              <w:rPr>
                <w:rFonts w:ascii="Arial" w:cs="Arial" w:eastAsia="Arial" w:hAnsi="Arial"/>
                <w:sz w:val="18"/>
                <w:szCs w:val="18"/>
                <w:color w:val="auto"/>
                <w:w w:val="91"/>
              </w:rPr>
              <w:t>F-17</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Payroll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1,448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liability,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Property and equipment purchases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Future minimum lease payments associated with the Company's capital lease obligations are less than $0.1 million in each of the years ending December 31, 2019, 2020 and 2021. No minimum lease payments associated with the Company's capital lease obligations are due after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231"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In July 2016, the Company entered into a Series A convertible preferred stock purchase agreement (the "2016 Stock Purchase Agreement"), which provided for the issuance and sale of up to 55,000,000 shares of Series A convertible preferred stock (the "Series A Preferred Stock") at a price of $1.00 per share in three tranches, each of which could occur in multiple closings. Included in the terms of the Series A Preferred Stock purchase agreement were tranche rights. The tranche rights obligated the investors in the Series A Preferred Stock to purchase, and the Company to sell, shares of Series A Preferred Stock at $1.00 per share, subject to the achievement of certain milestones related to the Company's research platform and organizational development. The specified milestones were waivable with the consent of the holders of a majority of the shares of Series A Preferred Stock.</w:t>
      </w:r>
    </w:p>
    <w:p>
      <w:pPr>
        <w:spacing w:after="0" w:line="174" w:lineRule="exact"/>
        <w:rPr>
          <w:sz w:val="20"/>
          <w:szCs w:val="20"/>
          <w:color w:val="auto"/>
        </w:rPr>
      </w:pPr>
    </w:p>
    <w:p>
      <w:pPr>
        <w:jc w:val="both"/>
        <w:ind w:right="20" w:firstLine="383"/>
        <w:spacing w:after="0" w:line="306" w:lineRule="auto"/>
        <w:rPr>
          <w:sz w:val="20"/>
          <w:szCs w:val="20"/>
          <w:color w:val="auto"/>
        </w:rPr>
      </w:pPr>
      <w:r>
        <w:rPr>
          <w:rFonts w:ascii="Arial" w:cs="Arial" w:eastAsia="Arial" w:hAnsi="Arial"/>
          <w:sz w:val="16"/>
          <w:szCs w:val="16"/>
          <w:color w:val="auto"/>
        </w:rPr>
        <w:t>During the year ended December 31, 2017, the Company sold 12,666,666 shares of Series A Preferred Stock under the 2016 Stock Purchase Agreement for aggregate proceeds of approximately $12.7 million. During the year ended December 31, 2018, the Company sold the remaining 25,333,334 shares of Series A Preferred Stock under the 2016 Stock Purchase Agreement for aggregate proceeds of approximately $25.3 million.</w:t>
      </w:r>
    </w:p>
    <w:p>
      <w:pPr>
        <w:spacing w:after="0" w:line="16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auto"/>
        </w:rPr>
        <w:t>In April 2017, the Company increased the number of shares of Series A Preferred Stock authorized for issuance to 60,000,000 shares and entered into an additional Series A Preferred Stock purchase agreement (the "2017 Stock Purchase Agreement", and together with the 2016 Stock Purchase Agreement, the "Stock Purchase Agreements"), pursuant to which the Company sold 5,000,000 shares of Series A Preferred Stock for aggregate proceeds of $5.0 million. The Company incurred issuance costs associated with the Stock Purchase Agreements of less than $0.1 million during each of the years ended December 31, 2017 and 2018.</w:t>
      </w:r>
    </w:p>
    <w:p>
      <w:pPr>
        <w:spacing w:after="0" w:line="197"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Company determined that the tranche rights did not meet the definition of a freestanding financial instrument because, while separately exercisable, they were not legally detachable. Further, the Company determined that the embedded future tranche rights did not require bifurcation as they were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clearly and closely related to the economic characteristics and risks of the Series A Preferred Stock and did not meet the definition of a derivative on a standalone basis.</w:t>
      </w:r>
    </w:p>
    <w:p>
      <w:pPr>
        <w:spacing w:after="0" w:line="186" w:lineRule="exact"/>
        <w:rPr>
          <w:sz w:val="20"/>
          <w:szCs w:val="20"/>
          <w:color w:val="auto"/>
        </w:rPr>
      </w:pPr>
    </w:p>
    <w:p>
      <w:pPr>
        <w:jc w:val="both"/>
        <w:ind w:firstLine="388"/>
        <w:spacing w:after="0" w:line="323" w:lineRule="auto"/>
        <w:rPr>
          <w:sz w:val="20"/>
          <w:szCs w:val="20"/>
          <w:color w:val="auto"/>
        </w:rPr>
      </w:pPr>
      <w:r>
        <w:rPr>
          <w:rFonts w:ascii="Arial" w:cs="Arial" w:eastAsia="Arial" w:hAnsi="Arial"/>
          <w:sz w:val="15"/>
          <w:szCs w:val="15"/>
          <w:color w:val="auto"/>
        </w:rPr>
        <w:t>In August 2018, the Company entered into a Series B convertible preferred stock purchase agreement (the "Series B Stock Purchase Agreement"), pursuant to which the Company sold 40,000,000 shares of Series B Preferred Stock at a purchase price of $2.00 per share for gross proceeds of $80,000,000. In connection with the Series B Stock Purchase Agreement, the Company's Certificate of Incorporation was amended and restated to authorize the Company to issue 40,000,000 shares of Series B Preferred Stock. Refer to Note 14 for information regarding the issuance of Series B Preferred Stock subsequent to December 31, 2018.</w:t>
      </w:r>
    </w:p>
    <w:p>
      <w:pPr>
        <w:spacing w:after="0" w:line="152"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Company assessed the Series A Preferred Stock and the Series B Preferred Stock (together, the "Preferred Stock") for any beneficial conversion features or embedded derivatives, including the conversion option, that would require bifurcation from the Preferred Stock and receive separate accounting treatment. Based on the Company's determination that the Preferred Stock is an "equity host," the Company determined that all features of the Preferred Stock were either clearly and closely related to the equity host or did not meet the definition of a derivative, and therefore do not require bifurcation as a derivative liability. On the date of issuance, the estimated fair value of Common Stock into which the Preferred Stock was convertible was less than the effective conversion price of the Preferred Stock, and as such, there was no beneficial conversion feature at the commitment dates.</w:t>
      </w:r>
    </w:p>
    <w:p>
      <w:pPr>
        <w:spacing w:after="0" w:line="174"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As the Preferred Stock may become redeemable upon the occurrence of a Deemed Liquidation Event (as defined below), the Preferred Stock has been classified outside of stockholders' deficit. Since the Preferred Stock is not initially redeemable and the Company has determined that it is not probable that it will become redeemable, the carrying value of the Preferred Stock has not been adjusted.</w:t>
      </w:r>
    </w:p>
    <w:p>
      <w:pPr>
        <w:spacing w:after="0" w:line="194"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No dividends have been declared since inception. Aggregate cumulative dividends associated with the Series A Preferred Stock and the Series B Preferred Stock as of December 31, 2018 were $7.2 million and $2.3 million,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holders of the Preferred Stock have the following rights, privileges, and preferences: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429"/>
        <w:spacing w:after="0" w:line="294" w:lineRule="auto"/>
        <w:rPr>
          <w:sz w:val="20"/>
          <w:szCs w:val="20"/>
          <w:color w:val="auto"/>
        </w:rPr>
      </w:pPr>
      <w:r>
        <w:rPr>
          <w:rFonts w:ascii="Arial" w:cs="Arial" w:eastAsia="Arial" w:hAnsi="Arial"/>
          <w:sz w:val="16"/>
          <w:szCs w:val="16"/>
          <w:color w:val="auto"/>
        </w:rPr>
        <w:t>The holders of the Preferred Stock are entitled to vote on all matters submitted to stockholders for a vote and have the right to vote the number of shares equal to the number of shares of Common Stock into which such shares of Preferred Stock could convert on the record date for determination of stockholders entitled to vote. The holders of Preferred Stock will vote together with the holders of Common Stock as a single class, on an as-converted basis, unless otherwise specified by law or the Certificate of Incorporation. For example, the holders of Series A Preferred Stock, exclusively and as a separate class, are entitled to elect one director of the Company and the holders of Series B Preferred Stock, exclusively and as a separate class, are entitled to elect one director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Each share of Preferred Stock is convertible, at the option of the holder, at any time, and without the payment of additional consideration by the holder, into such number of fully paid and nonassessable shares of Common Stock as is determined by dividing the Original Issue Price (as defined below) applicable to such series of Preferred Stock by the Conversion Price (as defined below) applicable to such series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Preferred Stock in effect at the time of conversion. The Original Issue Price is $1.00 per share for Series A Preferred Stock and $2.00 per share for Series B Preferred Stock, each subject to appropriate adjustment in the event of any stock dividend, stock split, combination or other similar recapitalization with respect to the Preferred Stock. The Conversion Price is initially $1.00 per share for Series A Preferred Stock and $2.00 per share for Series B Preferred Stock, each subject to appropriate adjustment in the event of any stock dividend, stock split, combination or other similar recapitalization and other adjustments, as set forth in the Company's Certificate of Incorporation, as amended and/or restated.</w:t>
      </w:r>
    </w:p>
    <w:p>
      <w:pPr>
        <w:spacing w:after="0" w:line="197" w:lineRule="exact"/>
        <w:rPr>
          <w:sz w:val="20"/>
          <w:szCs w:val="20"/>
          <w:color w:val="auto"/>
        </w:rPr>
      </w:pPr>
    </w:p>
    <w:p>
      <w:pPr>
        <w:jc w:val="both"/>
        <w:ind w:firstLine="355"/>
        <w:spacing w:after="0" w:line="289" w:lineRule="auto"/>
        <w:rPr>
          <w:sz w:val="20"/>
          <w:szCs w:val="20"/>
          <w:color w:val="auto"/>
        </w:rPr>
      </w:pPr>
      <w:r>
        <w:rPr>
          <w:rFonts w:ascii="Arial" w:cs="Arial" w:eastAsia="Arial" w:hAnsi="Arial"/>
          <w:sz w:val="16"/>
          <w:szCs w:val="16"/>
          <w:color w:val="auto"/>
        </w:rPr>
        <w:t>Each share of Preferred Stock will automatically convert into shares of Common Stock at the then-effective conversion ratio upon either (i) the closing of the sale of shares of Common Stock to the public in a firm-commitment underwritten public offering pursuant to an effective registration statement under the Securities Act of 1933, as amended (the "Securities Act"), provided that such offering results in at least $45 million of gross proceeds to the Company and, following such offering, the Common Stock is listed on the New York Stock Exchange or Nasdaq or (ii) the date and time, or the occurrence of an event, specified by the vote or written consent of the holders of at least 65% of the outstanding shares of Preferred Stock. If the holders of at least 65% of the outstanding shares of Preferred Stock approve such a mandatory conversion in connection with a proposed Deemed Liquidation Event in which the holders of Series B Preferred Stock would receive less than the full liquidation preference applicable to the Series B Preferred Stock (as discussed below), then the mandatory conversion will also require the consent of the holders of a majority of the outstanding shares of Series B Preferred Stock, voting together as a separate class.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426"/>
        <w:spacing w:after="0" w:line="289" w:lineRule="auto"/>
        <w:rPr>
          <w:sz w:val="20"/>
          <w:szCs w:val="20"/>
          <w:color w:val="auto"/>
        </w:rPr>
      </w:pPr>
      <w:r>
        <w:rPr>
          <w:rFonts w:ascii="Arial" w:cs="Arial" w:eastAsia="Arial" w:hAnsi="Arial"/>
          <w:sz w:val="16"/>
          <w:szCs w:val="16"/>
          <w:color w:val="auto"/>
        </w:rPr>
        <w:t>From the date of issuance of the Series B Preferred Stock, dividends at an annual rate of $0.16 per share will accrue on such shares of Series B Preferred Stock, subject to adjustment in the event of any stock split, stock dividend, or other similar recapitalization with respect to the Series B Preferred Stock (the "Series B Accruing Dividends"). From the date of issuance of the Series A Preferred Stock, dividends at an annual rate of $0.08 per share will accrue on such shares of Series A Preferred Stock, subject to adjustment in the event of any stock split, stock dividend, or other similar recapitalization with respect to the Series A Preferred Stock (the "Series A Accruing Dividends", and together with the Series B Accruing Dividends, the "Accruing Dividends"). The Accruing Dividends are cumulative and are payable only when and if declared by the board of directors of the Company or in the event of a liquidation, dissolution or winding up of the Company or a Deemed Liquidation Event. The Company cannot declare dividends on the Common Stock unless the holders of Preferred Stock first receive, or simultaneously receive, a dividend on each outstanding share of Preferred Stock. No dividends have been declared since inception.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jc w:val="both"/>
        <w:ind w:firstLine="412"/>
        <w:spacing w:after="0" w:line="283" w:lineRule="auto"/>
        <w:rPr>
          <w:sz w:val="20"/>
          <w:szCs w:val="20"/>
          <w:color w:val="auto"/>
        </w:rPr>
      </w:pPr>
      <w:r>
        <w:rPr>
          <w:rFonts w:ascii="Arial" w:cs="Arial" w:eastAsia="Arial" w:hAnsi="Arial"/>
          <w:sz w:val="16"/>
          <w:szCs w:val="16"/>
          <w:color w:val="auto"/>
        </w:rPr>
        <w:t>In the event of any voluntary or involuntary liquidation, dissolution or winding up of the Company or Deemed Liquidation Event, the holders of shares of Preferred Stock then outstanding will be entitled to be paid out of the assets of the Company available for distribution to its stockholders before any payment will be made to the holders of Common Stock by reason of their ownership thereof, an amount per share equal to the greater of (i) the applicable Original Issue Price, plus any applicable Accruing Dividends accrued but unpaid thereon, whether or not declared, together with any other dividends declared but unpaid thereon or</w:t>
      </w:r>
    </w:p>
    <w:p>
      <w:pPr>
        <w:spacing w:after="0" w:line="3" w:lineRule="exact"/>
        <w:rPr>
          <w:sz w:val="20"/>
          <w:szCs w:val="20"/>
          <w:color w:val="auto"/>
        </w:rPr>
      </w:pPr>
    </w:p>
    <w:p>
      <w:pPr>
        <w:ind w:left="5540" w:right="4860" w:hanging="5532"/>
        <w:spacing w:after="0" w:line="605" w:lineRule="auto"/>
        <w:tabs>
          <w:tab w:leader="none" w:pos="25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such amount per share as would have been payable had all shares of Preferred Stock been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converted into Common Stock immediately prior to such liquidation, dissolution, winding up or Deemed Liquidation Event.</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After the payment of all preferential amounts required to be paid to the holders of shares of Preferred Stock, the remaining assets of the Company available for distribution to its stockholders will be distributed among the holders of the shares of Common Stock, pro rata based on the number of shares held by each such holder.</w:t>
      </w:r>
    </w:p>
    <w:p>
      <w:pPr>
        <w:spacing w:after="0" w:line="194"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Unless the holders of at least 65% of the outstanding shares of Preferred Stock, voting together as a single class, elect otherwise, a "Deemed Liquidation Event" will include (i) a merger or consolidation (other than one in which stockholders of the Company owning a majority by voting power of the outstanding shares of the Company prior to the merger or consolidation continue to own a majority by voting power of the outstanding shares of the surviving or acquiring corporation) or (ii) a sale, lease, transfer, exclusive license, or other disposition by the Company or its subsidiaries of all or substantially all of the assets of the Company and its subsidiaries, taken as a whole, or the sale or disposition of one or more subsidiaries of the Company if substantially all of the assets of the Company and its subsidiaries, taken as a whole, are held by such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231" w:lineRule="exact"/>
        <w:rPr>
          <w:sz w:val="20"/>
          <w:szCs w:val="20"/>
          <w:color w:val="auto"/>
        </w:rPr>
      </w:pPr>
    </w:p>
    <w:p>
      <w:pPr>
        <w:jc w:val="both"/>
        <w:ind w:firstLine="476"/>
        <w:spacing w:after="0" w:line="291" w:lineRule="auto"/>
        <w:rPr>
          <w:sz w:val="20"/>
          <w:szCs w:val="20"/>
          <w:color w:val="auto"/>
        </w:rPr>
      </w:pPr>
      <w:r>
        <w:rPr>
          <w:rFonts w:ascii="Arial" w:cs="Arial" w:eastAsia="Arial" w:hAnsi="Arial"/>
          <w:sz w:val="16"/>
          <w:szCs w:val="16"/>
          <w:color w:val="auto"/>
        </w:rPr>
        <w:t>Each share of Common Stock entitles the holder to one vote on all matters submitted to a vote of the Company's stockholders provided, however, that, except as otherwise required by law, holders of Common Stock will not be entitled to vote on any amendment to the Company's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Delaware General Corporation Law. Common stockholders are entitled to receive dividends, as may be declared by the Company's board of directors, if any, subject to the preferential dividend rights of the Preferred Stock. No dividends have been declared or paid during the years ended December 31, 2017 or 2018.</w:t>
      </w:r>
    </w:p>
    <w:p>
      <w:pPr>
        <w:spacing w:after="0" w:line="174" w:lineRule="exact"/>
        <w:rPr>
          <w:sz w:val="20"/>
          <w:szCs w:val="20"/>
          <w:color w:val="auto"/>
        </w:rPr>
      </w:pPr>
    </w:p>
    <w:p>
      <w:pPr>
        <w:jc w:val="both"/>
        <w:ind w:firstLine="482"/>
        <w:spacing w:after="0" w:line="268" w:lineRule="auto"/>
        <w:rPr>
          <w:sz w:val="20"/>
          <w:szCs w:val="20"/>
          <w:color w:val="auto"/>
        </w:rPr>
      </w:pPr>
      <w:r>
        <w:rPr>
          <w:rFonts w:ascii="Arial" w:cs="Arial" w:eastAsia="Arial" w:hAnsi="Arial"/>
          <w:sz w:val="18"/>
          <w:szCs w:val="18"/>
          <w:color w:val="auto"/>
        </w:rPr>
        <w:t>During the year ended December 31, 2018, the Company's Certificate of Incorporation was amended and restated to increase the number of authorized shares of Common Stock from 80,000,000 to 135,000,000 shares.</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The Company had reserved the following shares of Common Stock for the potential conversion of Preferred Stock and for the future issuance of Common Stock pursuant to the Company's 2016 Stock Incentive Plan, as amended from time to time (the "2016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290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reserved for conversion of outstanding Series A Preferred Stock</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9"/>
              </w:rPr>
              <w:t>Shares reserved for conversion of outstanding Series B Preferred Stock</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40,000,000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reserved for future issuance under the 2016 Stock Incentive Plan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1,542,195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6,432,941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61,542,195</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106,432,941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vMerge w:val="restart"/>
          </w:tcPr>
          <w:p>
            <w:pPr>
              <w:ind w:left="3820"/>
              <w:spacing w:after="0"/>
              <w:rPr>
                <w:sz w:val="20"/>
                <w:szCs w:val="20"/>
                <w:color w:val="auto"/>
              </w:rPr>
            </w:pPr>
            <w:r>
              <w:rPr>
                <w:rFonts w:ascii="Arial" w:cs="Arial" w:eastAsia="Arial" w:hAnsi="Arial"/>
                <w:sz w:val="18"/>
                <w:szCs w:val="18"/>
                <w:color w:val="auto"/>
              </w:rPr>
              <w:t>F-21</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Under the 2016 Stock Incentive Plan</w:t>
      </w:r>
    </w:p>
    <w:p>
      <w:pPr>
        <w:spacing w:after="0" w:line="225"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In July 2016, the Company adopted the 2016 Plan, under which it may grant restricted stock awards, restricted stock units, incentive stock options, non-statutory stock options and other stock-based awards to eligible employees, officers, directors, consultants and advisors.</w:t>
      </w:r>
    </w:p>
    <w:p>
      <w:pPr>
        <w:spacing w:after="0" w:line="186"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The 2016 Plan is administered by the board of directors or, at the discretion of the board of directors, by a subcommittee of the board of directors. The exercise prices, vesting and other restrictions are determined at the discretion of the board of directors, or their subcommittee if so delegated, except that the exercise price per share of the stock options may not be less than 100% of the fair market value of a share of the Company's Common Stock on the date of grant and the term of the stock options may not be greater than ten years.</w:t>
      </w:r>
    </w:p>
    <w:p>
      <w:pPr>
        <w:spacing w:after="0" w:line="197"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8"/>
          <w:szCs w:val="18"/>
          <w:color w:val="auto"/>
        </w:rPr>
        <w:t>During the year ended December 31, 2018, the Company granted restricted stock awards and stock options. As of December 31, 2017, the Company had only granted restricted stock awards since its inception. The dates of the Company's valuations of Common Stock have not always coincided with the dates of the restricted stock awards. For financial reporting purposes, the Company performed Common Stock valuations with the assistance of a third-party specialist as of November 30, 2018, August 24, 2018, June 1, 2018, December 31, 2017 and December 31, 2016 to determine stock-based compensation expense for restricted stock awards and stock options.</w:t>
      </w:r>
    </w:p>
    <w:p>
      <w:pPr>
        <w:spacing w:after="0" w:line="197"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The total number of shares of Common Stock that were authorized for issuance under the 2016 Plan was 12,465,000 as of December 31, 2017. In January 2018, the 2016 Plan was amended to increase the number of shares of Common Stock reserved for issuance under the 2016 Plan by 3,000,000 shares. In August 2018, the 2016 Plan was amended to increase the number of shares of Common Stock reserved for issuance under the 2016 Plan by 7,000,000 shares. The total number of shares of Common Stock that were authorized for issuance under the 2016 Plan was 22,465,000 as of December 31, 2018. Refer to Note 14 for an additional increase to the number of shares issuable under the 2016 Plan that occurred subsequent to December 31, 2018.</w:t>
      </w:r>
    </w:p>
    <w:p>
      <w:pPr>
        <w:spacing w:after="0" w:line="170" w:lineRule="exact"/>
        <w:rPr>
          <w:sz w:val="20"/>
          <w:szCs w:val="20"/>
          <w:color w:val="auto"/>
        </w:rPr>
      </w:pPr>
    </w:p>
    <w:p>
      <w:pPr>
        <w:jc w:val="both"/>
        <w:ind w:firstLine="422"/>
        <w:spacing w:after="0" w:line="255" w:lineRule="auto"/>
        <w:rPr>
          <w:sz w:val="20"/>
          <w:szCs w:val="20"/>
          <w:color w:val="auto"/>
        </w:rPr>
      </w:pPr>
      <w:r>
        <w:rPr>
          <w:rFonts w:ascii="Arial" w:cs="Arial" w:eastAsia="Arial" w:hAnsi="Arial"/>
          <w:sz w:val="18"/>
          <w:szCs w:val="18"/>
          <w:color w:val="auto"/>
        </w:rPr>
        <w:t>During the year ended December 31, 2017, the Company issued 3,628,805 shares and 40,000 shares of Common Stock to employees and non-employees, respectively, under the 2016 Plan. During the year ended December 31, 2018, the Company issued 1,797,013 shares of Common Stock to employees under the 2016 Plan. The Company may repurchase unvested shares at the original purchase price if employees or non-employees are terminated or cease their employment or service relationship with the Company. The shares typically vest over a one-year or four-year period. The shares are recorded in stockholders' (deficit) equity as they vest.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under the 2016 Plan: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160" w:type="dxa"/>
            <w:vAlign w:val="bottom"/>
          </w:tcPr>
          <w:p>
            <w:pPr>
              <w:spacing w:after="0"/>
              <w:rPr>
                <w:sz w:val="14"/>
                <w:szCs w:val="14"/>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6,631,980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3,668,805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(2,561,582)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(56,250)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7,682,953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1,797,013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(3,524,983)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(655,980)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5,299,003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59"/>
        <w:spacing w:after="0" w:line="332" w:lineRule="auto"/>
        <w:rPr>
          <w:sz w:val="20"/>
          <w:szCs w:val="20"/>
          <w:color w:val="auto"/>
        </w:rPr>
      </w:pPr>
      <w:r>
        <w:rPr>
          <w:rFonts w:ascii="Arial" w:cs="Arial" w:eastAsia="Arial" w:hAnsi="Arial"/>
          <w:sz w:val="16"/>
          <w:szCs w:val="16"/>
          <w:color w:val="auto"/>
        </w:rPr>
        <w:t>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Stock options granted by the Company typically vest over a four year period and have a ten year contractual term. The following table summarizes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stock option activity under the 2016 Plan since December 31, 2017:</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7"/>
              </w:rPr>
              <w:t>Intrinsic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3,555,302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3,555,302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2018</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9.48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44,158</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102,694</w:t>
            </w:r>
          </w:p>
        </w:tc>
        <w:tc>
          <w:tcPr>
            <w:tcW w:w="3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515"/>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39"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color w:val="auto"/>
        </w:rPr>
        <w:t>The weighted average grant date fair value of stock options granted in the year ended December 31, 2018 was $0.72 per share. As of December 31, 2018, no stock options have been exercised since inception.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stock options granted during the year ended December 31, 2018 under the 2016 Plan has been calculated on the date of grant using the following weighted average assumptions: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5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the 2016 Stock Incentive Plan</w:t>
      </w:r>
    </w:p>
    <w:p>
      <w:pPr>
        <w:spacing w:after="0" w:line="225"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During July 2016, the Company issued 5,075,000 shares and 460,000 shares of Common Stock outside of the Company's 2016 Plan to non-employee founders and certain advisors, respectively. The shares were issued under the terms of restricted stock agreements between the Company and such holders, and the unvested shares are subject to repurchase by the Company upon the termination of the holder's relationship with the Company. Of the total shares issued to non-employee founders, 575,000 vested immediately upon grant; 2,500,000 vest quarterly over a four-year period based on each holder's continued service relationship with the Company; and 2,000,000 vest in equal quarterly installments over a period of one year, commencing with the first quarter after the four-year anniversary of the date of the respective non-employee founder's agreement, based on each holder's continued service relationship with the Company. Of the shares issued to non-employee advisors, 240,000 shares vest in equal quarterly installments over four years, 200,000 of the shares vest in equal quarterly installments over a period of two years upon the achievement of certain performance-based milestones, and 20,000 shares vested immediately upon grant. Stock-based compensation expense associated with the performance-based awards is recognized if the performance condition is considered probable of achievement using management's best estimates.</w:t>
      </w:r>
    </w:p>
    <w:p>
      <w:pPr>
        <w:spacing w:after="0" w:line="177" w:lineRule="exact"/>
        <w:rPr>
          <w:sz w:val="20"/>
          <w:szCs w:val="20"/>
          <w:color w:val="auto"/>
        </w:rPr>
      </w:pPr>
    </w:p>
    <w:p>
      <w:pPr>
        <w:jc w:val="both"/>
        <w:ind w:firstLine="383"/>
        <w:spacing w:after="0" w:line="255" w:lineRule="auto"/>
        <w:rPr>
          <w:sz w:val="20"/>
          <w:szCs w:val="20"/>
          <w:color w:val="auto"/>
        </w:rPr>
      </w:pPr>
      <w:r>
        <w:rPr>
          <w:rFonts w:ascii="Arial" w:cs="Arial" w:eastAsia="Arial" w:hAnsi="Arial"/>
          <w:sz w:val="18"/>
          <w:szCs w:val="18"/>
          <w:color w:val="auto"/>
        </w:rPr>
        <w:t>During the year ended December 31, 2017, management concluded that the milestone associated with 200,000 shares of performance-based restricted stock was probable of achievement, and therefore the Company began to record stock-based compensation expense using the accelerated attribution method. The milestone was subsequently achieved during the year ended December 31, 2018. The Company recorded $0.1 million and less than $0.1 million of stock-based compensation expense for non-employee performance-based awards during the years ended December 31, 2017 and 2018, respectively. The shares are recorded in stockholders' (deficit) equity as they vest.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outside of the 2016 Plan: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4,597,500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0"/>
        </w:trPr>
        <w:tc>
          <w:tcPr>
            <w:tcW w:w="5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575"/>
        <w:spacing w:after="0" w:line="268" w:lineRule="auto"/>
        <w:rPr>
          <w:sz w:val="20"/>
          <w:szCs w:val="20"/>
          <w:color w:val="auto"/>
        </w:rPr>
      </w:pPr>
      <w:r>
        <w:rPr>
          <w:rFonts w:ascii="Arial" w:cs="Arial" w:eastAsia="Arial" w:hAnsi="Arial"/>
          <w:sz w:val="18"/>
          <w:szCs w:val="18"/>
          <w:color w:val="auto"/>
        </w:rPr>
        <w:t>The aggregate intrinsic value of all restricted stock awards that vested during the years ended December 31, 2017 and 2018 was $1.5 million and $3.4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5"/>
              </w:rPr>
              <w:t>December 31, 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1,035</w:t>
            </w: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w:t>
            </w: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As of December 31, 2018, the Company had an aggregate of $5.6 million of unrecognized stock-based compensation expense, which is expected to be recognized over a weighted average period of 2.94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91"/>
        <w:spacing w:after="0" w:line="291" w:lineRule="auto"/>
        <w:rPr>
          <w:sz w:val="20"/>
          <w:szCs w:val="20"/>
          <w:color w:val="auto"/>
        </w:rPr>
      </w:pPr>
      <w:r>
        <w:rPr>
          <w:rFonts w:ascii="Arial" w:cs="Arial" w:eastAsia="Arial" w:hAnsi="Arial"/>
          <w:sz w:val="16"/>
          <w:szCs w:val="16"/>
          <w:color w:val="auto"/>
        </w:rPr>
        <w:t>In May 2016, the Company entered into a sublease agreement for approximately 8,143 square feet of office and laboratory space at its prior corporate headquarters in Cambridge, Massachusetts. The sublease commenced during June 2016. The Company had the option to extend the sublease until June 30, 2019, subject to the landlord's own need for the space. During June 2017, the Company exercised its option to extend the sublease through June 30, 2019. During February 2018, the Company amended its sublease agreement to reduce the term of the sublease to June 30, 2018. The Company recorded rent expense for this sublease on a straight-line basis. Rent expense associated with this sublease for the years ended December 31, 2017 and 2018 was $0.5 million and $0.3 million, respectively. The sublease for this space terminated on June 30,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jc w:val="both"/>
        <w:ind w:firstLine="430"/>
        <w:spacing w:after="0" w:line="286" w:lineRule="auto"/>
        <w:rPr>
          <w:sz w:val="20"/>
          <w:szCs w:val="20"/>
          <w:color w:val="auto"/>
        </w:rPr>
      </w:pPr>
      <w:r>
        <w:rPr>
          <w:rFonts w:ascii="Arial" w:cs="Arial" w:eastAsia="Arial" w:hAnsi="Arial"/>
          <w:sz w:val="16"/>
          <w:szCs w:val="16"/>
          <w:color w:val="auto"/>
        </w:rPr>
        <w:t>In November 2017, the Company entered into a lease agreement for its current corporate headquarters for approximately 28,731 square feet of office and laboratory space in Cambridge, Massachusetts, commencing December 2017. The Company began recognizing rent expense associated with this lease during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Company accounts for leasehold improvement incentives as a reduction to rent expense ratably over the lease term. The balance from the leasehold improvement incentives is classified as a deferred lease incentive on the balance sheet. As of December 31, 2017, the Company had not incurred leasehold improvement costs that are subject to reimbursement by the landlord, and therefore no lease incentive obligation was recorded on the balance sheet. The lease agreement requires the Company to either pay a security deposit or maintain a letter of credit of $1.1 million. The Company obtained a letter of credit for this lease in April 2018 and has recorded the cash held to secure the letter of credit as restricted cash on the consolidated balance sheet as of December 31, 2018. The Company records rent expense for this lease on a straight-line basis. Rent expense associated with this lease for the years ended December 31, 2017 and 2018 was approximately $0.2 million and $1.9 million, respectively.</w:t>
      </w:r>
    </w:p>
    <w:p>
      <w:pPr>
        <w:spacing w:after="0" w:line="175"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December 31, 2018 are as follows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2020</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2,285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2,424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12,187</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23,966</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December 31, 2018, the Company has not exercised its rights to license such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2017 or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years ended December 31, 2017 and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(benefit) at statutory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Permanent differences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research and development credits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28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Impact of U.S. tax reform</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(23.80)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r>
      <w:tr>
        <w:trPr>
          <w:trHeight w:val="20"/>
        </w:trPr>
        <w:tc>
          <w:tcPr>
            <w:tcW w:w="5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84"/>
        <w:spacing w:after="0" w:line="268" w:lineRule="auto"/>
        <w:rPr>
          <w:sz w:val="20"/>
          <w:szCs w:val="20"/>
          <w:color w:val="auto"/>
        </w:rPr>
      </w:pPr>
      <w:r>
        <w:rPr>
          <w:rFonts w:ascii="Arial" w:cs="Arial" w:eastAsia="Arial" w:hAnsi="Arial"/>
          <w:sz w:val="18"/>
          <w:szCs w:val="18"/>
          <w:color w:val="auto"/>
        </w:rPr>
        <w:t>During the years ended December 31, 2017 and 2018, the Company incurred book and tax losses and, because it maintains a full valuation allowance on its net deferred tax assets, did not recognize federal or state income tax expense or benefit.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2018</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8,493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16,566</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 carryforwards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2,503</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lease incentive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21,127</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(10,293)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(19,592)</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The Company considered its history of cumulative net losses incurred since inception and its lack of commercialization of any products since inception and has concluded that it is more likely than not that the Company will not realize the benefits of the deferred tax assets. Accordingly, a full valuation allowance has been established against the net deferred tax assets as of December 31, 2017 and 2018. The Company reevaluates the positive and negative evidence at each reporting period.</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2018, the Company had federal net operating loss carryforwards of approximately $60.7 million which begin to expire in 2035. Approximately $29.7 million of the federal net operating losses can be carried forward indefinitely. As of December 31, 2018, the Company also had state net operating loss carryforwards of approximately $60.5 million, which begin to expire in 2035.</w:t>
      </w:r>
    </w:p>
    <w:p>
      <w:pPr>
        <w:spacing w:after="0" w:line="194"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8"/>
          <w:szCs w:val="18"/>
          <w:color w:val="auto"/>
        </w:rPr>
        <w:t>As of December 31, 2018, the Company had federal research and development tax credit carryforwards of approximately $1.5 million, which begin to expire in 2035. As of December 31, 2018, the Company also had state research and development tax credit carryforwards of approximately $1.3 million, which begin to expire in 2035.</w:t>
      </w:r>
    </w:p>
    <w:p>
      <w:pPr>
        <w:spacing w:after="0" w:line="194" w:lineRule="exact"/>
        <w:rPr>
          <w:sz w:val="20"/>
          <w:szCs w:val="20"/>
          <w:color w:val="auto"/>
        </w:rPr>
      </w:pPr>
    </w:p>
    <w:p>
      <w:pPr>
        <w:jc w:val="both"/>
        <w:ind w:firstLine="482"/>
        <w:spacing w:after="0" w:line="287" w:lineRule="auto"/>
        <w:rPr>
          <w:sz w:val="20"/>
          <w:szCs w:val="20"/>
          <w:color w:val="auto"/>
        </w:rPr>
      </w:pPr>
      <w:r>
        <w:rPr>
          <w:rFonts w:ascii="Arial" w:cs="Arial" w:eastAsia="Arial" w:hAnsi="Arial"/>
          <w:sz w:val="16"/>
          <w:szCs w:val="16"/>
          <w:color w:val="auto"/>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39"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2018, the Company's tax years are still open under statute from 2015 to the present.</w:t>
      </w:r>
    </w:p>
    <w:p>
      <w:pPr>
        <w:spacing w:after="0" w:line="194" w:lineRule="exact"/>
        <w:rPr>
          <w:sz w:val="20"/>
          <w:szCs w:val="20"/>
          <w:color w:val="auto"/>
        </w:rPr>
      </w:pPr>
    </w:p>
    <w:p>
      <w:pPr>
        <w:jc w:val="both"/>
        <w:ind w:firstLine="521"/>
        <w:spacing w:after="0" w:line="290"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the provision for income taxes. As of December 31, 2017 and 2018, the Company had no accrued interest or penalties related to uncertain tax positions and no amounts have been recognized in the Company's statements of operations. For the year ended December 31, 2018,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result in an adjustment to the deferred tax asset established for the research and development credit carryforwards and the valuation allowance.</w:t>
      </w:r>
    </w:p>
    <w:p>
      <w:pPr>
        <w:spacing w:after="0" w:line="172"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On December 22, 2017, the Tax Cuts and Jobs Act (the "Tax Reform Act") was enacted, which significantly reforms the Internal Revenue Code. The Tax Reform Act, among other things, contains significant changes to corporate taxation, including reduction of the corporate tax rate from a top marginal rate of 35% to a flat rate of 21%, effective as of January 1, 2018; limitation of the tax deduction for interest expense; limitation of the deduction for net operating losses to 80% of annual taxable income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w:t>
      </w:r>
    </w:p>
    <w:p>
      <w:pPr>
        <w:spacing w:after="0" w:line="201" w:lineRule="exact"/>
        <w:rPr>
          <w:sz w:val="20"/>
          <w:szCs w:val="20"/>
          <w:color w:val="auto"/>
        </w:rPr>
      </w:pPr>
    </w:p>
    <w:p>
      <w:pPr>
        <w:jc w:val="both"/>
        <w:ind w:firstLine="528"/>
        <w:spacing w:after="0" w:line="254" w:lineRule="auto"/>
        <w:rPr>
          <w:sz w:val="20"/>
          <w:szCs w:val="20"/>
          <w:color w:val="auto"/>
        </w:rPr>
      </w:pPr>
      <w:r>
        <w:rPr>
          <w:rFonts w:ascii="Arial" w:cs="Arial" w:eastAsia="Arial" w:hAnsi="Arial"/>
          <w:sz w:val="18"/>
          <w:szCs w:val="18"/>
          <w:color w:val="auto"/>
        </w:rPr>
        <w:t>The staff of the Securities and Exchange Commission issued Staff Accounting Bulletin No. 118 ("SAB 118") to address the application of GAAP in situations when a registrant does not have the necessary information available, prepared, or analyzed (including computations) in reasonable detail to complete the accounting for certain income tax effects of the Tax Reform Act. The Company is applying the provisions of SAB 118. In connection with the initial analysis of the impact of the Tax Reform Act for the year ended December 31, 2017, the Company remeasured certain deferred tax assets and liabilities based on the revised U.S. federal corporate tax rate of 21%. The remeasurement of the Company's deferred tax assets and liabilities was offset by a corresponding change in the Company's valuation allowance.</w:t>
      </w:r>
    </w:p>
    <w:p>
      <w:pPr>
        <w:spacing w:after="0" w:line="198" w:lineRule="exact"/>
        <w:rPr>
          <w:sz w:val="20"/>
          <w:szCs w:val="20"/>
          <w:color w:val="auto"/>
        </w:rPr>
      </w:pPr>
    </w:p>
    <w:p>
      <w:pPr>
        <w:jc w:val="both"/>
        <w:ind w:firstLine="517"/>
        <w:spacing w:after="0" w:line="306" w:lineRule="auto"/>
        <w:rPr>
          <w:sz w:val="20"/>
          <w:szCs w:val="20"/>
          <w:color w:val="auto"/>
        </w:rPr>
      </w:pPr>
      <w:r>
        <w:rPr>
          <w:rFonts w:ascii="Arial" w:cs="Arial" w:eastAsia="Arial" w:hAnsi="Arial"/>
          <w:sz w:val="16"/>
          <w:szCs w:val="16"/>
          <w:color w:val="auto"/>
        </w:rPr>
        <w:t>As permitted by SAB 118, the Company recorded provisional estimates during the year ended December 31, 2017 and has subsequently finalized its accounting analysis based on the guidance, interpretations, and data available as of December 31, 2018. Adjustments made in the fourth quarter of 2018 upon finalization of the Company's accounting analysis were not material to the Company's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w:t>
      </w:r>
    </w:p>
    <w:p>
      <w:pPr>
        <w:spacing w:after="0" w:line="231" w:lineRule="exact"/>
        <w:rPr>
          <w:sz w:val="20"/>
          <w:szCs w:val="20"/>
          <w:color w:val="auto"/>
        </w:rPr>
      </w:pPr>
    </w:p>
    <w:p>
      <w:pPr>
        <w:jc w:val="both"/>
        <w:ind w:firstLine="425"/>
        <w:spacing w:after="0" w:line="306"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Unaudited Pro Forma 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373"/>
        <w:spacing w:after="0" w:line="312" w:lineRule="auto"/>
        <w:rPr>
          <w:sz w:val="20"/>
          <w:szCs w:val="20"/>
          <w:color w:val="auto"/>
        </w:rPr>
      </w:pPr>
      <w:r>
        <w:rPr>
          <w:rFonts w:ascii="Arial" w:cs="Arial" w:eastAsia="Arial" w:hAnsi="Arial"/>
          <w:sz w:val="15"/>
          <w:szCs w:val="15"/>
          <w:color w:val="auto"/>
        </w:rPr>
        <w:t>Basic net loss per share attributable to common stockholders is calculated by dividing net loss attributable to common stockholders by the weighted average shares outstanding during the period, without consideration for Common Stock equivalents. Net loss attributable to common stockholders is calculated by adjusting the net loss of the Company for cumulative preferred stock dividends. Diluted net loss per share attributable to common stockholders is calculated by adjusting weighted average shares outstanding for the dilutive effect of Common Stock equivalents outstanding for the period. For purposes of the dilutive net loss per share attributable to common stockholders calculation, Preferred Stock, stock options, and unvested restricted stock are considered to be Common Stock equivalents but are excluded from the calculation of diluted net loss per share attributable to common stockholders, as their effect would be anti-dilutive. Therefore, basic and diluted net loss per share attributable to common stockholders were the same for all periods presented as a result of the Company's net loss.</w:t>
      </w:r>
    </w:p>
    <w:p>
      <w:pPr>
        <w:spacing w:after="0" w:line="159"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80" w:type="dxa"/>
            <w:vAlign w:val="bottom"/>
          </w:tcPr>
          <w:p>
            <w:pPr>
              <w:jc w:val="right"/>
              <w:ind w:right="21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34,666,667</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40,000,000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3,555,302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1280" w:type="dxa"/>
            <w:vAlign w:val="bottom"/>
          </w:tcPr>
          <w:p>
            <w:pPr>
              <w:jc w:val="right"/>
              <w:spacing w:after="0"/>
              <w:rPr>
                <w:sz w:val="20"/>
                <w:szCs w:val="20"/>
                <w:color w:val="auto"/>
              </w:rPr>
            </w:pPr>
            <w:r>
              <w:rPr>
                <w:rFonts w:ascii="Arial" w:cs="Arial" w:eastAsia="Arial" w:hAnsi="Arial"/>
                <w:sz w:val="18"/>
                <w:szCs w:val="18"/>
                <w:color w:val="auto"/>
              </w:rPr>
              <w:t>11,595,453</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8,426,503</w:t>
            </w:r>
          </w:p>
        </w:tc>
      </w:tr>
      <w:tr>
        <w:trPr>
          <w:trHeight w:val="20"/>
        </w:trPr>
        <w:tc>
          <w:tcPr>
            <w:tcW w:w="5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46,262,120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111,981,805</w:t>
            </w: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2019, the Company issued 12,500,000 shares of Series B Preferred Stock as consideration for the GSK Agreement (as defined in Note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225" w:lineRule="exact"/>
        <w:rPr>
          <w:sz w:val="20"/>
          <w:szCs w:val="20"/>
          <w:color w:val="auto"/>
        </w:rPr>
      </w:pPr>
    </w:p>
    <w:p>
      <w:pPr>
        <w:jc w:val="both"/>
        <w:ind w:firstLine="473"/>
        <w:spacing w:after="0" w:line="291"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year ended December 31, 2018 give effect to adjustments arising upon the closing of a qualified IPO. The unaudited pro forma basic and diluted weighted average common shares outstanding used in the calculation of unaudited pro forma basic and diluted net loss per share attributable to common stockholders for the year ended December 31, 2018 give effect to the automatic conversion upon a qualified IPO of all outstanding shares of Preferred Stock into shares of Common Stock as if the conversion had occurred on the later of January 1, 2018 or the issuance date of the Preferred Stock. Accordingly, the pro forma basic and diluted net loss per share attributable to stockholders does not include the effects of the cumulative preferred stock dividends. Shares to be sold in the offering 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Unaudited Pro Forma Net Loss per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excluded from the unaudited pro forma basic and diluted loss per share attributable to common stockholders calculations.</w:t>
      </w:r>
    </w:p>
    <w:p>
      <w:pPr>
        <w:spacing w:after="0" w:line="225"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The following table summarizes the Company's unaudited pro forma net loss per share attributable to common stockholders (in thousands, except per share data):</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2018</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(39,147)</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convertible preferred stock dividends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6,559</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Pro forma 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8,799</w:t>
            </w:r>
          </w:p>
        </w:tc>
      </w:tr>
      <w:tr>
        <w:trPr>
          <w:trHeight w:val="208"/>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Pro forma weighted average shares outstanding after giving effect to the conversion of</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67,856</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Pro forma weighted average shares outstanding</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76,655</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basic and diluted loss per share attributable to common stockholders, basic and</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31" w:lineRule="exact"/>
        <w:rPr>
          <w:sz w:val="20"/>
          <w:szCs w:val="20"/>
          <w:color w:val="auto"/>
        </w:rPr>
      </w:pPr>
    </w:p>
    <w:p>
      <w:pPr>
        <w:jc w:val="both"/>
        <w:ind w:firstLine="413"/>
        <w:spacing w:after="0" w:line="294" w:lineRule="auto"/>
        <w:rPr>
          <w:sz w:val="20"/>
          <w:szCs w:val="20"/>
          <w:color w:val="auto"/>
        </w:rPr>
      </w:pPr>
      <w:r>
        <w:rPr>
          <w:rFonts w:ascii="Arial" w:cs="Arial" w:eastAsia="Arial" w:hAnsi="Arial"/>
          <w:sz w:val="16"/>
          <w:szCs w:val="16"/>
          <w:color w:val="auto"/>
        </w:rPr>
        <w:t>During the years ended December 31, 2017 and 2018, the Company paid fees to Third Rock Ventures, LLC ("TRV"), an affiliate of one of the Company's principal stockholders, in exchange for consulting services. The Company recorded expenses related to such fees of $0.1 million during each of the years ended December 31, 2017 and 2018. As of both December 31, 2017 and 2018, there was less than $0.1 million of amounts due to TRV for such services that were included in accounts payable and accrued expenses. Additionally, consultants that provide services to the Company are employees of TRV. The Company has issued an aggregate of 996,000 shares of Common Stock to these consultants in exchange for their continuing consulting services.</w:t>
      </w:r>
    </w:p>
    <w:p>
      <w:pPr>
        <w:spacing w:after="0" w:line="170"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During the year ended December 31, 2018, the Company recorded other income of $0.4 million related to the sale of drug material to an entity affiliated with TRV.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For its consolidated financial statements as of December 31, 2018 and for the year then ended, the Company evaluated subsequent events through May 1, 2019, the date on which those consolidated financial statements were issued.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jc w:val="both"/>
        <w:ind w:firstLine="420"/>
        <w:spacing w:after="0" w:line="370" w:lineRule="auto"/>
        <w:rPr>
          <w:sz w:val="20"/>
          <w:szCs w:val="20"/>
          <w:color w:val="auto"/>
        </w:rPr>
      </w:pPr>
      <w:r>
        <w:rPr>
          <w:rFonts w:ascii="Arial" w:cs="Arial" w:eastAsia="Arial" w:hAnsi="Arial"/>
          <w:sz w:val="15"/>
          <w:szCs w:val="15"/>
          <w:color w:val="auto"/>
        </w:rPr>
        <w:t>In January 2019, the 2016 Plan was amended to increase the number of shares of Common Stock reserved for issuance under the 2016 Plan by 2,500,000 shares. In January 2019 and March 2019, the Company issued stock options to purchase an aggregate of 7,143,661 shares of Common Stock under the 2016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GSK Agreement</w:t>
      </w:r>
    </w:p>
    <w:p>
      <w:pPr>
        <w:spacing w:after="0" w:line="225"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4"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 regulatory milestones, of which $2.5 million is due upon the initiation of a Phase 2 clinical trial,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will include in the total consideration for the transaction.</w:t>
      </w:r>
    </w:p>
    <w:p>
      <w:pPr>
        <w:spacing w:after="0" w:line="172"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61" w:lineRule="exact"/>
        <w:rPr>
          <w:sz w:val="20"/>
          <w:szCs w:val="20"/>
          <w:color w:val="auto"/>
        </w:rPr>
      </w:pPr>
    </w:p>
    <w:p>
      <w:pPr>
        <w:jc w:val="both"/>
        <w:ind w:firstLine="373"/>
        <w:spacing w:after="0" w:line="286"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will be recorded as in-process research and development expense in the Company's consolidated statement of operations and comprehensive loss for the three months ended March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81"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In February 2019, in connection with the GSK Agreement, the Company's Certificate of Incorporation was amended and restated to increase the number of authorized shares of Series B Preferred Stock from 40,000,000 shares to 52,500,000 shares and to increase the number of authorized shares of Common Stock from 135,000,000 shares to 147,500,000 shares.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0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Liabilities, convertible preferred stock, and stockholders' (deficit) equity</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Deferred lease incentive, current portion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Deferred rent, excluding current portion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incentive, excluding current portion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liabilities, excluding current portion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 $0.001 par value; 60,000,000 shares</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authorized, issued and outstanding as of December 31, 2018 and March 31, 2019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(liquidation preference of $68,371 as of March 31, 2019); no shares issued 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pro forma as of March 31, 2019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w w:val="90"/>
              </w:rPr>
              <w:t>Series B convertible preferred stock, $0.001 par value; 40,000,000 and 52,500,000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87"/>
              </w:rPr>
              <w:t>shares authorized, issued and outstanding as of December 31, 2018 and March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91"/>
              </w:rPr>
              <w:t>2019, respectively (liquidation preference of $109,119 as of March 31, 2019); no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shares issued or outstanding, pro forma as of March 31, 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88"/>
              </w:rPr>
              <w:t>Common stock, $0.001 par value; 135,000,000 and 147,500,000 shares authorized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3"/>
              </w:rPr>
              <w:t>as of December 31, 2018 and March 31, 2019, respectively; 19,542,588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7"/>
              </w:rPr>
              <w:t>19,235,125 shares issued as of December 31, 2018 and March 31, 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88"/>
              </w:rPr>
              <w:t>respectively; 11,116,085 and 12,054,235 shares outstanding as of December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1"/>
              </w:rPr>
              <w:t>2018 and March 31, 2019, respectively; 131,735,125 and 124,554,235 shares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issued and outstanding, pro forma as of March 31, 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Treasury stock, at cost; 469,169 and no shares as of December 31, 2018 and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March 31, 2019, respectively; no shares, pro forma as of March 31, 2019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(104,967)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(104,967)</w:t>
            </w:r>
          </w:p>
        </w:tc>
        <w:tc>
          <w:tcPr>
            <w:tcW w:w="0" w:type="dxa"/>
            <w:vAlign w:val="bottom"/>
          </w:tcPr>
          <w:p>
            <w:pPr>
              <w:spacing w:after="0"/>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liabilities, convertible preferred stock, and stockholders' (deficit)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(7,310)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(6,940)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(36,843)</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Cumulative convertible preferred stock dividends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(3,041)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(7,768)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(39,884)</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Weighted average number of common shares used in net loss per share attributable to common</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weighted average number of common shares used in net loss per share attributable to</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basic and diluted</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118,580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 Equity</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36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9"/>
              </w:rPr>
              <w:t>Series A Convertible</w:t>
            </w:r>
          </w:p>
        </w:tc>
        <w:tc>
          <w:tcPr>
            <w:tcW w:w="1500" w:type="dxa"/>
            <w:vAlign w:val="bottom"/>
            <w:tcBorders>
              <w:right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1"/>
              </w:rPr>
              <w:t>Series B Convertible</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gridSpan w:val="6"/>
          </w:tcPr>
          <w:p>
            <w:pPr>
              <w:jc w:val="right"/>
              <w:ind w:right="260"/>
              <w:spacing w:after="0" w:line="149" w:lineRule="exact"/>
              <w:rPr>
                <w:sz w:val="20"/>
                <w:szCs w:val="20"/>
                <w:color w:val="auto"/>
              </w:rPr>
            </w:pPr>
            <w:r>
              <w:rPr>
                <w:rFonts w:ascii="Arial" w:cs="Arial" w:eastAsia="Arial" w:hAnsi="Arial"/>
                <w:sz w:val="14"/>
                <w:szCs w:val="14"/>
                <w:b w:val="1"/>
                <w:bCs w:val="1"/>
                <w:color w:val="auto"/>
              </w:rPr>
              <w:t>Preferred Stock</w:t>
            </w:r>
          </w:p>
        </w:tc>
        <w:tc>
          <w:tcPr>
            <w:tcW w:w="1500" w:type="dxa"/>
            <w:vAlign w:val="bottom"/>
            <w:tcBorders>
              <w:right w:val="single" w:sz="8" w:color="auto"/>
            </w:tcBorders>
            <w:gridSpan w:val="6"/>
          </w:tcPr>
          <w:p>
            <w:pPr>
              <w:jc w:val="right"/>
              <w:ind w:right="360"/>
              <w:spacing w:after="0" w:line="149" w:lineRule="exact"/>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8"/>
              </w:rPr>
              <w:t>Treasury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restart"/>
          </w:tcPr>
          <w:p>
            <w:pPr>
              <w:jc w:val="right"/>
              <w:ind w:right="52"/>
              <w:spacing w:after="0" w:line="123"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vMerge w:val="restart"/>
          </w:tcPr>
          <w:p>
            <w:pPr>
              <w:spacing w:after="0"/>
              <w:rPr>
                <w:sz w:val="2"/>
                <w:szCs w:val="2"/>
                <w:color w:val="auto"/>
              </w:rPr>
            </w:pPr>
          </w:p>
        </w:tc>
        <w:tc>
          <w:tcPr>
            <w:tcW w:w="860" w:type="dxa"/>
            <w:vAlign w:val="bottom"/>
            <w:gridSpan w:val="3"/>
            <w:vMerge w:val="restart"/>
          </w:tcPr>
          <w:p>
            <w:pPr>
              <w:jc w:val="right"/>
              <w:ind w:right="80"/>
              <w:spacing w:after="0" w:line="123"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40"/>
              <w:spacing w:after="0" w:line="123"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7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34,666,666</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34,587</w:t>
            </w:r>
          </w:p>
        </w:tc>
        <w:tc>
          <w:tcPr>
            <w:tcW w:w="6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6,806,102</w:t>
            </w:r>
          </w:p>
        </w:tc>
        <w:tc>
          <w:tcPr>
            <w:tcW w:w="40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56,250</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 $</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2,264</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(35,536)</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$7</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12,666,667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12,659</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876,019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88,194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Retirement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treasury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shares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(144,444)</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429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(6,940)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(6,940)</w:t>
            </w: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w w:val="92"/>
              </w:rPr>
              <w:t>March 31, 2018</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47,333,333</w:t>
            </w:r>
          </w:p>
        </w:tc>
        <w:tc>
          <w:tcPr>
            <w:tcW w:w="4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47,246</w:t>
            </w:r>
          </w:p>
        </w:tc>
        <w:tc>
          <w:tcPr>
            <w:tcW w:w="60" w:type="dxa"/>
            <w:vAlign w:val="bottom"/>
          </w:tcPr>
          <w:p>
            <w:pPr>
              <w:spacing w:after="0"/>
              <w:rPr>
                <w:sz w:val="13"/>
                <w:szCs w:val="13"/>
                <w:color w:val="auto"/>
              </w:rPr>
            </w:pPr>
          </w:p>
        </w:tc>
        <w:tc>
          <w:tcPr>
            <w:tcW w:w="88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7,682,121</w:t>
            </w:r>
          </w:p>
        </w:tc>
        <w:tc>
          <w:tcPr>
            <w:tcW w:w="4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8</w:t>
            </w:r>
          </w:p>
        </w:tc>
        <w:tc>
          <w:tcPr>
            <w:tcW w:w="60" w:type="dxa"/>
            <w:vAlign w:val="bottom"/>
          </w:tcPr>
          <w:p>
            <w:pPr>
              <w:spacing w:after="0"/>
              <w:rPr>
                <w:sz w:val="13"/>
                <w:szCs w:val="13"/>
                <w:color w:val="auto"/>
              </w:rPr>
            </w:pPr>
          </w:p>
        </w:tc>
        <w:tc>
          <w:tcPr>
            <w:tcW w:w="1040" w:type="dxa"/>
            <w:vAlign w:val="bottom"/>
            <w:gridSpan w:val="4"/>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 $</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2,696</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(42,476)</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Balance at</w:t>
            </w: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60,000,000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59,909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79,761</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11,116,085</w:t>
            </w:r>
          </w:p>
        </w:tc>
        <w:tc>
          <w:tcPr>
            <w:tcW w:w="40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469,169</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 $</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4,443</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(68,124)</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(63,670)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B</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stock in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connection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with asset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acquisition,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net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$34</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12,500,000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25,466</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938,150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307,463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Retirement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treasury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shares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(776,632)</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821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(36,843)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(36,843)</w:t>
            </w: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w w:val="92"/>
              </w:rPr>
              <w:t>March 31, 2019</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60,000,000</w:t>
            </w:r>
          </w:p>
        </w:tc>
        <w:tc>
          <w:tcPr>
            <w:tcW w:w="4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59,909</w:t>
            </w:r>
          </w:p>
        </w:tc>
        <w:tc>
          <w:tcPr>
            <w:tcW w:w="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52,500,000</w:t>
            </w:r>
          </w:p>
        </w:tc>
        <w:tc>
          <w:tcPr>
            <w:tcW w:w="6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105,227</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12,054,235</w:t>
            </w:r>
          </w:p>
        </w:tc>
        <w:tc>
          <w:tcPr>
            <w:tcW w:w="4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3"/>
                <w:szCs w:val="13"/>
                <w:color w:val="auto"/>
              </w:rPr>
            </w:pPr>
          </w:p>
        </w:tc>
        <w:tc>
          <w:tcPr>
            <w:tcW w:w="1040" w:type="dxa"/>
            <w:vAlign w:val="bottom"/>
            <w:gridSpan w:val="4"/>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 $</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5,268</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(104,967)</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 forma</w:t>
            </w: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preferred stock</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and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stockholders'</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equity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w w:val="96"/>
              </w:rPr>
              <w:t>preferred 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into common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(60,000,000)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88"/>
              </w:rPr>
              <w:t>(59,909)</w:t>
            </w: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3"/>
              </w:rPr>
              <w:t>(52,500,000)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80"/>
              <w:spacing w:after="0" w:line="159" w:lineRule="exact"/>
              <w:rPr>
                <w:sz w:val="20"/>
                <w:szCs w:val="20"/>
                <w:color w:val="auto"/>
              </w:rPr>
            </w:pPr>
            <w:r>
              <w:rPr>
                <w:rFonts w:ascii="Arial" w:cs="Arial" w:eastAsia="Arial" w:hAnsi="Arial"/>
                <w:sz w:val="14"/>
                <w:szCs w:val="14"/>
                <w:color w:val="auto"/>
                <w:w w:val="86"/>
              </w:rPr>
              <w:t>(105,227)</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92"/>
              </w:rPr>
              <w:t>112,500,000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w w:val="85"/>
              </w:rPr>
              <w:t>113</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165,023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165,136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89"/>
              </w:rPr>
              <w:t>Pro forma balance</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at March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2019</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2"/>
              </w:rPr>
              <w:t>124,554,235</w:t>
            </w:r>
          </w:p>
        </w:tc>
        <w:tc>
          <w:tcPr>
            <w:tcW w:w="40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125</w:t>
            </w:r>
          </w:p>
        </w:tc>
        <w:tc>
          <w:tcPr>
            <w:tcW w:w="6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 $</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170,291</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(104,967)</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65,449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In-process research and development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Deferred rent and deferred lease incentive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4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Transaction costs associated with asset acquisition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4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from issuance of Series A convertible preferred stock, net of issuance costs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Issuance costs associated with issuance of Series B convertible preferred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Proceeds from issuance of common stock (repurchases of common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7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Acquisition of in process research and development through issuance of stock</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unpaid at end of period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Deferred offering costs unpaid at end of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provides a reconciliation of the cash, cash equivalents, and restricted cash balances as of each of the periods shown above: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Restricted cash</w:t>
            </w: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31"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86"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1" w:lineRule="exact"/>
        <w:rPr>
          <w:sz w:val="20"/>
          <w:szCs w:val="20"/>
          <w:color w:val="auto"/>
        </w:rPr>
      </w:pPr>
    </w:p>
    <w:p>
      <w:pPr>
        <w:jc w:val="both"/>
        <w:ind w:firstLine="408"/>
        <w:spacing w:after="0" w:line="254" w:lineRule="auto"/>
        <w:rPr>
          <w:sz w:val="20"/>
          <w:szCs w:val="20"/>
          <w:color w:val="auto"/>
        </w:rPr>
      </w:pPr>
      <w:r>
        <w:rPr>
          <w:rFonts w:ascii="Arial" w:cs="Arial" w:eastAsia="Arial" w:hAnsi="Arial"/>
          <w:sz w:val="18"/>
          <w:szCs w:val="18"/>
          <w:color w:val="auto"/>
        </w:rPr>
        <w:t>The accompanying unaudited consolidated financial statements and footnotes to the financial statements have been prepared on the same basis as the most recently audited annual financial statements and, in the opinion of management, reflect all normal recurring adjustments necessary for the fair presentation of the Company's financial position as of March 31, 2019 and the results of its operations and its cash flows for the three months ended March 31, 2018 and 2019. The results for the three months ended March 31, 2019 are not necessarily indicative of results to be expected for the year ending December 31, 2019, any other interim periods, or any future year or period. These consolidated financial statements should be read in conjunction with the Company's audited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The Company has incurred recurring losses and negative cash flows from operations since inception and has primarily funded its operations with proceeds from the issuance of convertible notes and convertible preferred stock. As of March 31, 2019, the Company had an accumulated deficit of $105.0 million. The Company expects its operating losses and negative operating cash flows to continue into the foreseeable future as it continues to expand its research and development efforts. As of June 5, 2019, the issuance date of the consolidated financial statements for the three months ended March 31, 2019, the Company expected that its cash and cash equivalents as of March 31, 2019 will be sufficient to fund its operating expenses and capital expenditure requirements into the first quarter of 2020. The future viability of the Company beyond that point is dependent on its ability to raise additional capital to finance its operations.</w:t>
      </w:r>
    </w:p>
    <w:p>
      <w:pPr>
        <w:spacing w:after="0" w:line="174" w:lineRule="exact"/>
        <w:rPr>
          <w:sz w:val="20"/>
          <w:szCs w:val="20"/>
          <w:color w:val="auto"/>
        </w:rPr>
      </w:pPr>
    </w:p>
    <w:p>
      <w:pPr>
        <w:jc w:val="both"/>
        <w:ind w:firstLine="577"/>
        <w:spacing w:after="0" w:line="268" w:lineRule="auto"/>
        <w:rPr>
          <w:sz w:val="20"/>
          <w:szCs w:val="20"/>
          <w:color w:val="auto"/>
        </w:rPr>
      </w:pPr>
      <w:r>
        <w:rPr>
          <w:rFonts w:ascii="Arial" w:cs="Arial" w:eastAsia="Arial" w:hAnsi="Arial"/>
          <w:sz w:val="18"/>
          <w:szCs w:val="18"/>
          <w:color w:val="auto"/>
        </w:rPr>
        <w:t>If the Company is unable to obtain additional funding, the Company could be forced to delay, reduce or eliminate some or all of its research and development programs, product portfolio expansion,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 (Continued)</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commercialization efforts, which could adversely affect its business prospects, or the Company may be unable to continue operations. The Company is seeking to complete an initial public offering ("IPO") of its common stock ("Common Stock"). In the event the Company does not complete an IPO, the Company expects to seek additional funding through private equity financings, debt financings, or other capital sources, including collaborations with other companies or other strategic transactions. Although management plans to pursue additional funding, there is no assurance that the Company will be successful in obtaining sufficient funding on terms acceptable to the Company to fund continuing operations, if at all.</w:t>
      </w:r>
    </w:p>
    <w:p>
      <w:pPr>
        <w:spacing w:after="0" w:line="170"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auto"/>
        </w:rPr>
        <w:t>Based on its recurring losses and negative cash flows from operations since inception, expectation of continuing operating losses and negative cash flows from operations for the foreseeable future, and the need to raise additional capital to finance its future operations, management concluded that there is substantial doubt about the Company's ability to continue as a going concern within one year after the date that the consolidated financial statements as of and for the three months ended March 31, 2019 were issued.</w:t>
      </w:r>
    </w:p>
    <w:p>
      <w:pPr>
        <w:spacing w:after="0" w:line="197"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ind w:right="20" w:firstLine="441"/>
        <w:spacing w:after="0" w:line="332" w:lineRule="auto"/>
        <w:rPr>
          <w:sz w:val="20"/>
          <w:szCs w:val="20"/>
          <w:color w:val="auto"/>
        </w:rPr>
      </w:pPr>
      <w:r>
        <w:rPr>
          <w:rFonts w:ascii="Arial" w:cs="Arial" w:eastAsia="Arial" w:hAnsi="Arial"/>
          <w:sz w:val="16"/>
          <w:szCs w:val="16"/>
          <w:color w:val="auto"/>
        </w:rPr>
        <w:t>The significant accounting policies and estimates used in the preparation of the consolidated financial statements are described in the Company's audited financial statements. There have been no material changes in the Company's significant accounting policies during the three months ended March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402"/>
        <w:spacing w:after="0" w:line="254" w:lineRule="auto"/>
        <w:rPr>
          <w:sz w:val="20"/>
          <w:szCs w:val="20"/>
          <w:color w:val="auto"/>
        </w:rPr>
      </w:pPr>
      <w:r>
        <w:rPr>
          <w:rFonts w:ascii="Arial" w:cs="Arial" w:eastAsia="Arial" w:hAnsi="Arial"/>
          <w:sz w:val="18"/>
          <w:szCs w:val="18"/>
          <w:color w:val="auto"/>
        </w:rPr>
        <w:t>The accompanying pro forma balance sheet and statement of stockholders' (deficit) equity as of March 31, 2019 has been prepared to give effect, upon the closing of a qualified IPO, to the automatic conversion of all shares of convertible preferred stock outstanding as of March 31, 2019 into 112,500,000 shares of Common Stock. In the accompanying consolidated statements of operations and comprehensive loss, the pro forma basic and diluted net loss per share attributable to common stockholders for the three months ended March 31, 2019 have been prepared to give effect, upon the closing of a qualified IPO, to the automatic conversion of all outstanding shares of convertible preferred stock as if the proposed IPO had occurred on the later of January 1, 2019 or the issuance date of the convertible preferred stock (see Note 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 Deferred issuance costs as of December 31, 2018 and March 31, 2019 were less than $0.1 million and $0.2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4" w:lineRule="exact"/>
        <w:rPr>
          <w:sz w:val="20"/>
          <w:szCs w:val="20"/>
          <w:color w:val="auto"/>
        </w:rPr>
      </w:pPr>
    </w:p>
    <w:p>
      <w:pPr>
        <w:jc w:val="both"/>
        <w:ind w:firstLine="401"/>
        <w:spacing w:after="0" w:line="332" w:lineRule="auto"/>
        <w:rPr>
          <w:sz w:val="20"/>
          <w:szCs w:val="20"/>
          <w:color w:val="auto"/>
        </w:rPr>
      </w:pPr>
      <w:r>
        <w:rPr>
          <w:rFonts w:ascii="Arial" w:cs="Arial" w:eastAsia="Arial" w:hAnsi="Arial"/>
          <w:sz w:val="16"/>
          <w:szCs w:val="16"/>
          <w:color w:val="auto"/>
        </w:rPr>
        <w:t>Research and development expenses also include in-process research and development ("IPR&amp;D") expenses, which relate to IPR&amp;D acquired as part of an asset acquisition for which there is no alternative future use. Research and development with no future alternative use is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jc w:val="both"/>
        <w:ind w:firstLine="516"/>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permits entities to continue applying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that the entity adopts the new leasing standard. The new standard will be effective for the Company on January 1, 2020.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5" w:lineRule="exact"/>
        <w:rPr>
          <w:sz w:val="20"/>
          <w:szCs w:val="20"/>
          <w:color w:val="auto"/>
        </w:rPr>
      </w:pPr>
    </w:p>
    <w:p>
      <w:pPr>
        <w:jc w:val="both"/>
        <w:ind w:firstLine="580"/>
        <w:spacing w:after="0" w:line="29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standard requires that credit losses be reported using an expected losses model rather than the incurred losses model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70"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The Company is currently evaluating the impact that the adoption of ASU 2017-11 may have on its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ind w:firstLine="412"/>
        <w:spacing w:after="0" w:line="268"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6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72,797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w w:val="98"/>
              </w:rPr>
              <w:t>72,797</w:t>
            </w:r>
          </w:p>
        </w:tc>
        <w:tc>
          <w:tcPr>
            <w:tcW w:w="4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72,797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72,797</w:t>
            </w:r>
          </w:p>
        </w:tc>
        <w:tc>
          <w:tcPr>
            <w:tcW w:w="4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4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6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62,452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w w:val="98"/>
              </w:rPr>
              <w:t>62,452</w:t>
            </w:r>
          </w:p>
        </w:tc>
        <w:tc>
          <w:tcPr>
            <w:tcW w:w="4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62,452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62,452</w:t>
            </w:r>
          </w:p>
        </w:tc>
        <w:tc>
          <w:tcPr>
            <w:tcW w:w="4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have been no transfers between fair value levels during the three months ended March 31, 2018 or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4,847</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(2,398)</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10,546</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10,225</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for the three months ended March 31, 2018 and 2019 was $0.2 million and $0.5 million,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 allowance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income receivable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7320" w:type="dxa"/>
            <w:vAlign w:val="bottom"/>
            <w:gridSpan w:val="2"/>
          </w:tcPr>
          <w:p>
            <w:pPr>
              <w:ind w:left="1380"/>
              <w:spacing w:after="0"/>
              <w:rPr>
                <w:sz w:val="20"/>
                <w:szCs w:val="20"/>
                <w:color w:val="auto"/>
              </w:rPr>
            </w:pPr>
            <w:r>
              <w:rPr>
                <w:rFonts w:ascii="Arial" w:cs="Arial" w:eastAsia="Arial" w:hAnsi="Arial"/>
                <w:sz w:val="18"/>
                <w:szCs w:val="18"/>
                <w:color w:val="auto"/>
              </w:rPr>
              <w:t>Total prepaid expenses and other current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24"/>
                <w:szCs w:val="2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Payroll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liability,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Property and equipment purchases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7320" w:type="dxa"/>
            <w:vAlign w:val="bottom"/>
            <w:gridSpan w:val="2"/>
          </w:tcPr>
          <w:p>
            <w:pPr>
              <w:ind w:left="1380"/>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231" w:lineRule="exact"/>
        <w:rPr>
          <w:sz w:val="20"/>
          <w:szCs w:val="20"/>
          <w:color w:val="auto"/>
        </w:rPr>
      </w:pPr>
    </w:p>
    <w:p>
      <w:pPr>
        <w:jc w:val="both"/>
        <w:ind w:firstLine="450"/>
        <w:spacing w:after="0" w:line="294" w:lineRule="auto"/>
        <w:rPr>
          <w:sz w:val="20"/>
          <w:szCs w:val="20"/>
          <w:color w:val="auto"/>
        </w:rPr>
      </w:pPr>
      <w:r>
        <w:rPr>
          <w:rFonts w:ascii="Arial" w:cs="Arial" w:eastAsia="Arial" w:hAnsi="Arial"/>
          <w:sz w:val="16"/>
          <w:szCs w:val="16"/>
          <w:color w:val="auto"/>
        </w:rPr>
        <w:t>As of December 31, 2018, 100,000,000 shares of convertible preferred stock were authorized, issued, and outstanding, of which 60,000,000 shares were designated as $0.001 par value Series A convertible preferred stock (the "Series A Preferred Stock"), and 40,000,000 shares were designated as $0.001 par value Series B convertible preferred stock (the "Series B Preferred Stock", and together with the Series A Preferred Stock, the "Preferred Stock"). As of March 31, 2019, 112,500,000 shares of Preferred Stock were authorized, issued, and outstanding, of which 60,000,000 shares were designated as $0.001 par value Series A Preferred Stock, and 52,500,000 shares were designated as $0.001 par value Series B Preferred Stock.</w:t>
      </w:r>
    </w:p>
    <w:p>
      <w:pPr>
        <w:spacing w:after="0" w:line="170" w:lineRule="exact"/>
        <w:rPr>
          <w:sz w:val="20"/>
          <w:szCs w:val="20"/>
          <w:color w:val="auto"/>
        </w:rPr>
      </w:pPr>
    </w:p>
    <w:p>
      <w:pPr>
        <w:jc w:val="both"/>
        <w:ind w:firstLine="376"/>
        <w:spacing w:after="0" w:line="306" w:lineRule="auto"/>
        <w:rPr>
          <w:sz w:val="20"/>
          <w:szCs w:val="20"/>
          <w:color w:val="auto"/>
        </w:rPr>
      </w:pPr>
      <w:r>
        <w:rPr>
          <w:rFonts w:ascii="Arial" w:cs="Arial" w:eastAsia="Arial" w:hAnsi="Arial"/>
          <w:sz w:val="16"/>
          <w:szCs w:val="16"/>
          <w:color w:val="auto"/>
        </w:rPr>
        <w:t>During the three months ended March 31, 2019, the Company issued 12,500,000 shares of Series B Preferred Stock in connection with the GSK Agreement (Note 9). The rights, privileges, and preferences of the Series B Preferred Stock issued in connection with the GSK Agreement are consistent with the rights, privileges, and preferences of the Series B Preferred Stock issued during the year ended December 31, 2018.</w:t>
      </w:r>
    </w:p>
    <w:p>
      <w:pPr>
        <w:spacing w:after="0" w:line="161"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No dividends have been declared since inception. Aggregate cumulative dividends associated with the Series A Preferred Stock and the Series B Preferred Stock as of December 31, 2018 were $7.2 million and $2.3 million, respectively. Aggregate cumulative dividends associated with the Series A Preferred Stock and the Series B Preferred Stock as of March 31, 2019 were $8.4 million and $4.1 million,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231" w:lineRule="exact"/>
        <w:rPr>
          <w:sz w:val="20"/>
          <w:szCs w:val="20"/>
          <w:color w:val="auto"/>
        </w:rPr>
      </w:pPr>
    </w:p>
    <w:p>
      <w:pPr>
        <w:jc w:val="both"/>
        <w:ind w:firstLine="390"/>
        <w:spacing w:after="0" w:line="332" w:lineRule="auto"/>
        <w:rPr>
          <w:sz w:val="20"/>
          <w:szCs w:val="20"/>
          <w:color w:val="auto"/>
        </w:rPr>
      </w:pPr>
      <w:r>
        <w:rPr>
          <w:rFonts w:ascii="Arial" w:cs="Arial" w:eastAsia="Arial" w:hAnsi="Arial"/>
          <w:sz w:val="16"/>
          <w:szCs w:val="16"/>
          <w:color w:val="auto"/>
        </w:rPr>
        <w:t>Common stockholders are entitled to receive dividends, as may be declared by the Company's board of directors, if any, subject to the preferential dividend rights of the Preferred Stock. No dividends have been declared or paid during the three months ended March 31, 2018 or 2019.</w:t>
      </w:r>
    </w:p>
    <w:p>
      <w:pPr>
        <w:spacing w:after="0" w:line="139"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During the three months ended March 31, 2019, the Company's Certificate of Incorporation was amended and restated to increase the number of authorized shares of Common Stock from 135,000,000 to 147,500,000 shares.</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The Company had reserved the following shares of Common Stock for the potential conversion of Preferred Stock and for the future issuance of Common Stock pursuant to the Company's 2016 Stock Incentive Plan, as amended from time to time (the "2016 Plan"):</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5640" w:type="dxa"/>
            <w:vAlign w:val="bottom"/>
          </w:tcPr>
          <w:p>
            <w:pPr>
              <w:spacing w:after="0"/>
              <w:rPr>
                <w:sz w:val="14"/>
                <w:szCs w:val="14"/>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reserved for conversion of outstanding Series A Preferred Stock</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w w:val="98"/>
              </w:rPr>
              <w:t>Shares reserved for conversion of outstanding Series B Preferred Stock</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40,000,000</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52,500,000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reserved for future issuance under the 2016 Stock Incentive Plan</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6,432,941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2,565,912</w:t>
            </w:r>
          </w:p>
        </w:tc>
      </w:tr>
      <w:tr>
        <w:trPr>
          <w:trHeight w:val="210"/>
        </w:trPr>
        <w:tc>
          <w:tcPr>
            <w:tcW w:w="56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106,432,941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115,065,912</w:t>
            </w:r>
          </w:p>
        </w:tc>
        <w:tc>
          <w:tcPr>
            <w:tcW w:w="16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Under the 2016 Stock Incentive Plan</w:t>
      </w:r>
    </w:p>
    <w:p>
      <w:pPr>
        <w:spacing w:after="0" w:line="225"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In July 2016, the Company adopted the 2016 Plan, under which it may grant restricted stock awards, restricted stock units, incentive stock options, non-statutory stock options, and other stock-based awards to eligible employees, officers, directors, consultants, and advisors. The total number of shares of Common Stock that were authorized for issuance under the 2016 Plan was 22,465,000 as of December 31, 2018. In January 2019, the 2016 Plan was amended to increase the number of shares of Common Stock reserved for issuance under the 2016 Plan by 2,500,000 shares. The total number of shares of Common Stock that were authorized for issuance under the 2016 Plan was 24,965,000 as of March 31, 2019.</w:t>
      </w:r>
    </w:p>
    <w:p>
      <w:pPr>
        <w:spacing w:after="0" w:line="170"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auto"/>
        </w:rPr>
        <w:t>For financial reporting purposes, the Company performed Common Stock valuations with the assistance of a third-party specialist as of March 15, 2019, November 30, 2018, August 24, 2018, June 1, 2018, December 31, 2017, and December 31, 2016 to determine stock-based compensation expense for restricted stock awards and stock options.</w:t>
      </w:r>
    </w:p>
    <w:p>
      <w:pPr>
        <w:spacing w:after="0" w:line="194" w:lineRule="exact"/>
        <w:rPr>
          <w:sz w:val="20"/>
          <w:szCs w:val="20"/>
          <w:color w:val="auto"/>
        </w:rPr>
      </w:pPr>
    </w:p>
    <w:p>
      <w:pPr>
        <w:jc w:val="both"/>
        <w:ind w:firstLine="459"/>
        <w:spacing w:after="0" w:line="332" w:lineRule="auto"/>
        <w:rPr>
          <w:sz w:val="20"/>
          <w:szCs w:val="20"/>
          <w:color w:val="auto"/>
        </w:rPr>
      </w:pPr>
      <w:r>
        <w:rPr>
          <w:rFonts w:ascii="Arial" w:cs="Arial" w:eastAsia="Arial" w:hAnsi="Arial"/>
          <w:sz w:val="16"/>
          <w:szCs w:val="16"/>
          <w:color w:val="auto"/>
        </w:rPr>
        <w:t>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under the 2016 Plan since December 31,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5,299,003</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(741,900)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(307,463)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r>
      <w:tr>
        <w:trPr>
          <w:trHeight w:val="20"/>
        </w:trPr>
        <w:tc>
          <w:tcPr>
            <w:tcW w:w="5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4,249,640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r>
      <w:tr>
        <w:trPr>
          <w:trHeight w:val="20"/>
        </w:trPr>
        <w:tc>
          <w:tcPr>
            <w:tcW w:w="5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stock option activity under the 2016 Plan since December 31, 2018: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Intrinsic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7,143,661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10,698,963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2019</w:t>
            </w: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0.97</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9.62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113,092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522,930</w:t>
            </w:r>
          </w:p>
        </w:tc>
        <w:tc>
          <w:tcPr>
            <w:tcW w:w="24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5"/>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39" w:lineRule="exact"/>
        <w:rPr>
          <w:sz w:val="20"/>
          <w:szCs w:val="20"/>
          <w:color w:val="auto"/>
        </w:rPr>
      </w:pPr>
    </w:p>
    <w:p>
      <w:pPr>
        <w:jc w:val="both"/>
        <w:ind w:firstLine="418"/>
        <w:spacing w:after="0" w:line="259" w:lineRule="auto"/>
        <w:rPr>
          <w:sz w:val="20"/>
          <w:szCs w:val="20"/>
          <w:color w:val="auto"/>
        </w:rPr>
      </w:pPr>
      <w:r>
        <w:rPr>
          <w:rFonts w:ascii="Arial" w:cs="Arial" w:eastAsia="Arial" w:hAnsi="Arial"/>
          <w:sz w:val="18"/>
          <w:szCs w:val="18"/>
          <w:color w:val="auto"/>
        </w:rPr>
        <w:t>The weighted average grant date fair value of stock options granted during the three months ended March 31, 2019 was $0.79 per share. As of March 31, 2019, no stock options have been exercised since inception. The fair value of stock options granted during the three months ended March 31, 2019 under the 2016 Plan has been calculated on the date of grant using the following weighted average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0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31, 2019</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000" w:type="dxa"/>
            <w:vAlign w:val="bottom"/>
            <w:gridSpan w:val="3"/>
          </w:tcPr>
          <w:p>
            <w:pPr>
              <w:jc w:val="right"/>
              <w:ind w:right="20"/>
              <w:spacing w:after="0"/>
              <w:rPr>
                <w:sz w:val="20"/>
                <w:szCs w:val="20"/>
                <w:color w:val="auto"/>
              </w:rPr>
            </w:pPr>
            <w:r>
              <w:rPr>
                <w:rFonts w:ascii="Arial" w:cs="Arial" w:eastAsia="Arial" w:hAnsi="Arial"/>
                <w:sz w:val="18"/>
                <w:szCs w:val="18"/>
                <w:color w:val="auto"/>
              </w:rPr>
              <w:t>81.4%</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720" w:type="dxa"/>
            <w:vAlign w:val="bottom"/>
            <w:gridSpan w:val="4"/>
          </w:tcPr>
          <w:p>
            <w:pPr>
              <w:ind w:left="840"/>
              <w:spacing w:after="0"/>
              <w:rPr>
                <w:sz w:val="20"/>
                <w:szCs w:val="20"/>
                <w:color w:val="auto"/>
              </w:rPr>
            </w:pPr>
            <w:r>
              <w:rPr>
                <w:rFonts w:ascii="Arial" w:cs="Arial" w:eastAsia="Arial" w:hAnsi="Arial"/>
                <w:sz w:val="18"/>
                <w:szCs w:val="18"/>
                <w:color w:val="auto"/>
              </w:rPr>
              <w:t>F-44</w:t>
            </w:r>
          </w:p>
        </w:tc>
      </w:tr>
      <w:tr>
        <w:trPr>
          <w:trHeight w:val="228"/>
        </w:trPr>
        <w:tc>
          <w:tcPr>
            <w:tcW w:w="1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the 2016 Stock Incentive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outside of the 2016 Plan since December 31,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2,931,250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0"/>
        </w:trPr>
        <w:tc>
          <w:tcPr>
            <w:tcW w:w="5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intrinsic value of all restricted stock awards that vested during the three months ended March 31, 2019 was $1.4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8"/>
              </w:rPr>
              <w:t>March 31, 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8"/>
              </w:rPr>
              <w:t>March 31, 2019</w:t>
            </w:r>
          </w:p>
        </w:tc>
        <w:tc>
          <w:tcPr>
            <w:tcW w:w="16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8"/>
          <w:szCs w:val="18"/>
          <w:color w:val="auto"/>
        </w:rPr>
        <w:t>As of March 31, 2019, the Company had an aggregate of $10.5 million of unrecognized stock-based compensation expense, which is expected to be recognized over a weighted average period of 3.26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Acquisition</w:t>
      </w:r>
    </w:p>
    <w:p>
      <w:pPr>
        <w:spacing w:after="0" w:line="231"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Acquisition (Continued)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regulatory milestones, of which $2.5 million is due upon the initiation of a Phase 2 clinical trial,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w:t>
      </w:r>
    </w:p>
    <w:p>
      <w:pPr>
        <w:spacing w:after="0" w:line="167"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61" w:lineRule="exact"/>
        <w:rPr>
          <w:sz w:val="20"/>
          <w:szCs w:val="20"/>
          <w:color w:val="auto"/>
        </w:rPr>
      </w:pPr>
    </w:p>
    <w:p>
      <w:pPr>
        <w:jc w:val="both"/>
        <w:ind w:firstLine="373"/>
        <w:spacing w:after="0" w:line="286"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for the three months ended March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91"/>
        <w:spacing w:after="0" w:line="259" w:lineRule="auto"/>
        <w:rPr>
          <w:sz w:val="20"/>
          <w:szCs w:val="20"/>
          <w:color w:val="auto"/>
        </w:rPr>
      </w:pPr>
      <w:r>
        <w:rPr>
          <w:rFonts w:ascii="Arial" w:cs="Arial" w:eastAsia="Arial" w:hAnsi="Arial"/>
          <w:sz w:val="18"/>
          <w:szCs w:val="18"/>
          <w:color w:val="auto"/>
        </w:rPr>
        <w:t>In May 2016, the Company entered into a sublease agreement for approximately 8,143 square feet of office and laboratory space at its prior corporate headquarters in Cambridge, Massachusetts. The sublease for this space terminated on June 30, 2018. Rent expense associated with this sublease for the three months ended March 31, 2018 was $0.1 million.</w:t>
      </w:r>
    </w:p>
    <w:p>
      <w:pPr>
        <w:spacing w:after="0" w:line="194"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auto"/>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2018 and March 31, 2019. Rent expense associated with this lease for the three months ended March 31, 2018 and 2019 was approximately $0.5 million and $0.5 million,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future minimum lease payments associated with the lease for the Company's current headquarters as of March 31, 2019, are as follows (in thousands):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333"/>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2019</w:t>
            </w:r>
            <w:r>
              <w:rPr>
                <w:rFonts w:ascii="Arial" w:cs="Arial" w:eastAsia="Arial" w:hAnsi="Arial"/>
                <w:sz w:val="29"/>
                <w:szCs w:val="29"/>
                <w:color w:val="auto"/>
                <w:vertAlign w:val="superscript"/>
              </w:rPr>
              <w:t>(1)</w:t>
            </w:r>
          </w:p>
        </w:tc>
        <w:tc>
          <w:tcPr>
            <w:tcW w:w="3840" w:type="dxa"/>
            <w:vAlign w:val="bottom"/>
            <w:shd w:val="clear" w:color="auto" w:fill="CCEEFF"/>
          </w:tcPr>
          <w:p>
            <w:pPr>
              <w:spacing w:after="0"/>
              <w:rPr>
                <w:sz w:val="24"/>
                <w:szCs w:val="24"/>
                <w:color w:val="auto"/>
              </w:rPr>
            </w:pP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1,673</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2020</w:t>
            </w:r>
          </w:p>
        </w:tc>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2,285</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2,354</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2022</w:t>
            </w:r>
          </w:p>
        </w:tc>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2,424</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12,187</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23,420</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82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Amounts are for the nine months ending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March 31, 2019, the Company has not exercised its rights to license such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2018 or March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months ended March 31, 2018 or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w:t>
      </w:r>
    </w:p>
    <w:p>
      <w:pPr>
        <w:spacing w:after="0" w:line="231" w:lineRule="exact"/>
        <w:rPr>
          <w:sz w:val="20"/>
          <w:szCs w:val="20"/>
          <w:color w:val="auto"/>
        </w:rPr>
      </w:pPr>
    </w:p>
    <w:p>
      <w:pPr>
        <w:jc w:val="both"/>
        <w:ind w:firstLine="425"/>
        <w:spacing w:after="0" w:line="332"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compensation on a pretax basis. As currently established, the Company is not required to make and has not made any contributions to the 401(k) Plan.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Pro Forma 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493"/>
        <w:spacing w:after="0" w:line="268"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Three Months</w:t>
            </w:r>
          </w:p>
        </w:tc>
        <w:tc>
          <w:tcPr>
            <w:tcW w:w="1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5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5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2018</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2019</w:t>
            </w:r>
          </w:p>
        </w:tc>
        <w:tc>
          <w:tcPr>
            <w:tcW w:w="16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47,333,333</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52,500,000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10,698,963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12,381,253</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7,180,890</w:t>
            </w:r>
          </w:p>
        </w:tc>
      </w:tr>
      <w:tr>
        <w:trPr>
          <w:trHeight w:val="20"/>
        </w:trPr>
        <w:tc>
          <w:tcPr>
            <w:tcW w:w="5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59,714,586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130,379,853</w:t>
            </w:r>
          </w:p>
        </w:tc>
      </w:tr>
      <w:tr>
        <w:trPr>
          <w:trHeight w:val="20"/>
        </w:trPr>
        <w:tc>
          <w:tcPr>
            <w:tcW w:w="5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Net Loss per Share</w:t>
      </w:r>
    </w:p>
    <w:p>
      <w:pPr>
        <w:spacing w:after="0" w:line="225" w:lineRule="exact"/>
        <w:rPr>
          <w:sz w:val="20"/>
          <w:szCs w:val="20"/>
          <w:color w:val="auto"/>
        </w:rPr>
      </w:pPr>
    </w:p>
    <w:p>
      <w:pPr>
        <w:jc w:val="both"/>
        <w:ind w:firstLine="348"/>
        <w:spacing w:after="0" w:line="290" w:lineRule="auto"/>
        <w:rPr>
          <w:sz w:val="20"/>
          <w:szCs w:val="20"/>
          <w:color w:val="auto"/>
        </w:rPr>
      </w:pPr>
      <w:r>
        <w:rPr>
          <w:rFonts w:ascii="Arial" w:cs="Arial" w:eastAsia="Arial" w:hAnsi="Arial"/>
          <w:sz w:val="16"/>
          <w:szCs w:val="16"/>
          <w:color w:val="auto"/>
        </w:rPr>
        <w:t>The pro forma basic and diluted net loss per share attributable to common stockholders for the three months ended March 31, 2019 give effect to adjustments arising upon the closing of a qualified IPO. The pro forma basic and diluted weighted average common shares outstanding used in the calculation of pro forma basic and diluted net loss per share attributable to common stockholders for the three months ended March 31, 2019 give effect to the automatic conversion upon a qualified IPO of all outstanding shares of Preferred Stock into shares of Common Stock as if the conversion had occurred on the later of January 1, 2019 or the issuance date of the Preferred Stock. Accordingly, the pro forma basic and diluted net loss per share attributable to stockholders does not include the effects of the cumulative preferred stock dividends. Shares to be sold in the offering are excluded from the pro forma basic and diluted loss per share attributable to common stockholders calculations.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Pro Forma Net Loss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Company's pro forma net loss per share attributable to common stockholders (in thousands, except per share data):</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Three Months Ended</w:t>
            </w:r>
          </w:p>
        </w:tc>
      </w:t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(39,884)</w:t>
            </w: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convertible preferred stock dividends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3,041</w:t>
            </w:r>
          </w:p>
        </w:tc>
      </w:tr>
      <w:tr>
        <w:trPr>
          <w:trHeight w:val="210"/>
        </w:trPr>
        <w:tc>
          <w:tcPr>
            <w:tcW w:w="6240" w:type="dxa"/>
            <w:vAlign w:val="bottom"/>
          </w:tcPr>
          <w:p>
            <w:pPr>
              <w:ind w:left="180"/>
              <w:spacing w:after="0"/>
              <w:rPr>
                <w:sz w:val="20"/>
                <w:szCs w:val="20"/>
                <w:color w:val="auto"/>
              </w:rPr>
            </w:pPr>
            <w:r>
              <w:rPr>
                <w:rFonts w:ascii="Arial" w:cs="Arial" w:eastAsia="Arial" w:hAnsi="Arial"/>
                <w:sz w:val="18"/>
                <w:szCs w:val="18"/>
                <w:color w:val="auto"/>
              </w:rPr>
              <w:t>Pro forma net loss attributable to common stockholders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(36,843)</w:t>
            </w:r>
          </w:p>
        </w:tc>
        <w:tc>
          <w:tcPr>
            <w:tcW w:w="1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31"/>
        </w:trPr>
        <w:tc>
          <w:tcPr>
            <w:tcW w:w="62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11,497</w:t>
            </w:r>
          </w:p>
        </w:tc>
      </w:tr>
      <w:tr>
        <w:trPr>
          <w:trHeight w:val="20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Pro forma weighted average shares outstanding after giving effect to the conversion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Preferred Stock</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107,083</w:t>
            </w:r>
          </w:p>
        </w:tc>
      </w:tr>
      <w:tr>
        <w:trPr>
          <w:trHeight w:val="210"/>
        </w:trPr>
        <w:tc>
          <w:tcPr>
            <w:tcW w:w="6240" w:type="dxa"/>
            <w:vAlign w:val="bottom"/>
          </w:tcPr>
          <w:p>
            <w:pPr>
              <w:ind w:left="180"/>
              <w:spacing w:after="0"/>
              <w:rPr>
                <w:sz w:val="20"/>
                <w:szCs w:val="20"/>
                <w:color w:val="auto"/>
              </w:rPr>
            </w:pPr>
            <w:r>
              <w:rPr>
                <w:rFonts w:ascii="Arial" w:cs="Arial" w:eastAsia="Arial" w:hAnsi="Arial"/>
                <w:sz w:val="18"/>
                <w:szCs w:val="18"/>
                <w:color w:val="auto"/>
              </w:rPr>
              <w:t>Pro forma weighted average shares outstanding</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118,580</w:t>
            </w:r>
          </w:p>
        </w:tc>
        <w:tc>
          <w:tcPr>
            <w:tcW w:w="1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Pro forma basic and diluted loss per share attributable to common stockholders, basic</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31" w:lineRule="exact"/>
        <w:rPr>
          <w:sz w:val="20"/>
          <w:szCs w:val="20"/>
          <w:color w:val="auto"/>
        </w:rPr>
      </w:pPr>
    </w:p>
    <w:p>
      <w:pPr>
        <w:jc w:val="both"/>
        <w:ind w:firstLine="544"/>
        <w:spacing w:after="0" w:line="318" w:lineRule="auto"/>
        <w:rPr>
          <w:sz w:val="20"/>
          <w:szCs w:val="20"/>
          <w:color w:val="auto"/>
        </w:rPr>
      </w:pPr>
      <w:r>
        <w:rPr>
          <w:rFonts w:ascii="Arial" w:cs="Arial" w:eastAsia="Arial" w:hAnsi="Arial"/>
          <w:sz w:val="15"/>
          <w:szCs w:val="15"/>
          <w:color w:val="auto"/>
        </w:rPr>
        <w:t>During the three months ended March 31, 2018 and 2019, the Company paid fees to Third Rock Ventures, LLC ("TRV"), an affiliate of one of the Company's principal stockholders, in exchange for consulting services. The Company recorded expenses related to such fees of less than $0.1 million during each of the three months ended March 31, 2018 and 2019. As of both December 31, 2018 and March 31, 2019, there was less than $0.1 million of amounts due to TRV for such services that were included in accounts payable and accrued expenses. Additionally, consultants that provide services to the Company are employees of TRV. The Company has issued an aggregate of 996,000 shares of Common Stock to these consultants in exchange for their continuing consulting services.</w:t>
      </w:r>
    </w:p>
    <w:p>
      <w:pPr>
        <w:spacing w:after="0" w:line="154"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8"/>
          <w:szCs w:val="18"/>
          <w:color w:val="auto"/>
        </w:rPr>
        <w:t>During the three months ended March 31, 2018, the Company recorded other income of $0.4 million related to the sale of drug material to an entity affiliated with TRV.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jc w:val="both"/>
        <w:ind w:right="20" w:firstLine="474"/>
        <w:spacing w:after="0" w:line="268" w:lineRule="auto"/>
        <w:rPr>
          <w:sz w:val="20"/>
          <w:szCs w:val="20"/>
          <w:color w:val="auto"/>
        </w:rPr>
      </w:pPr>
      <w:r>
        <w:rPr>
          <w:rFonts w:ascii="Arial" w:cs="Arial" w:eastAsia="Arial" w:hAnsi="Arial"/>
          <w:sz w:val="18"/>
          <w:szCs w:val="18"/>
          <w:color w:val="auto"/>
        </w:rPr>
        <w:t>For its consolidated financial statements as of March 31, 2019 and for the three months then ended, the Company evaluated subsequent events through June 5, 2019, the date on which those consolidated financial statements were issued.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4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156210</wp:posOffset>
            </wp:positionV>
            <wp:extent cx="2838450" cy="6946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3845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MORGAN STANLEY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BofA MERRILL LYNCH</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SVB LEERINK</w:t>
      </w:r>
    </w:p>
    <w:p>
      <w:pPr>
        <w:spacing w:after="0" w:line="236"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 2019</w:t>
      </w:r>
    </w:p>
    <w:p>
      <w:pPr>
        <w:spacing w:after="0" w:line="225" w:lineRule="exact"/>
        <w:rPr>
          <w:sz w:val="20"/>
          <w:szCs w:val="20"/>
          <w:color w:val="auto"/>
        </w:rPr>
      </w:pPr>
    </w:p>
    <w:p>
      <w:pPr>
        <w:ind w:left="360"/>
        <w:spacing w:after="0"/>
        <w:tabs>
          <w:tab w:leader="none" w:pos="1760" w:val="left"/>
        </w:tabs>
        <w:rPr>
          <w:sz w:val="20"/>
          <w:szCs w:val="20"/>
          <w:color w:val="auto"/>
        </w:rPr>
      </w:pPr>
      <w:r>
        <w:rPr>
          <w:rFonts w:ascii="Arial" w:cs="Arial" w:eastAsia="Arial" w:hAnsi="Arial"/>
          <w:sz w:val="15"/>
          <w:szCs w:val="15"/>
          <w:color w:val="auto"/>
        </w:rPr>
        <w:t>Until</w:t>
      </w:r>
      <w:r>
        <w:rPr>
          <w:sz w:val="20"/>
          <w:szCs w:val="20"/>
          <w:color w:val="auto"/>
        </w:rPr>
        <w:tab/>
      </w:r>
      <w:r>
        <w:rPr>
          <w:rFonts w:ascii="Arial" w:cs="Arial" w:eastAsia="Arial" w:hAnsi="Arial"/>
          <w:sz w:val="15"/>
          <w:szCs w:val="15"/>
          <w:color w:val="auto"/>
        </w:rPr>
        <w:t>, 2019 (25 days after the date of this prospectus), all dealers that effect transactions in these securities, whether or not participating in this</w:t>
      </w:r>
    </w:p>
    <w:p>
      <w:pPr>
        <w:spacing w:after="0" w:line="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313690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jc w:val="both"/>
        <w:ind w:firstLine="406"/>
        <w:spacing w:after="0" w:line="306"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the Registrant. All amounts are estimates except the Securities and Exchange Commission, or SEC, registration fee, the Financial Industry Regulatory Authority, Inc. filing fee and the Nasdaq Global Market initial listing fee.</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10,453.50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Financial Industry Regulatory Authority, Inc. filing fee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13,437.50</w:t>
            </w:r>
          </w:p>
        </w:tc>
      </w:tr>
    </w:tbl>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Accountants' fees and expenses</w:t>
            </w: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Transfer agent's fees and expenses</w:t>
            </w: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920" w:type="dxa"/>
            <w:vAlign w:val="bottom"/>
            <w:tcBorders>
              <w:bottom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400"/>
              <w:spacing w:after="0"/>
              <w:rPr>
                <w:sz w:val="20"/>
                <w:szCs w:val="20"/>
                <w:color w:val="auto"/>
              </w:rPr>
            </w:pPr>
            <w:r>
              <w:rPr>
                <w:rFonts w:ascii="Arial" w:cs="Arial" w:eastAsia="Arial" w:hAnsi="Arial"/>
                <w:sz w:val="18"/>
                <w:szCs w:val="18"/>
                <w:color w:val="auto"/>
              </w:rPr>
              <w:t>To be filed by amendment.</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jc w:val="both"/>
        <w:ind w:firstLine="557"/>
        <w:spacing w:after="0" w:line="253" w:lineRule="auto"/>
        <w:rPr>
          <w:sz w:val="20"/>
          <w:szCs w:val="20"/>
          <w:color w:val="auto"/>
        </w:rPr>
      </w:pPr>
      <w:r>
        <w:rPr>
          <w:rFonts w:ascii="Arial" w:cs="Arial" w:eastAsia="Arial" w:hAnsi="Arial"/>
          <w:sz w:val="18"/>
          <w:szCs w:val="18"/>
          <w:color w:val="auto"/>
        </w:rPr>
        <w:t>Section 102 of the Delaware General Corporation Law, or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that will be effective upon the closing of this offering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201"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6"/>
          <w:szCs w:val="16"/>
          <w:color w:val="auto"/>
        </w:rPr>
        <w:t>Our certificate of incorporation that will be effective upon the closing of the offering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7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certificate of incorporation that will be effective upon the closing of the offering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81"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color w:val="auto"/>
        </w:rPr>
        <w:t>In addition, we intend to enter into indemnification agreements with all of our executive officers and directors prior to the completion of this offering.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97"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86" w:lineRule="exact"/>
        <w:rPr>
          <w:sz w:val="20"/>
          <w:szCs w:val="20"/>
          <w:color w:val="auto"/>
        </w:rPr>
      </w:pPr>
    </w:p>
    <w:p>
      <w:pPr>
        <w:jc w:val="both"/>
        <w:ind w:firstLine="388"/>
        <w:spacing w:after="0" w:line="332" w:lineRule="auto"/>
        <w:rPr>
          <w:sz w:val="20"/>
          <w:szCs w:val="20"/>
          <w:color w:val="auto"/>
        </w:rPr>
      </w:pPr>
      <w:r>
        <w:rPr>
          <w:rFonts w:ascii="Arial" w:cs="Arial" w:eastAsia="Arial" w:hAnsi="Arial"/>
          <w:sz w:val="16"/>
          <w:szCs w:val="16"/>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13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 such indemnification is against public policy as expressed in the Securities Act and is therefore unenforceable.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2" w:name="page263"/>
    <w:bookmarkEnd w:id="2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Set forth below is information regarding shares of our common stock, shares of our preferred stock and stock options granted by us within the past three years that were not registered under the Securities Act. Also included is the consideration, if any, received by us for such shares and options and information relating to the section of the Securities Act, or rule of the SEC, under which exemption from registration was claimed.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Issuances of Preferred Stock and Convertible Promissory Notes</w:t>
      </w:r>
    </w:p>
    <w:p>
      <w:pPr>
        <w:spacing w:after="0" w:line="225" w:lineRule="exact"/>
        <w:rPr>
          <w:sz w:val="20"/>
          <w:szCs w:val="20"/>
          <w:color w:val="auto"/>
        </w:rPr>
      </w:pPr>
    </w:p>
    <w:p>
      <w:pPr>
        <w:jc w:val="both"/>
        <w:ind w:right="20" w:firstLine="452"/>
        <w:spacing w:after="0" w:line="259" w:lineRule="auto"/>
        <w:rPr>
          <w:sz w:val="20"/>
          <w:szCs w:val="20"/>
          <w:color w:val="auto"/>
        </w:rPr>
      </w:pPr>
      <w:r>
        <w:rPr>
          <w:rFonts w:ascii="Arial" w:cs="Arial" w:eastAsia="Arial" w:hAnsi="Arial"/>
          <w:sz w:val="18"/>
          <w:szCs w:val="18"/>
          <w:color w:val="auto"/>
        </w:rPr>
        <w:t>On April 14, 2016, we issued and sold a convertible promissory note to one investor in the aggregate principal amount of $3,500,000. The note accrued interest at a rate of 6% per annum. On July 18, 2016, all principal and accrued but unpaid interest under the note was converted into shares of Series A preferred stock, at a price per share of $1.00.</w:t>
      </w:r>
    </w:p>
    <w:p>
      <w:pPr>
        <w:spacing w:after="0" w:line="194"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On July 18, 2016, we issued and sold 11,843,493 shares of our Series A preferred stock to one investor, consisting of (i) 5,156,507 shares sold for cash at a price per share of $1.00, for an aggregate purchase price of $5,156,507 and (ii) 6,686,986 shares issued upon conversion of $6,686,986 in outstanding principal and accrued but unpaid interest under our convertible promissory notes issued on October 15, 2015 and April 14, 2016, at a price per share of $1.00.</w:t>
      </w:r>
    </w:p>
    <w:p>
      <w:pPr>
        <w:spacing w:after="0" w:line="16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On November 15, 2016, we issued and sold 5,156,507 shares of our Series A preferred stock to one investor at a price per share of $1.00 in cash, for an aggregate purchase price of $5,156,507.</w:t>
      </w:r>
    </w:p>
    <w:p>
      <w:pPr>
        <w:spacing w:after="0" w:line="186" w:lineRule="exact"/>
        <w:rPr>
          <w:sz w:val="20"/>
          <w:szCs w:val="20"/>
          <w:color w:val="auto"/>
        </w:rPr>
      </w:pPr>
    </w:p>
    <w:p>
      <w:pPr>
        <w:jc w:val="both"/>
        <w:ind w:firstLine="468"/>
        <w:spacing w:after="0" w:line="268" w:lineRule="auto"/>
        <w:rPr>
          <w:sz w:val="20"/>
          <w:szCs w:val="20"/>
          <w:color w:val="auto"/>
        </w:rPr>
      </w:pPr>
      <w:r>
        <w:rPr>
          <w:rFonts w:ascii="Arial" w:cs="Arial" w:eastAsia="Arial" w:hAnsi="Arial"/>
          <w:sz w:val="18"/>
          <w:szCs w:val="18"/>
          <w:color w:val="auto"/>
        </w:rPr>
        <w:t>On February 17, 2017, we issued and sold 6,333,333 shares of our Series A preferred stock to one investor at a price per share of $1.00 in cash, for an aggregate purchase price of $6,333,333.</w:t>
      </w:r>
    </w:p>
    <w:p>
      <w:pPr>
        <w:spacing w:after="0" w:line="186" w:lineRule="exact"/>
        <w:rPr>
          <w:sz w:val="20"/>
          <w:szCs w:val="20"/>
          <w:color w:val="auto"/>
        </w:rPr>
      </w:pPr>
    </w:p>
    <w:p>
      <w:pPr>
        <w:jc w:val="both"/>
        <w:ind w:firstLine="368"/>
        <w:spacing w:after="0" w:line="268" w:lineRule="auto"/>
        <w:rPr>
          <w:sz w:val="20"/>
          <w:szCs w:val="20"/>
          <w:color w:val="auto"/>
        </w:rPr>
      </w:pPr>
      <w:r>
        <w:rPr>
          <w:rFonts w:ascii="Arial" w:cs="Arial" w:eastAsia="Arial" w:hAnsi="Arial"/>
          <w:sz w:val="18"/>
          <w:szCs w:val="18"/>
          <w:color w:val="auto"/>
        </w:rPr>
        <w:t>On April 28, 2017, we issued and sold 5,000,000 shares of our Series A preferred stock to one investor at a price per share of $1.00 in cash, for an aggregate purchase price of $5,000,000.</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May 3, 2017,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On January 4, 2018, we issued and sold 6,333,334 shares of our Series A preferred stock to two investors at a price per share of $1.00 in cash, for an aggregate purchase price of $6,333,334.</w:t>
      </w:r>
    </w:p>
    <w:p>
      <w:pPr>
        <w:spacing w:after="0" w:line="186"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On March 13, 2018,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May 9, 2018,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June 6, 2018, we issued and sold 6,333,334 shares of our Series A preferred stock to two investors at a price per share of $1.00 in cash, for an aggregate purchase price of $6,333,334.</w:t>
      </w:r>
    </w:p>
    <w:p>
      <w:pPr>
        <w:spacing w:after="0" w:line="186" w:lineRule="exact"/>
        <w:rPr>
          <w:sz w:val="20"/>
          <w:szCs w:val="20"/>
          <w:color w:val="auto"/>
        </w:rPr>
      </w:pPr>
    </w:p>
    <w:p>
      <w:pPr>
        <w:jc w:val="both"/>
        <w:ind w:firstLine="480"/>
        <w:spacing w:after="0" w:line="268" w:lineRule="auto"/>
        <w:rPr>
          <w:sz w:val="20"/>
          <w:szCs w:val="20"/>
          <w:color w:val="auto"/>
        </w:rPr>
      </w:pPr>
      <w:r>
        <w:rPr>
          <w:rFonts w:ascii="Arial" w:cs="Arial" w:eastAsia="Arial" w:hAnsi="Arial"/>
          <w:sz w:val="18"/>
          <w:szCs w:val="18"/>
          <w:color w:val="auto"/>
        </w:rPr>
        <w:t>On August 24, 2018, we issued and sold 40,000,000 shares of our Series B preferred stock to 20 investors at a price per share of $2.00 in cash, for an aggregate purchase price of $80,000,000.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8, 2019 we issued 12,500,000 shares of our Series B preferred stock to one investor in exchange for a license.</w:t>
      </w:r>
    </w:p>
    <w:p>
      <w:pPr>
        <w:spacing w:after="0" w:line="225"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3" w:name="page264"/>
    <w:bookmarkEnd w:id="2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Common Stock</w:t>
      </w:r>
    </w:p>
    <w:p>
      <w:pPr>
        <w:spacing w:after="0" w:line="225"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Between June 21, 2016 and June 21, 2019, we issued an aggregate of 18,254,818 shares of restricted common stock, for cash with purchase prices ranging from $0.001 to $0.01 per share, to employees, directors, advisors and consultants, including 12,719,818 shares issued pursuant to our 2016 Stock Incentive Plan, as amended.</w:t>
      </w:r>
    </w:p>
    <w:p>
      <w:pPr>
        <w:spacing w:after="0" w:line="194" w:lineRule="exact"/>
        <w:rPr>
          <w:sz w:val="20"/>
          <w:szCs w:val="20"/>
          <w:color w:val="auto"/>
        </w:rPr>
      </w:pPr>
    </w:p>
    <w:p>
      <w:pPr>
        <w:jc w:val="both"/>
        <w:ind w:firstLine="550"/>
        <w:spacing w:after="0" w:line="255" w:lineRule="auto"/>
        <w:rPr>
          <w:sz w:val="20"/>
          <w:szCs w:val="20"/>
          <w:color w:val="auto"/>
        </w:rPr>
      </w:pPr>
      <w:r>
        <w:rPr>
          <w:rFonts w:ascii="Arial" w:cs="Arial" w:eastAsia="Arial" w:hAnsi="Arial"/>
          <w:sz w:val="18"/>
          <w:szCs w:val="18"/>
          <w:color w:val="auto"/>
        </w:rPr>
        <w:t>The shares of common stock described in this section (b)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Stock Option Grants and Exercises</w:t>
      </w:r>
    </w:p>
    <w:p>
      <w:pPr>
        <w:spacing w:after="0" w:line="225" w:lineRule="exact"/>
        <w:rPr>
          <w:sz w:val="20"/>
          <w:szCs w:val="20"/>
          <w:color w:val="auto"/>
        </w:rPr>
      </w:pPr>
    </w:p>
    <w:p>
      <w:pPr>
        <w:jc w:val="both"/>
        <w:ind w:firstLine="368"/>
        <w:spacing w:after="0" w:line="256" w:lineRule="auto"/>
        <w:rPr>
          <w:sz w:val="20"/>
          <w:szCs w:val="20"/>
          <w:color w:val="auto"/>
        </w:rPr>
      </w:pPr>
      <w:r>
        <w:rPr>
          <w:rFonts w:ascii="Arial" w:cs="Arial" w:eastAsia="Arial" w:hAnsi="Arial"/>
          <w:sz w:val="18"/>
          <w:szCs w:val="18"/>
          <w:color w:val="auto"/>
        </w:rPr>
        <w:t>Between June 21, 2016 and June 21, 2019, we granted options to purchase an aggregate of 11,356,963 shares of common stock, with exercise prices ranging from $0.69 to $1.58 per share, to our employees, directors, advisors and consultants pursuant to our 2016 Stock Incentive Plan. Between June 21, 2016 and June 21, 2019, we issued 197,448 shares of our common stock upon the exercise of stock options outstanding under our 2016 Stock Incentive Plan for aggregate consideration of $220,315.</w:t>
      </w:r>
    </w:p>
    <w:p>
      <w:pPr>
        <w:spacing w:after="0" w:line="197"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stock options and the shares of common stock issued upon the exercise of stock options described in this section (c)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4" w:name="page265"/>
    <w:bookmarkEnd w:id="2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80" w:type="dxa"/>
            <w:vAlign w:val="bottom"/>
            <w:gridSpan w:val="9"/>
          </w:tcPr>
          <w:p>
            <w:pPr>
              <w:ind w:left="760"/>
              <w:spacing w:after="0"/>
              <w:rPr>
                <w:sz w:val="20"/>
                <w:szCs w:val="20"/>
                <w:color w:val="auto"/>
              </w:rPr>
            </w:pPr>
            <w:r>
              <w:rPr>
                <w:rFonts w:ascii="Arial" w:cs="Arial" w:eastAsia="Arial" w:hAnsi="Arial"/>
                <w:sz w:val="14"/>
                <w:szCs w:val="14"/>
                <w:b w:val="1"/>
                <w:bCs w:val="1"/>
                <w:color w:val="auto"/>
              </w:rPr>
              <w:t>Description of Exhibit</w:t>
            </w:r>
          </w:p>
        </w:tc>
      </w:tr>
      <w:tr>
        <w:trPr>
          <w:trHeight w:val="169"/>
        </w:trPr>
        <w:tc>
          <w:tcPr>
            <w:tcW w:w="6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360" w:type="dxa"/>
            <w:vAlign w:val="bottom"/>
            <w:tcBorders>
              <w:top w:val="single" w:sz="8" w:color="auto"/>
              <w:bottom w:val="single" w:sz="8" w:color="0000EE"/>
            </w:tcBorders>
            <w:gridSpan w:val="3"/>
          </w:tcPr>
          <w:p>
            <w:pPr>
              <w:spacing w:after="0" w:line="170" w:lineRule="exact"/>
              <w:rPr>
                <w:sz w:val="20"/>
                <w:szCs w:val="20"/>
                <w:color w:val="auto"/>
              </w:rPr>
            </w:pPr>
            <w:r>
              <w:rPr>
                <w:rFonts w:ascii="Arial" w:cs="Arial" w:eastAsia="Arial" w:hAnsi="Arial"/>
                <w:sz w:val="18"/>
                <w:szCs w:val="18"/>
                <w:color w:val="0000EE"/>
                <w:w w:val="89"/>
              </w:rPr>
              <w:t>Form of Underwriting Agreement</w:t>
            </w:r>
          </w:p>
        </w:tc>
        <w:tc>
          <w:tcPr>
            <w:tcW w:w="5960" w:type="dxa"/>
            <w:vAlign w:val="bottom"/>
            <w:tcBorders>
              <w:top w:val="single" w:sz="8" w:color="auto"/>
            </w:tcBorders>
            <w:gridSpan w:val="10"/>
          </w:tcPr>
          <w:p>
            <w:pPr>
              <w:spacing w:after="0"/>
              <w:rPr>
                <w:sz w:val="14"/>
                <w:szCs w:val="14"/>
                <w:color w:val="auto"/>
              </w:rPr>
            </w:pPr>
          </w:p>
        </w:tc>
      </w:tr>
      <w:tr>
        <w:trPr>
          <w:trHeight w:val="412"/>
        </w:trPr>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8340" w:type="dxa"/>
            <w:vAlign w:val="bottom"/>
            <w:gridSpan w:val="14"/>
          </w:tcPr>
          <w:p>
            <w:pPr>
              <w:spacing w:after="0"/>
              <w:rPr>
                <w:sz w:val="20"/>
                <w:szCs w:val="20"/>
                <w:color w:val="auto"/>
              </w:rPr>
            </w:pPr>
            <w:r>
              <w:rPr>
                <w:rFonts w:ascii="Arial" w:cs="Arial" w:eastAsia="Arial" w:hAnsi="Arial"/>
                <w:sz w:val="18"/>
                <w:szCs w:val="18"/>
                <w:color w:val="0000EE"/>
              </w:rPr>
              <w:t>Amended and Restated Certificate of Incorporation, as amended, of the Registrant</w:t>
            </w:r>
          </w:p>
        </w:tc>
      </w:tr>
      <w:tr>
        <w:trPr>
          <w:trHeight w:val="412"/>
        </w:trPr>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8"/>
              </w:rPr>
              <w:t>Bylaws of the Registrant</w:t>
            </w:r>
          </w:p>
        </w:tc>
        <w:tc>
          <w:tcPr>
            <w:tcW w:w="4020" w:type="dxa"/>
            <w:vAlign w:val="bottom"/>
            <w:tcBorders>
              <w:top w:val="single" w:sz="8" w:color="0000EE"/>
            </w:tcBorders>
            <w:gridSpan w:val="6"/>
          </w:tcPr>
          <w:p>
            <w:pPr>
              <w:spacing w:after="0"/>
              <w:rPr>
                <w:sz w:val="24"/>
                <w:szCs w:val="24"/>
                <w:color w:val="auto"/>
              </w:rPr>
            </w:pPr>
          </w:p>
        </w:tc>
        <w:tc>
          <w:tcPr>
            <w:tcW w:w="2580" w:type="dxa"/>
            <w:vAlign w:val="bottom"/>
            <w:gridSpan w:val="5"/>
          </w:tcPr>
          <w:p>
            <w:pPr>
              <w:spacing w:after="0"/>
              <w:rPr>
                <w:sz w:val="24"/>
                <w:szCs w:val="24"/>
                <w:color w:val="auto"/>
              </w:rPr>
            </w:pPr>
          </w:p>
        </w:tc>
      </w:tr>
      <w:tr>
        <w:trPr>
          <w:trHeight w:val="412"/>
        </w:trPr>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78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Form of Restated Certificate of Incorporation of the Registrant (to be effective upon the closing of this offering)</w:t>
            </w:r>
          </w:p>
        </w:tc>
        <w:tc>
          <w:tcPr>
            <w:tcW w:w="480" w:type="dxa"/>
            <w:vAlign w:val="bottom"/>
            <w:gridSpan w:val="2"/>
          </w:tcPr>
          <w:p>
            <w:pPr>
              <w:spacing w:after="0"/>
              <w:rPr>
                <w:sz w:val="24"/>
                <w:szCs w:val="24"/>
                <w:color w:val="auto"/>
              </w:rPr>
            </w:pPr>
          </w:p>
        </w:tc>
      </w:tr>
      <w:tr>
        <w:trPr>
          <w:trHeight w:val="412"/>
        </w:trPr>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8340" w:type="dxa"/>
            <w:vAlign w:val="bottom"/>
            <w:gridSpan w:val="14"/>
          </w:tcPr>
          <w:p>
            <w:pPr>
              <w:spacing w:after="0"/>
              <w:rPr>
                <w:sz w:val="20"/>
                <w:szCs w:val="20"/>
                <w:color w:val="auto"/>
              </w:rPr>
            </w:pPr>
            <w:r>
              <w:rPr>
                <w:rFonts w:ascii="Arial" w:cs="Arial" w:eastAsia="Arial" w:hAnsi="Arial"/>
                <w:sz w:val="18"/>
                <w:szCs w:val="18"/>
                <w:color w:val="0000EE"/>
                <w:w w:val="99"/>
              </w:rPr>
              <w:t>Form of Amended and Restated Bylaws of the Registrant (to be effective upon the closing of this offering)</w:t>
            </w:r>
          </w:p>
        </w:tc>
      </w:tr>
      <w:tr>
        <w:trPr>
          <w:trHeight w:val="412"/>
        </w:trPr>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87"/>
              </w:rPr>
              <w:t>Specimen Stock Certificate evidencing the shares of common stock</w:t>
            </w:r>
          </w:p>
        </w:tc>
        <w:tc>
          <w:tcPr>
            <w:tcW w:w="2740" w:type="dxa"/>
            <w:vAlign w:val="bottom"/>
            <w:tcBorders>
              <w:top w:val="single" w:sz="8" w:color="0000EE"/>
            </w:tcBorders>
            <w:gridSpan w:val="5"/>
          </w:tcPr>
          <w:p>
            <w:pPr>
              <w:spacing w:after="0"/>
              <w:rPr>
                <w:sz w:val="24"/>
                <w:szCs w:val="24"/>
                <w:color w:val="auto"/>
              </w:rPr>
            </w:pPr>
          </w:p>
        </w:tc>
        <w:tc>
          <w:tcPr>
            <w:tcW w:w="860" w:type="dxa"/>
            <w:vAlign w:val="bottom"/>
            <w:gridSpan w:val="3"/>
          </w:tcPr>
          <w:p>
            <w:pPr>
              <w:spacing w:after="0"/>
              <w:rPr>
                <w:sz w:val="24"/>
                <w:szCs w:val="24"/>
                <w:color w:val="auto"/>
              </w:rPr>
            </w:pPr>
          </w:p>
        </w:tc>
      </w:tr>
      <w:tr>
        <w:trPr>
          <w:trHeight w:val="451"/>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340" w:type="dxa"/>
            <w:vAlign w:val="bottom"/>
            <w:gridSpan w:val="14"/>
          </w:tcPr>
          <w:p>
            <w:pPr>
              <w:spacing w:after="0"/>
              <w:rPr>
                <w:sz w:val="20"/>
                <w:szCs w:val="20"/>
                <w:color w:val="auto"/>
              </w:rPr>
            </w:pPr>
            <w:r>
              <w:rPr>
                <w:rFonts w:ascii="Arial" w:cs="Arial" w:eastAsia="Arial" w:hAnsi="Arial"/>
                <w:sz w:val="18"/>
                <w:szCs w:val="18"/>
                <w:color w:val="auto"/>
              </w:rPr>
              <w:t>Opinion of Wilmer Cutler Pickering Hale and Dorr LLP</w:t>
            </w:r>
          </w:p>
        </w:tc>
      </w:tr>
      <w:tr>
        <w:trPr>
          <w:trHeight w:val="394"/>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8340" w:type="dxa"/>
            <w:vAlign w:val="bottom"/>
            <w:gridSpan w:val="14"/>
          </w:tcPr>
          <w:p>
            <w:pPr>
              <w:spacing w:after="0"/>
              <w:rPr>
                <w:sz w:val="20"/>
                <w:szCs w:val="20"/>
                <w:color w:val="auto"/>
              </w:rPr>
            </w:pPr>
            <w:r>
              <w:rPr>
                <w:rFonts w:ascii="Arial" w:cs="Arial" w:eastAsia="Arial" w:hAnsi="Arial"/>
                <w:sz w:val="18"/>
                <w:szCs w:val="18"/>
                <w:color w:val="0000EE"/>
                <w:w w:val="89"/>
              </w:rPr>
              <w:t>Amended and Restated Investors' Rights Agreement, dated as of August 24, 2018, by and among the Registrant and</w:t>
            </w: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the other parties thereto</w:t>
            </w:r>
          </w:p>
        </w:tc>
        <w:tc>
          <w:tcPr>
            <w:tcW w:w="6460" w:type="dxa"/>
            <w:vAlign w:val="bottom"/>
            <w:tcBorders>
              <w:top w:val="single" w:sz="8" w:color="0000EE"/>
            </w:tcBorders>
            <w:gridSpan w:val="11"/>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27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6"/>
              </w:rPr>
              <w:t>2016 Stock Incentive Plan, as amended</w:t>
            </w:r>
          </w:p>
        </w:tc>
        <w:tc>
          <w:tcPr>
            <w:tcW w:w="5580" w:type="dxa"/>
            <w:vAlign w:val="bottom"/>
            <w:gridSpan w:val="9"/>
          </w:tcPr>
          <w:p>
            <w:pPr>
              <w:spacing w:after="0"/>
              <w:rPr>
                <w:sz w:val="24"/>
                <w:szCs w:val="24"/>
                <w:color w:val="auto"/>
              </w:rPr>
            </w:pPr>
          </w:p>
        </w:tc>
      </w:tr>
      <w:tr>
        <w:trPr>
          <w:trHeight w:val="412"/>
        </w:trPr>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56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Form of Incentive Stock Option Agreement under the 2016 Stock Incentive Plan</w:t>
            </w:r>
          </w:p>
        </w:tc>
        <w:tc>
          <w:tcPr>
            <w:tcW w:w="2680" w:type="dxa"/>
            <w:vAlign w:val="bottom"/>
            <w:gridSpan w:val="6"/>
          </w:tcPr>
          <w:p>
            <w:pPr>
              <w:spacing w:after="0"/>
              <w:rPr>
                <w:sz w:val="24"/>
                <w:szCs w:val="24"/>
                <w:color w:val="auto"/>
              </w:rPr>
            </w:pPr>
          </w:p>
        </w:tc>
      </w:tr>
      <w:tr>
        <w:trPr>
          <w:trHeight w:val="412"/>
        </w:trPr>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8340" w:type="dxa"/>
            <w:vAlign w:val="bottom"/>
            <w:gridSpan w:val="14"/>
          </w:tcPr>
          <w:p>
            <w:pPr>
              <w:spacing w:after="0"/>
              <w:rPr>
                <w:sz w:val="20"/>
                <w:szCs w:val="20"/>
                <w:color w:val="auto"/>
              </w:rPr>
            </w:pPr>
            <w:r>
              <w:rPr>
                <w:rFonts w:ascii="Arial" w:cs="Arial" w:eastAsia="Arial" w:hAnsi="Arial"/>
                <w:sz w:val="18"/>
                <w:szCs w:val="18"/>
                <w:color w:val="0000EE"/>
              </w:rPr>
              <w:t>Form of Non-Statutory Stock Option Agreement under the 2016 Stock Incentive Plan</w:t>
            </w:r>
          </w:p>
        </w:tc>
      </w:tr>
      <w:tr>
        <w:trPr>
          <w:trHeight w:val="412"/>
        </w:trPr>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60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Form of Restricted Stock Agreement under the 2016 Stock Incentive Plan</w:t>
            </w:r>
          </w:p>
        </w:tc>
        <w:tc>
          <w:tcPr>
            <w:tcW w:w="2340" w:type="dxa"/>
            <w:vAlign w:val="bottom"/>
            <w:gridSpan w:val="4"/>
          </w:tcPr>
          <w:p>
            <w:pPr>
              <w:spacing w:after="0"/>
              <w:rPr>
                <w:sz w:val="24"/>
                <w:szCs w:val="24"/>
                <w:color w:val="auto"/>
              </w:rPr>
            </w:pPr>
          </w:p>
        </w:tc>
      </w:tr>
      <w:tr>
        <w:trPr>
          <w:trHeight w:val="451"/>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51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2019 Stock Incentive Plan</w:t>
            </w:r>
          </w:p>
        </w:tc>
        <w:tc>
          <w:tcPr>
            <w:tcW w:w="3160" w:type="dxa"/>
            <w:vAlign w:val="bottom"/>
            <w:gridSpan w:val="7"/>
          </w:tcPr>
          <w:p>
            <w:pPr>
              <w:spacing w:after="0"/>
              <w:rPr>
                <w:sz w:val="24"/>
                <w:szCs w:val="24"/>
                <w:color w:val="auto"/>
              </w:rPr>
            </w:pPr>
          </w:p>
        </w:tc>
      </w:tr>
      <w:tr>
        <w:trPr>
          <w:trHeight w:val="432"/>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340" w:type="dxa"/>
            <w:vAlign w:val="bottom"/>
            <w:gridSpan w:val="14"/>
          </w:tcPr>
          <w:p>
            <w:pPr>
              <w:spacing w:after="0"/>
              <w:rPr>
                <w:sz w:val="20"/>
                <w:szCs w:val="20"/>
                <w:color w:val="auto"/>
              </w:rPr>
            </w:pPr>
            <w:r>
              <w:rPr>
                <w:rFonts w:ascii="Arial" w:cs="Arial" w:eastAsia="Arial" w:hAnsi="Arial"/>
                <w:sz w:val="18"/>
                <w:szCs w:val="18"/>
                <w:color w:val="auto"/>
              </w:rPr>
              <w:t>Form of Stock Option Agreement under the 2019 Stock Incentive Plan</w:t>
            </w:r>
          </w:p>
        </w:tc>
      </w:tr>
      <w:tr>
        <w:trPr>
          <w:trHeight w:val="432"/>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340" w:type="dxa"/>
            <w:vAlign w:val="bottom"/>
            <w:gridSpan w:val="14"/>
          </w:tcPr>
          <w:p>
            <w:pPr>
              <w:spacing w:after="0"/>
              <w:rPr>
                <w:sz w:val="20"/>
                <w:szCs w:val="20"/>
                <w:color w:val="auto"/>
              </w:rPr>
            </w:pPr>
            <w:r>
              <w:rPr>
                <w:rFonts w:ascii="Arial" w:cs="Arial" w:eastAsia="Arial" w:hAnsi="Arial"/>
                <w:sz w:val="18"/>
                <w:szCs w:val="18"/>
                <w:color w:val="auto"/>
              </w:rPr>
              <w:t>2019 Employee Stock Purchase Plan</w:t>
            </w:r>
          </w:p>
        </w:tc>
      </w:tr>
      <w:tr>
        <w:trPr>
          <w:trHeight w:val="432"/>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340" w:type="dxa"/>
            <w:vAlign w:val="bottom"/>
            <w:gridSpan w:val="14"/>
          </w:tcPr>
          <w:p>
            <w:pPr>
              <w:spacing w:after="0"/>
              <w:rPr>
                <w:sz w:val="20"/>
                <w:szCs w:val="20"/>
                <w:color w:val="auto"/>
              </w:rPr>
            </w:pPr>
            <w:r>
              <w:rPr>
                <w:rFonts w:ascii="Arial" w:cs="Arial" w:eastAsia="Arial" w:hAnsi="Arial"/>
                <w:sz w:val="18"/>
                <w:szCs w:val="18"/>
                <w:color w:val="auto"/>
              </w:rPr>
              <w:t>Summary of Non-Employee Director Compensation Program</w:t>
            </w:r>
          </w:p>
        </w:tc>
      </w:tr>
    </w:tbl>
    <w:p>
      <w:pPr>
        <w:spacing w:after="0" w:line="210" w:lineRule="exact"/>
        <w:rPr>
          <w:sz w:val="20"/>
          <w:szCs w:val="20"/>
          <w:color w:val="auto"/>
        </w:rPr>
      </w:pPr>
    </w:p>
    <w:p>
      <w:pPr>
        <w:ind w:left="1940" w:right="2060" w:hanging="556"/>
        <w:spacing w:after="0" w:line="234" w:lineRule="auto"/>
        <w:rPr>
          <w:sz w:val="20"/>
          <w:szCs w:val="20"/>
          <w:color w:val="auto"/>
        </w:rPr>
      </w:pPr>
      <w:r>
        <w:rPr>
          <w:rFonts w:ascii="Arial" w:cs="Arial" w:eastAsia="Arial" w:hAnsi="Arial"/>
          <w:sz w:val="15"/>
          <w:szCs w:val="15"/>
          <w:color w:val="auto"/>
        </w:rPr>
        <w:t xml:space="preserve">10.10 </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Right of Reference and License Agreement, dated as of February 8, 2019, by and among the Registrant,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GlaxoSmithKline Intellectual Property (No. 2) Limited, GlaxoSmithKline LLC and Glaxo Group Limited</w:t>
      </w:r>
    </w:p>
    <w:p>
      <w:pPr>
        <w:spacing w:after="0" w:line="211" w:lineRule="exact"/>
        <w:rPr>
          <w:sz w:val="20"/>
          <w:szCs w:val="20"/>
          <w:color w:val="auto"/>
        </w:rPr>
      </w:pPr>
    </w:p>
    <w:p>
      <w:pPr>
        <w:ind w:left="1940" w:right="1460" w:hanging="550"/>
        <w:spacing w:after="0" w:line="268" w:lineRule="auto"/>
        <w:tabs>
          <w:tab w:leader="none" w:pos="19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u w:val="single" w:color="auto"/>
          <w:color w:val="0000EE"/>
        </w:rPr>
        <w:t>Lease for 26 Landsdowne Street, dated November 22, 2017, by and between the UP 26 Landsdowne, LLC and the Registrant</w:t>
      </w:r>
    </w:p>
    <w:p>
      <w:pPr>
        <w:spacing w:after="0" w:line="186"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u w:val="single" w:color="auto"/>
          <w:color w:val="0000EE"/>
        </w:rPr>
        <w:t>Offer of Employment, dated June 13, 2016, by and between the Registrant and Robert Gould</w:t>
      </w:r>
    </w:p>
    <w:p>
      <w:pPr>
        <w:spacing w:after="0" w:line="225"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u w:val="single" w:color="auto"/>
          <w:color w:val="0000EE"/>
        </w:rPr>
        <w:t>Offer of Employment, dated December 6, 2018, by and between the Registrant and Bryan Stuart</w:t>
      </w:r>
    </w:p>
    <w:p>
      <w:pPr>
        <w:spacing w:after="0" w:line="225"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u w:val="single" w:color="auto"/>
          <w:color w:val="0000EE"/>
        </w:rPr>
        <w:t>Offer of Employment, dated August 10, 2016, by and between the Registrant and Diego Cadavid</w:t>
      </w:r>
    </w:p>
    <w:p>
      <w:pPr>
        <w:spacing w:after="0" w:line="225"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u w:val="single" w:color="auto"/>
          <w:color w:val="0000EE"/>
        </w:rPr>
        <w:t>Form of Indemnification Agreement between the Registrant and each of its Executive Officers and Directors</w:t>
      </w:r>
    </w:p>
    <w:p>
      <w:pPr>
        <w:spacing w:after="0" w:line="225"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u w:val="single" w:color="auto"/>
          <w:color w:val="0000EE"/>
        </w:rPr>
        <w:t>Subsidiary of the Registrant</w:t>
      </w:r>
    </w:p>
    <w:p>
      <w:pPr>
        <w:spacing w:after="0" w:line="225"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Ernst &amp; Young LLP, independent registered public accounting firm</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23.2* Consent of Wilmer Cutler Pickering Hale and Dorr LLP (included in Exhibit 5.1)</w:t>
      </w:r>
    </w:p>
    <w:p>
      <w:pPr>
        <w:spacing w:after="0" w:line="225" w:lineRule="exact"/>
        <w:rPr>
          <w:sz w:val="20"/>
          <w:szCs w:val="20"/>
          <w:color w:val="auto"/>
        </w:rPr>
      </w:pPr>
    </w:p>
    <w:p>
      <w:pPr>
        <w:ind w:left="1460"/>
        <w:spacing w:after="0"/>
        <w:tabs>
          <w:tab w:leader="none" w:pos="1920" w:val="left"/>
        </w:tabs>
        <w:rPr>
          <w:rFonts w:ascii="Arial" w:cs="Arial" w:eastAsia="Arial" w:hAnsi="Arial"/>
          <w:sz w:val="15"/>
          <w:szCs w:val="15"/>
          <w:u w:val="single" w:color="auto"/>
          <w:color w:val="0000EE"/>
        </w:rPr>
      </w:pPr>
      <w:r>
        <w:rPr>
          <w:rFonts w:ascii="Arial" w:cs="Arial" w:eastAsia="Arial" w:hAnsi="Arial"/>
          <w:sz w:val="18"/>
          <w:szCs w:val="18"/>
          <w:color w:val="auto"/>
        </w:rPr>
        <w:t>24.1</w:t>
      </w:r>
      <w:r>
        <w:rPr>
          <w:sz w:val="20"/>
          <w:szCs w:val="20"/>
          <w:color w:val="auto"/>
        </w:rPr>
        <w:tab/>
      </w:r>
      <w:hyperlink w:anchor="page267">
        <w:r>
          <w:rPr>
            <w:rFonts w:ascii="Arial" w:cs="Arial" w:eastAsia="Arial" w:hAnsi="Arial"/>
            <w:sz w:val="15"/>
            <w:szCs w:val="15"/>
            <w:u w:val="single" w:color="auto"/>
            <w:color w:val="0000EE"/>
          </w:rPr>
          <w:t>Power of Attorney (included on signature page)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5918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54" w:lineRule="exact"/>
        <w:rPr>
          <w:sz w:val="20"/>
          <w:szCs w:val="20"/>
          <w:color w:val="auto"/>
        </w:rPr>
      </w:pPr>
    </w:p>
    <w:p>
      <w:pPr>
        <w:ind w:left="1680" w:hanging="531"/>
        <w:spacing w:after="0"/>
        <w:tabs>
          <w:tab w:leader="none" w:pos="1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9" w:lineRule="exact"/>
        <w:rPr>
          <w:sz w:val="20"/>
          <w:szCs w:val="20"/>
          <w:color w:val="auto"/>
        </w:rPr>
      </w:pPr>
    </w:p>
    <w:p>
      <w:pPr>
        <w:ind w:left="1680" w:hanging="531"/>
        <w:spacing w:after="0" w:line="268" w:lineRule="auto"/>
        <w:tabs>
          <w:tab w:leader="none" w:pos="1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would likely cause competitive harm to the Registrant if disclosed.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5" w:name="page266"/>
    <w:bookmarkEnd w:id="2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jc w:val="both"/>
        <w:ind w:firstLine="415"/>
        <w:spacing w:after="0" w:line="290" w:lineRule="auto"/>
        <w:tabs>
          <w:tab w:leader="none" w:pos="75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2"/>
          <w:numId w:val="12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6" w:name="page267"/>
    <w:bookmarkEnd w:id="2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387"/>
        <w:spacing w:after="0" w:line="300"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Cambridge, Commonwealth of Massachusetts, on this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of June, 2019.</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FULCRUM THERAPEUTICS, INC.</w:t>
      </w:r>
    </w:p>
    <w:p>
      <w:pPr>
        <w:spacing w:after="0" w:line="258" w:lineRule="exact"/>
        <w:rPr>
          <w:sz w:val="20"/>
          <w:szCs w:val="20"/>
          <w:color w:val="auto"/>
        </w:rPr>
      </w:pPr>
    </w:p>
    <w:p>
      <w:pPr>
        <w:ind w:left="570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Robert J. Gould, Ph.D.</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31" w:lineRule="exact"/>
        <w:rPr>
          <w:sz w:val="20"/>
          <w:szCs w:val="20"/>
          <w:color w:val="auto"/>
        </w:rPr>
      </w:pPr>
    </w:p>
    <w:p>
      <w:pPr>
        <w:jc w:val="both"/>
        <w:ind w:firstLine="352"/>
        <w:spacing w:after="0" w:line="289" w:lineRule="auto"/>
        <w:rPr>
          <w:sz w:val="20"/>
          <w:szCs w:val="20"/>
          <w:color w:val="auto"/>
        </w:rPr>
      </w:pPr>
      <w:r>
        <w:rPr>
          <w:rFonts w:ascii="Arial" w:cs="Arial" w:eastAsia="Arial" w:hAnsi="Arial"/>
          <w:sz w:val="16"/>
          <w:szCs w:val="16"/>
          <w:color w:val="auto"/>
        </w:rPr>
        <w:t>We, the undersigned officers and directors of Fulcrum Therapeutics, Inc., hereby severally constitute and appoint Robert J. Gould and Bryan Stuart,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any other registration statement for the same offering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his or her substitute or substitutes, may lawfully do or cause to be done by virtue hereof.</w:t>
      </w:r>
    </w:p>
    <w:p>
      <w:pPr>
        <w:spacing w:after="0" w:line="172" w:lineRule="exact"/>
        <w:rPr>
          <w:sz w:val="20"/>
          <w:szCs w:val="20"/>
          <w:color w:val="auto"/>
        </w:rPr>
      </w:pPr>
    </w:p>
    <w:p>
      <w:pPr>
        <w:jc w:val="both"/>
        <w:ind w:right="20" w:firstLine="36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82"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ROBERT J. GOULD</w:t>
            </w:r>
          </w:p>
        </w:tc>
        <w:tc>
          <w:tcPr>
            <w:tcW w:w="3880" w:type="dxa"/>
            <w:vAlign w:val="bottom"/>
            <w:vMerge w:val="restart"/>
          </w:tcPr>
          <w:p>
            <w:pPr>
              <w:ind w:left="160"/>
              <w:spacing w:after="0"/>
              <w:rPr>
                <w:sz w:val="20"/>
                <w:szCs w:val="20"/>
                <w:color w:val="auto"/>
              </w:rPr>
            </w:pPr>
            <w:r>
              <w:rPr>
                <w:rFonts w:ascii="Arial" w:cs="Arial" w:eastAsia="Arial" w:hAnsi="Arial"/>
                <w:sz w:val="18"/>
                <w:szCs w:val="18"/>
                <w:color w:val="auto"/>
                <w:w w:val="99"/>
              </w:rPr>
              <w:t>President and Chief Executive Officer, Director</w:t>
            </w:r>
          </w:p>
        </w:tc>
        <w:tc>
          <w:tcPr>
            <w:tcW w:w="2980" w:type="dxa"/>
            <w:vAlign w:val="bottom"/>
            <w:vMerge w:val="restart"/>
          </w:tcPr>
          <w:p>
            <w:pPr>
              <w:ind w:left="360"/>
              <w:spacing w:after="0"/>
              <w:rPr>
                <w:sz w:val="20"/>
                <w:szCs w:val="20"/>
                <w:color w:val="auto"/>
              </w:rPr>
            </w:pPr>
            <w:r>
              <w:rPr>
                <w:rFonts w:ascii="Arial" w:cs="Arial" w:eastAsia="Arial" w:hAnsi="Arial"/>
                <w:sz w:val="18"/>
                <w:szCs w:val="18"/>
                <w:color w:val="auto"/>
              </w:rPr>
              <w:t>June 21, 2019</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880" w:type="dxa"/>
            <w:vAlign w:val="bottom"/>
            <w:vMerge w:val="continue"/>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Robert J. Gould, Ph.D.</w:t>
            </w:r>
          </w:p>
        </w:tc>
        <w:tc>
          <w:tcPr>
            <w:tcW w:w="38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(Principal Executive Officer)</w:t>
            </w: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3880" w:type="dxa"/>
            <w:vAlign w:val="bottom"/>
            <w:vMerge w:val="continue"/>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8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BRYAN STUART</w:t>
            </w:r>
          </w:p>
        </w:tc>
        <w:tc>
          <w:tcPr>
            <w:tcW w:w="3880" w:type="dxa"/>
            <w:vAlign w:val="bottom"/>
            <w:vMerge w:val="restart"/>
          </w:tcPr>
          <w:p>
            <w:pPr>
              <w:ind w:left="160"/>
              <w:spacing w:after="0"/>
              <w:rPr>
                <w:sz w:val="20"/>
                <w:szCs w:val="20"/>
                <w:color w:val="auto"/>
              </w:rPr>
            </w:pPr>
            <w:r>
              <w:rPr>
                <w:rFonts w:ascii="Arial" w:cs="Arial" w:eastAsia="Arial" w:hAnsi="Arial"/>
                <w:sz w:val="18"/>
                <w:szCs w:val="18"/>
                <w:color w:val="auto"/>
              </w:rPr>
              <w:t>Chief Operating Officer (Principal Financial</w:t>
            </w:r>
          </w:p>
        </w:tc>
        <w:tc>
          <w:tcPr>
            <w:tcW w:w="2980" w:type="dxa"/>
            <w:vAlign w:val="bottom"/>
            <w:vMerge w:val="restart"/>
          </w:tcPr>
          <w:p>
            <w:pPr>
              <w:ind w:left="360"/>
              <w:spacing w:after="0"/>
              <w:rPr>
                <w:sz w:val="20"/>
                <w:szCs w:val="20"/>
                <w:color w:val="auto"/>
              </w:rPr>
            </w:pPr>
            <w:r>
              <w:rPr>
                <w:rFonts w:ascii="Arial" w:cs="Arial" w:eastAsia="Arial" w:hAnsi="Arial"/>
                <w:sz w:val="18"/>
                <w:szCs w:val="18"/>
                <w:color w:val="auto"/>
              </w:rPr>
              <w:t>June 21, 2019</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880" w:type="dxa"/>
            <w:vAlign w:val="bottom"/>
            <w:vMerge w:val="continue"/>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Bryan Stuart</w:t>
            </w:r>
          </w:p>
        </w:tc>
        <w:tc>
          <w:tcPr>
            <w:tcW w:w="38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Officer)</w:t>
            </w: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3880" w:type="dxa"/>
            <w:vAlign w:val="bottom"/>
            <w:vMerge w:val="continue"/>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8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PETER THOMSON</w:t>
            </w:r>
          </w:p>
        </w:tc>
        <w:tc>
          <w:tcPr>
            <w:tcW w:w="3880" w:type="dxa"/>
            <w:vAlign w:val="bottom"/>
            <w:vMerge w:val="restart"/>
          </w:tcPr>
          <w:p>
            <w:pPr>
              <w:ind w:left="160"/>
              <w:spacing w:after="0"/>
              <w:rPr>
                <w:sz w:val="20"/>
                <w:szCs w:val="20"/>
                <w:color w:val="auto"/>
              </w:rPr>
            </w:pPr>
            <w:r>
              <w:rPr>
                <w:rFonts w:ascii="Arial" w:cs="Arial" w:eastAsia="Arial" w:hAnsi="Arial"/>
                <w:sz w:val="18"/>
                <w:szCs w:val="18"/>
                <w:color w:val="auto"/>
              </w:rPr>
              <w:t>Vice President, Finance &amp; Accounting</w:t>
            </w:r>
          </w:p>
        </w:tc>
        <w:tc>
          <w:tcPr>
            <w:tcW w:w="2980" w:type="dxa"/>
            <w:vAlign w:val="bottom"/>
            <w:vMerge w:val="restart"/>
          </w:tcPr>
          <w:p>
            <w:pPr>
              <w:ind w:left="360"/>
              <w:spacing w:after="0"/>
              <w:rPr>
                <w:sz w:val="20"/>
                <w:szCs w:val="20"/>
                <w:color w:val="auto"/>
              </w:rPr>
            </w:pPr>
            <w:r>
              <w:rPr>
                <w:rFonts w:ascii="Arial" w:cs="Arial" w:eastAsia="Arial" w:hAnsi="Arial"/>
                <w:sz w:val="18"/>
                <w:szCs w:val="18"/>
                <w:color w:val="auto"/>
              </w:rPr>
              <w:t>June 21, 2019</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880" w:type="dxa"/>
            <w:vAlign w:val="bottom"/>
            <w:vMerge w:val="continue"/>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Peter Thomson</w:t>
            </w:r>
          </w:p>
        </w:tc>
        <w:tc>
          <w:tcPr>
            <w:tcW w:w="38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(Principal Accounting Officer)</w:t>
            </w: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3880" w:type="dxa"/>
            <w:vAlign w:val="bottom"/>
            <w:vMerge w:val="continue"/>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8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9"/>
              </w:rPr>
              <w:t>/s/ MARK LEVIN</w:t>
            </w:r>
          </w:p>
        </w:tc>
        <w:tc>
          <w:tcPr>
            <w:tcW w:w="3880" w:type="dxa"/>
            <w:vAlign w:val="bottom"/>
            <w:vMerge w:val="restart"/>
          </w:tcPr>
          <w:p>
            <w:pPr>
              <w:ind w:left="160"/>
              <w:spacing w:after="0"/>
              <w:rPr>
                <w:sz w:val="20"/>
                <w:szCs w:val="20"/>
                <w:color w:val="auto"/>
              </w:rPr>
            </w:pPr>
            <w:r>
              <w:rPr>
                <w:rFonts w:ascii="Arial" w:cs="Arial" w:eastAsia="Arial" w:hAnsi="Arial"/>
                <w:sz w:val="18"/>
                <w:szCs w:val="18"/>
                <w:color w:val="auto"/>
              </w:rPr>
              <w:t>Chairman of the Board</w:t>
            </w:r>
          </w:p>
        </w:tc>
        <w:tc>
          <w:tcPr>
            <w:tcW w:w="2980" w:type="dxa"/>
            <w:vAlign w:val="bottom"/>
            <w:vMerge w:val="restart"/>
          </w:tcPr>
          <w:p>
            <w:pPr>
              <w:ind w:left="360"/>
              <w:spacing w:after="0"/>
              <w:rPr>
                <w:sz w:val="20"/>
                <w:szCs w:val="20"/>
                <w:color w:val="auto"/>
              </w:rPr>
            </w:pPr>
            <w:r>
              <w:rPr>
                <w:rFonts w:ascii="Arial" w:cs="Arial" w:eastAsia="Arial" w:hAnsi="Arial"/>
                <w:sz w:val="18"/>
                <w:szCs w:val="18"/>
                <w:color w:val="auto"/>
              </w:rPr>
              <w:t>June 21, 2019</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880" w:type="dxa"/>
            <w:vAlign w:val="bottom"/>
            <w:vMerge w:val="continue"/>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5"/>
              </w:rPr>
              <w:t>Mark Levin</w:t>
            </w:r>
          </w:p>
        </w:tc>
        <w:tc>
          <w:tcPr>
            <w:tcW w:w="3880" w:type="dxa"/>
            <w:vAlign w:val="bottom"/>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38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JAMES J. COLLINS</w:t>
            </w:r>
          </w:p>
        </w:tc>
        <w:tc>
          <w:tcPr>
            <w:tcW w:w="38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980" w:type="dxa"/>
            <w:vAlign w:val="bottom"/>
            <w:vMerge w:val="restart"/>
          </w:tcPr>
          <w:p>
            <w:pPr>
              <w:ind w:left="360"/>
              <w:spacing w:after="0"/>
              <w:rPr>
                <w:sz w:val="20"/>
                <w:szCs w:val="20"/>
                <w:color w:val="auto"/>
              </w:rPr>
            </w:pPr>
            <w:r>
              <w:rPr>
                <w:rFonts w:ascii="Arial" w:cs="Arial" w:eastAsia="Arial" w:hAnsi="Arial"/>
                <w:sz w:val="18"/>
                <w:szCs w:val="18"/>
                <w:color w:val="auto"/>
              </w:rPr>
              <w:t>June 21, 2019</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880" w:type="dxa"/>
            <w:vAlign w:val="bottom"/>
            <w:vMerge w:val="continue"/>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James J. Collins, Ph.D.</w:t>
            </w:r>
          </w:p>
        </w:tc>
        <w:tc>
          <w:tcPr>
            <w:tcW w:w="3880" w:type="dxa"/>
            <w:vAlign w:val="bottom"/>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38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7" w:name="page268"/>
    <w:bookmarkEnd w:id="2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5900" w:type="dxa"/>
            <w:vAlign w:val="bottom"/>
            <w:gridSpan w:val="2"/>
          </w:tcPr>
          <w:p>
            <w:pPr>
              <w:jc w:val="center"/>
              <w:ind w:right="2452"/>
              <w:spacing w:after="0"/>
              <w:rPr>
                <w:sz w:val="20"/>
                <w:szCs w:val="20"/>
                <w:color w:val="auto"/>
              </w:rPr>
            </w:pPr>
            <w:r>
              <w:rPr>
                <w:rFonts w:ascii="Arial" w:cs="Arial" w:eastAsia="Arial" w:hAnsi="Arial"/>
                <w:sz w:val="18"/>
                <w:szCs w:val="18"/>
                <w:color w:val="auto"/>
                <w:w w:val="97"/>
              </w:rPr>
              <w:t>/s/ ALAN EZEKOWITZ</w:t>
            </w: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250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4360" w:type="dxa"/>
            <w:vAlign w:val="bottom"/>
            <w:vMerge w:val="restart"/>
          </w:tcPr>
          <w:p>
            <w:pPr>
              <w:ind w:left="1740"/>
              <w:spacing w:after="0" w:line="202" w:lineRule="exact"/>
              <w:rPr>
                <w:sz w:val="20"/>
                <w:szCs w:val="20"/>
                <w:color w:val="auto"/>
              </w:rPr>
            </w:pPr>
            <w:r>
              <w:rPr>
                <w:rFonts w:ascii="Arial" w:cs="Arial" w:eastAsia="Arial" w:hAnsi="Arial"/>
                <w:sz w:val="18"/>
                <w:szCs w:val="18"/>
                <w:color w:val="auto"/>
              </w:rPr>
              <w:t>June 21,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4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00" w:type="dxa"/>
            <w:vAlign w:val="bottom"/>
            <w:gridSpan w:val="2"/>
          </w:tcPr>
          <w:p>
            <w:pPr>
              <w:jc w:val="center"/>
              <w:ind w:right="2452"/>
              <w:spacing w:after="0"/>
              <w:rPr>
                <w:sz w:val="20"/>
                <w:szCs w:val="20"/>
                <w:color w:val="auto"/>
              </w:rPr>
            </w:pPr>
            <w:r>
              <w:rPr>
                <w:rFonts w:ascii="Arial" w:cs="Arial" w:eastAsia="Arial" w:hAnsi="Arial"/>
                <w:sz w:val="18"/>
                <w:szCs w:val="18"/>
                <w:color w:val="auto"/>
                <w:w w:val="93"/>
              </w:rPr>
              <w:t>Alan Ezekowitz, MBChB, D. Phil</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5900" w:type="dxa"/>
            <w:vAlign w:val="bottom"/>
            <w:gridSpan w:val="2"/>
          </w:tcPr>
          <w:p>
            <w:pPr>
              <w:jc w:val="center"/>
              <w:ind w:right="2472"/>
              <w:spacing w:after="0"/>
              <w:rPr>
                <w:sz w:val="20"/>
                <w:szCs w:val="20"/>
                <w:color w:val="auto"/>
              </w:rPr>
            </w:pPr>
            <w:r>
              <w:rPr>
                <w:rFonts w:ascii="Arial" w:cs="Arial" w:eastAsia="Arial" w:hAnsi="Arial"/>
                <w:sz w:val="18"/>
                <w:szCs w:val="18"/>
                <w:color w:val="auto"/>
                <w:w w:val="93"/>
              </w:rPr>
              <w:t>/s/ JAMES GERAGHTY</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250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4360" w:type="dxa"/>
            <w:vAlign w:val="bottom"/>
            <w:vMerge w:val="restart"/>
          </w:tcPr>
          <w:p>
            <w:pPr>
              <w:ind w:left="1740"/>
              <w:spacing w:after="0" w:line="202" w:lineRule="exact"/>
              <w:rPr>
                <w:sz w:val="20"/>
                <w:szCs w:val="20"/>
                <w:color w:val="auto"/>
              </w:rPr>
            </w:pPr>
            <w:r>
              <w:rPr>
                <w:rFonts w:ascii="Arial" w:cs="Arial" w:eastAsia="Arial" w:hAnsi="Arial"/>
                <w:sz w:val="18"/>
                <w:szCs w:val="18"/>
                <w:color w:val="auto"/>
              </w:rPr>
              <w:t>June 21,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4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00" w:type="dxa"/>
            <w:vAlign w:val="bottom"/>
            <w:gridSpan w:val="2"/>
          </w:tcPr>
          <w:p>
            <w:pPr>
              <w:jc w:val="center"/>
              <w:ind w:right="2452"/>
              <w:spacing w:after="0"/>
              <w:rPr>
                <w:sz w:val="20"/>
                <w:szCs w:val="20"/>
                <w:color w:val="auto"/>
              </w:rPr>
            </w:pPr>
            <w:r>
              <w:rPr>
                <w:rFonts w:ascii="Arial" w:cs="Arial" w:eastAsia="Arial" w:hAnsi="Arial"/>
                <w:sz w:val="18"/>
                <w:szCs w:val="18"/>
                <w:color w:val="auto"/>
                <w:w w:val="84"/>
              </w:rPr>
              <w:t>James Geraghty</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5900" w:type="dxa"/>
            <w:vAlign w:val="bottom"/>
            <w:gridSpan w:val="2"/>
          </w:tcPr>
          <w:p>
            <w:pPr>
              <w:jc w:val="center"/>
              <w:ind w:right="2452"/>
              <w:spacing w:after="0"/>
              <w:rPr>
                <w:sz w:val="20"/>
                <w:szCs w:val="20"/>
                <w:color w:val="auto"/>
              </w:rPr>
            </w:pPr>
            <w:r>
              <w:rPr>
                <w:rFonts w:ascii="Arial" w:cs="Arial" w:eastAsia="Arial" w:hAnsi="Arial"/>
                <w:sz w:val="18"/>
                <w:szCs w:val="18"/>
                <w:color w:val="auto"/>
                <w:w w:val="96"/>
              </w:rPr>
              <w:t>/s/ KATE HAVILAND</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250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4360" w:type="dxa"/>
            <w:vAlign w:val="bottom"/>
            <w:vMerge w:val="restart"/>
          </w:tcPr>
          <w:p>
            <w:pPr>
              <w:ind w:left="1740"/>
              <w:spacing w:after="0" w:line="202" w:lineRule="exact"/>
              <w:rPr>
                <w:sz w:val="20"/>
                <w:szCs w:val="20"/>
                <w:color w:val="auto"/>
              </w:rPr>
            </w:pPr>
            <w:r>
              <w:rPr>
                <w:rFonts w:ascii="Arial" w:cs="Arial" w:eastAsia="Arial" w:hAnsi="Arial"/>
                <w:sz w:val="18"/>
                <w:szCs w:val="18"/>
                <w:color w:val="auto"/>
              </w:rPr>
              <w:t>June 21,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4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00" w:type="dxa"/>
            <w:vAlign w:val="bottom"/>
            <w:gridSpan w:val="2"/>
          </w:tcPr>
          <w:p>
            <w:pPr>
              <w:jc w:val="center"/>
              <w:ind w:right="2472"/>
              <w:spacing w:after="0"/>
              <w:rPr>
                <w:sz w:val="20"/>
                <w:szCs w:val="20"/>
                <w:color w:val="auto"/>
              </w:rPr>
            </w:pPr>
            <w:r>
              <w:rPr>
                <w:rFonts w:ascii="Arial" w:cs="Arial" w:eastAsia="Arial" w:hAnsi="Arial"/>
                <w:sz w:val="18"/>
                <w:szCs w:val="18"/>
                <w:color w:val="auto"/>
                <w:w w:val="90"/>
              </w:rPr>
              <w:t>Kate Haviland</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8" w:name="page269"/>
    <w:bookmarkEnd w:id="2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ectPr>
          <w:pgSz w:w="11900" w:h="16838" w:orient="portrait"/>
          <w:cols w:equalWidth="0" w:num="1">
            <w:col w:w="11420"/>
          </w:cols>
          <w:pgMar w:left="240" w:top="337"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160"/>
            <w:col w:w="11040"/>
          </w:cols>
          <w:pgMar w:left="240" w:top="337"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160"/>
            <w:col w:w="11040"/>
          </w:cols>
          <w:pgMar w:left="240" w:top="337"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One Federal Street, 37</w:t>
      </w:r>
      <w:r>
        <w:rPr>
          <w:rFonts w:ascii="Arial" w:cs="Arial" w:eastAsia="Arial" w:hAnsi="Arial"/>
          <w:sz w:val="10"/>
          <w:szCs w:val="10"/>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02110</w:t>
      </w:r>
    </w:p>
    <w:p>
      <w:pPr>
        <w:spacing w:after="0" w:line="200" w:lineRule="exact"/>
        <w:rPr>
          <w:sz w:val="20"/>
          <w:szCs w:val="20"/>
          <w:color w:val="auto"/>
        </w:rPr>
      </w:pPr>
    </w:p>
    <w:p>
      <w:pPr>
        <w:sectPr>
          <w:pgSz w:w="11900" w:h="16838" w:orient="portrait"/>
          <w:cols w:equalWidth="0" w:num="2">
            <w:col w:w="220" w:space="160"/>
            <w:col w:w="11040"/>
          </w:cols>
          <w:pgMar w:left="240" w:top="337"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Fulcrum Therapeutics,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 in Schedule I</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Morgan Stanley &amp; Co. LLC, BofA Securities, Inc. and SVB Leerink LLC are acting as representatives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shares of its common stock, par value $0.001 per share (the “</w:t>
      </w:r>
      <w:r>
        <w:rPr>
          <w:rFonts w:ascii="Arial" w:cs="Arial" w:eastAsia="Arial" w:hAnsi="Arial"/>
          <w:sz w:val="16"/>
          <w:szCs w:val="16"/>
          <w:b w:val="1"/>
          <w:bCs w:val="1"/>
          <w:color w:val="auto"/>
        </w:rPr>
        <w:t>Firm Shares</w:t>
      </w:r>
      <w:r>
        <w:rPr>
          <w:rFonts w:ascii="Arial" w:cs="Arial" w:eastAsia="Arial" w:hAnsi="Arial"/>
          <w:sz w:val="16"/>
          <w:szCs w:val="16"/>
          <w:color w:val="auto"/>
        </w:rPr>
        <w:t>”). The Company also proposes to issue and sell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several Underwriters not more than an additional </w:t>
      </w:r>
      <w:r>
        <w:rPr>
          <w:rFonts w:ascii="Arial" w:cs="Arial" w:eastAsia="Arial" w:hAnsi="Arial"/>
          <w:sz w:val="16"/>
          <w:szCs w:val="16"/>
          <w:b w:val="1"/>
          <w:bCs w:val="1"/>
          <w:color w:val="auto"/>
        </w:rPr>
        <w:t>[·]</w:t>
      </w:r>
      <w:r>
        <w:rPr>
          <w:rFonts w:ascii="Arial" w:cs="Arial" w:eastAsia="Arial" w:hAnsi="Arial"/>
          <w:sz w:val="16"/>
          <w:szCs w:val="16"/>
          <w:color w:val="auto"/>
        </w:rPr>
        <w:t xml:space="preserve"> shares of its common stock, par value $0.001 per share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Representatives shall have determined to exercise, on behalf of the Underwriters, the right to purchase such shares of common stock granted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in Section 2 hereof.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par value $0.001 per share, of the Company to be outstanding after giving effect to the sales contemplated hereby are hereinafter referred to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S-1, including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prospectus, relating to the Shares. The registration statement as amended at the time it becomes effective, including the information (if any) deemed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of the registration statement at the time of effectiveness pursuant to Rule 430A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 form first made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by the Company to meet requests of purchasers pursuant to Rule 173 under the Securities Act) is hereinafter referred to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If the Company has filed an abbreviated registration statement to register additional shares of Common Stock pursuant to Rule 462(b)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71" w:name="page272"/>
    <w:bookmarkEnd w:id="271"/>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462 Registration Statement</w:t>
      </w:r>
      <w:r>
        <w:rPr>
          <w:rFonts w:ascii="Arial" w:cs="Arial" w:eastAsia="Arial" w:hAnsi="Arial"/>
          <w:sz w:val="18"/>
          <w:szCs w:val="18"/>
          <w:color w:val="auto"/>
        </w:rPr>
        <w:t>”), then any reference herein to the term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be deemed to include such Rule 462 Registration Statement.</w:t>
      </w:r>
    </w:p>
    <w:p>
      <w:pPr>
        <w:spacing w:after="0" w:line="162"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w:t>
      </w:r>
      <w:r>
        <w:rPr>
          <w:rFonts w:ascii="Arial" w:cs="Arial" w:eastAsia="Arial" w:hAnsi="Arial"/>
          <w:sz w:val="16"/>
          <w:szCs w:val="16"/>
          <w:b w:val="1"/>
          <w:bCs w:val="1"/>
          <w:color w:val="auto"/>
        </w:rPr>
        <w:t>Time of Sale</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the preliminary prospectus contained in the Registration Statement at the time of its effectiveness together with the documents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pricing information set forth in Schedule II hereto, and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w:t>
      </w:r>
    </w:p>
    <w:p>
      <w:pPr>
        <w:spacing w:after="0" w:line="2" w:lineRule="exact"/>
        <w:rPr>
          <w:sz w:val="20"/>
          <w:szCs w:val="20"/>
          <w:color w:val="auto"/>
        </w:rPr>
      </w:pPr>
    </w:p>
    <w:p>
      <w:pPr>
        <w:ind w:right="80" w:firstLine="8"/>
        <w:spacing w:after="0" w:line="323" w:lineRule="auto"/>
        <w:tabs>
          <w:tab w:leader="none" w:pos="2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38" w:lineRule="exact"/>
        <w:rPr>
          <w:rFonts w:ascii="Arial" w:cs="Arial" w:eastAsia="Arial" w:hAnsi="Arial"/>
          <w:sz w:val="16"/>
          <w:szCs w:val="16"/>
          <w:color w:val="auto"/>
        </w:rPr>
      </w:pPr>
    </w:p>
    <w:p>
      <w:pPr>
        <w:ind w:left="1180" w:hanging="524"/>
        <w:spacing w:after="0"/>
        <w:tabs>
          <w:tab w:leader="none" w:pos="1180" w:val="left"/>
        </w:tabs>
        <w:numPr>
          <w:ilvl w:val="1"/>
          <w:numId w:val="126"/>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225" w:lineRule="exact"/>
        <w:rPr>
          <w:rFonts w:ascii="Arial" w:cs="Arial" w:eastAsia="Arial" w:hAnsi="Arial"/>
          <w:sz w:val="18"/>
          <w:szCs w:val="18"/>
          <w:color w:val="auto"/>
        </w:rPr>
      </w:pPr>
    </w:p>
    <w:p>
      <w:pPr>
        <w:ind w:left="660" w:right="100" w:firstLine="709"/>
        <w:spacing w:after="0" w:line="264" w:lineRule="auto"/>
        <w:tabs>
          <w:tab w:leader="none" w:pos="1951"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181" w:lineRule="exact"/>
        <w:rPr>
          <w:rFonts w:ascii="Arial" w:cs="Arial" w:eastAsia="Arial" w:hAnsi="Arial"/>
          <w:sz w:val="18"/>
          <w:szCs w:val="18"/>
          <w:color w:val="auto"/>
        </w:rPr>
      </w:pPr>
    </w:p>
    <w:p>
      <w:pPr>
        <w:ind w:left="660" w:right="40" w:firstLine="709"/>
        <w:spacing w:after="0" w:line="286" w:lineRule="auto"/>
        <w:tabs>
          <w:tab w:leader="none" w:pos="1961" w:val="left"/>
        </w:tabs>
        <w:numPr>
          <w:ilvl w:val="2"/>
          <w:numId w:val="126"/>
        </w:numPr>
        <w:rPr>
          <w:rFonts w:ascii="Arial" w:cs="Arial" w:eastAsia="Arial" w:hAnsi="Arial"/>
          <w:sz w:val="16"/>
          <w:szCs w:val="16"/>
          <w:color w:val="auto"/>
        </w:rPr>
      </w:pPr>
      <w:r>
        <w:rPr>
          <w:rFonts w:ascii="Arial" w:cs="Arial" w:eastAsia="Arial" w:hAnsi="Arial"/>
          <w:sz w:val="16"/>
          <w:szCs w:val="16"/>
          <w:color w:val="auto"/>
        </w:rPr>
        <w:t>(i)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2" w:name="page273"/>
    <w:bookmarkEnd w:id="272"/>
    <w:p>
      <w:pPr>
        <w:ind w:right="80"/>
        <w:spacing w:after="0" w:line="279" w:lineRule="auto"/>
        <w:rPr>
          <w:sz w:val="20"/>
          <w:szCs w:val="20"/>
          <w:color w:val="auto"/>
        </w:rPr>
      </w:pPr>
      <w:r>
        <w:rPr>
          <w:rFonts w:ascii="Arial" w:cs="Arial" w:eastAsia="Arial" w:hAnsi="Arial"/>
          <w:sz w:val="17"/>
          <w:szCs w:val="17"/>
          <w:color w:val="auto"/>
        </w:rPr>
        <w:t>upon information relating to any Underwriter furnished to the Company in writing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the third paragraph under the caption “Underwriters” and the information contained in the thirteenth paragraph under the caption “Underwriters”.</w:t>
      </w:r>
    </w:p>
    <w:p>
      <w:pPr>
        <w:spacing w:after="0" w:line="171" w:lineRule="exact"/>
        <w:rPr>
          <w:sz w:val="20"/>
          <w:szCs w:val="20"/>
          <w:color w:val="auto"/>
        </w:rPr>
      </w:pPr>
    </w:p>
    <w:p>
      <w:pPr>
        <w:ind w:firstLine="709"/>
        <w:spacing w:after="0" w:line="290" w:lineRule="auto"/>
        <w:tabs>
          <w:tab w:leader="none" w:pos="130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prior consent of each of the Representatives, prepare, use or refer to, any free writing prospectus.</w:t>
      </w:r>
    </w:p>
    <w:p>
      <w:pPr>
        <w:spacing w:after="0" w:line="166" w:lineRule="exact"/>
        <w:rPr>
          <w:rFonts w:ascii="Arial" w:cs="Arial" w:eastAsia="Arial" w:hAnsi="Arial"/>
          <w:sz w:val="16"/>
          <w:szCs w:val="16"/>
          <w:color w:val="auto"/>
        </w:rPr>
      </w:pPr>
    </w:p>
    <w:p>
      <w:pPr>
        <w:ind w:right="80" w:firstLine="709"/>
        <w:spacing w:after="0" w:line="276" w:lineRule="auto"/>
        <w:tabs>
          <w:tab w:leader="none" w:pos="130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State of Delaware,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Subsidiary (as defined in Section 1(e)), taken as a whole.</w:t>
      </w:r>
    </w:p>
    <w:p>
      <w:pPr>
        <w:spacing w:after="0" w:line="168" w:lineRule="exact"/>
        <w:rPr>
          <w:rFonts w:ascii="Arial" w:cs="Arial" w:eastAsia="Arial" w:hAnsi="Arial"/>
          <w:sz w:val="17"/>
          <w:szCs w:val="17"/>
          <w:color w:val="auto"/>
        </w:rPr>
      </w:pPr>
    </w:p>
    <w:p>
      <w:pPr>
        <w:jc w:val="both"/>
        <w:ind w:right="120" w:firstLine="709"/>
        <w:spacing w:after="0" w:line="292" w:lineRule="auto"/>
        <w:tabs>
          <w:tab w:leader="none" w:pos="130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Fulcrum Therapeutics Securities Corp. (the “</w:t>
      </w:r>
      <w:r>
        <w:rPr>
          <w:rFonts w:ascii="Arial" w:cs="Arial" w:eastAsia="Arial" w:hAnsi="Arial"/>
          <w:sz w:val="16"/>
          <w:szCs w:val="16"/>
          <w:b w:val="1"/>
          <w:bCs w:val="1"/>
          <w:color w:val="auto"/>
        </w:rPr>
        <w:t>Subsidiary</w:t>
      </w:r>
      <w:r>
        <w:rPr>
          <w:rFonts w:ascii="Arial" w:cs="Arial" w:eastAsia="Arial" w:hAnsi="Arial"/>
          <w:sz w:val="16"/>
          <w:szCs w:val="16"/>
          <w:color w:val="auto"/>
        </w:rPr>
        <w:t>”) is the only subsidiary of the Company. The Subsidiary has been duly incorporated, is validly existing as a corporation in good standing under the laws of the Commonwealth of Massachusetts,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 on the Company and its Subsidiary, taken as a whole; all of the issued shares of capital stock of the Subsidiary have been duly and validly authorized and issued, are fully paid and non-assessable and are owned directly by the Company, free and clear of all liens, encumbrances, equities or claims.</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0"/>
          </w:cols>
          <w:pgMar w:left="900" w:top="342" w:right="319" w:bottom="1440" w:gutter="0" w:footer="0" w:header="0"/>
        </w:sectPr>
      </w:pPr>
    </w:p>
    <w:bookmarkStart w:id="273" w:name="page274"/>
    <w:bookmarkEnd w:id="273"/>
    <w:p>
      <w:pPr>
        <w:ind w:left="1300" w:hanging="591"/>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520" w:firstLine="709"/>
        <w:spacing w:after="0" w:line="342" w:lineRule="auto"/>
        <w:tabs>
          <w:tab w:leader="none" w:pos="131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authorized capital stock of the Company conforms in all material respects as to legal matters to the description thereof contained under the headings “Capitalization” and “Description of Capital Stock” in the Time of Sale Prospectus and the Prospectus.</w:t>
      </w:r>
    </w:p>
    <w:p>
      <w:pPr>
        <w:spacing w:after="0" w:line="123" w:lineRule="exact"/>
        <w:rPr>
          <w:rFonts w:ascii="Arial" w:cs="Arial" w:eastAsia="Arial" w:hAnsi="Arial"/>
          <w:sz w:val="16"/>
          <w:szCs w:val="16"/>
          <w:color w:val="auto"/>
        </w:rPr>
      </w:pPr>
    </w:p>
    <w:p>
      <w:pPr>
        <w:ind w:right="260" w:firstLine="709"/>
        <w:spacing w:after="0" w:line="277" w:lineRule="auto"/>
        <w:tabs>
          <w:tab w:leader="none" w:pos="13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170" w:lineRule="exact"/>
        <w:rPr>
          <w:rFonts w:ascii="Arial" w:cs="Arial" w:eastAsia="Arial" w:hAnsi="Arial"/>
          <w:sz w:val="18"/>
          <w:szCs w:val="18"/>
          <w:color w:val="auto"/>
        </w:rPr>
      </w:pPr>
    </w:p>
    <w:p>
      <w:pPr>
        <w:jc w:val="both"/>
        <w:ind w:right="220" w:firstLine="709"/>
        <w:spacing w:after="0" w:line="264" w:lineRule="auto"/>
        <w:tabs>
          <w:tab w:leader="none" w:pos="13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in accordance with the terms of this Agreement, will be validly issued, fully paid and non-assessable, and the issuance of such Shares will not be subject to any preemptive or similar rights that have not been validly waived.</w:t>
      </w:r>
    </w:p>
    <w:p>
      <w:pPr>
        <w:spacing w:after="0" w:line="181" w:lineRule="exact"/>
        <w:rPr>
          <w:rFonts w:ascii="Arial" w:cs="Arial" w:eastAsia="Arial" w:hAnsi="Arial"/>
          <w:sz w:val="18"/>
          <w:szCs w:val="18"/>
          <w:color w:val="auto"/>
        </w:rPr>
      </w:pPr>
    </w:p>
    <w:p>
      <w:pPr>
        <w:ind w:firstLine="709"/>
        <w:spacing w:after="0" w:line="269" w:lineRule="auto"/>
        <w:tabs>
          <w:tab w:leader="none" w:pos="130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and the performance by the Company of its obligations under, this Agreement, nor the issuance and sale of the Shares, will (i) contravene any provision of applicable law, (ii) contravene any provision of the certificate of incorporation or by-laws of the Company, (iii) conflict with or result in a breach or violation of any of the terms or provisions of, or constitute a default under, any agreement or other instrument binding upon the Company or its Subsidiary that is material to the Company and its Subsidiary, taken as a whole, or (iv) result in any violation of any judgment, order or decree of any governmental body, agency or court having jurisdiction over the Company or its Subsidiary, except, in the case of clause (i) and (iii), as would not, individually or in the aggregate, reasonably be expected to have a material adverse effect on the Company and its Subsidiary, taken as a whole, or on the power and ability of the Company to perform its obligations under this Agreement. No consent, approval, authorization or order of, or qualification with, any governmental body or agency is required for the performance by the Company of its obligations under this Agreement, except such as have already been obtained or made or as may be required by the securities or Blue Sky laws of the various states or the rules and regulations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or the or the Nasdaq Global Market in connection with the offer and sale of the Shares.</w:t>
      </w:r>
    </w:p>
    <w:p>
      <w:pPr>
        <w:spacing w:after="0" w:line="182" w:lineRule="exact"/>
        <w:rPr>
          <w:rFonts w:ascii="Arial" w:cs="Arial" w:eastAsia="Arial" w:hAnsi="Arial"/>
          <w:sz w:val="17"/>
          <w:szCs w:val="17"/>
          <w:color w:val="auto"/>
        </w:rPr>
      </w:pPr>
    </w:p>
    <w:p>
      <w:pPr>
        <w:ind w:right="420" w:firstLine="709"/>
        <w:spacing w:after="0" w:line="264" w:lineRule="auto"/>
        <w:tabs>
          <w:tab w:leader="none" w:pos="13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would reasonably be expected to result in a prospective material adverse change, in the condition, financial or otherwise, or in the earnings, business or operations of the Company and its Subsidiary, taken as a whole, from that set forth in the Time of Sale Prospectus.</w:t>
      </w:r>
    </w:p>
    <w:p>
      <w:pPr>
        <w:spacing w:after="0" w:line="181" w:lineRule="exact"/>
        <w:rPr>
          <w:rFonts w:ascii="Arial" w:cs="Arial" w:eastAsia="Arial" w:hAnsi="Arial"/>
          <w:sz w:val="18"/>
          <w:szCs w:val="18"/>
          <w:color w:val="auto"/>
        </w:rPr>
      </w:pPr>
    </w:p>
    <w:p>
      <w:pPr>
        <w:ind w:right="220" w:firstLine="709"/>
        <w:spacing w:after="0" w:line="277" w:lineRule="auto"/>
        <w:tabs>
          <w:tab w:leader="none" w:pos="13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to Company’s knowledge, threatened to which the Company or its Subsidiary is a party or to which any of the properties of the Company or its Subsidiary is subject</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0"/>
          </w:cols>
          <w:pgMar w:left="900" w:top="341" w:right="339" w:bottom="1440" w:gutter="0" w:footer="0" w:header="0"/>
        </w:sectPr>
      </w:pPr>
    </w:p>
    <w:bookmarkStart w:id="274" w:name="page275"/>
    <w:bookmarkEnd w:id="274"/>
    <w:p>
      <w:pPr>
        <w:ind w:left="4" w:right="100" w:hanging="4"/>
        <w:spacing w:after="0" w:line="255" w:lineRule="auto"/>
        <w:tabs>
          <w:tab w:leader="none" w:pos="21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other than proceedings described in the Time of Sale Prospectus and proceedings that, singly or in the aggregate, would not have a material adverse effect on the Company and its Subsidiary,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193" w:lineRule="exact"/>
        <w:rPr>
          <w:rFonts w:ascii="Arial" w:cs="Arial" w:eastAsia="Arial" w:hAnsi="Arial"/>
          <w:sz w:val="18"/>
          <w:szCs w:val="18"/>
          <w:color w:val="auto"/>
        </w:rPr>
      </w:pPr>
    </w:p>
    <w:p>
      <w:pPr>
        <w:ind w:left="4" w:right="260" w:firstLine="709"/>
        <w:spacing w:after="0" w:line="264" w:lineRule="auto"/>
        <w:tabs>
          <w:tab w:leader="none" w:pos="130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81" w:lineRule="exact"/>
        <w:rPr>
          <w:rFonts w:ascii="Arial" w:cs="Arial" w:eastAsia="Arial" w:hAnsi="Arial"/>
          <w:sz w:val="18"/>
          <w:szCs w:val="18"/>
          <w:color w:val="auto"/>
        </w:rPr>
      </w:pPr>
    </w:p>
    <w:p>
      <w:pPr>
        <w:ind w:left="4" w:right="180" w:firstLine="709"/>
        <w:spacing w:after="0" w:line="264" w:lineRule="auto"/>
        <w:tabs>
          <w:tab w:leader="none" w:pos="130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81" w:lineRule="exact"/>
        <w:rPr>
          <w:rFonts w:ascii="Arial" w:cs="Arial" w:eastAsia="Arial" w:hAnsi="Arial"/>
          <w:sz w:val="18"/>
          <w:szCs w:val="18"/>
          <w:color w:val="auto"/>
        </w:rPr>
      </w:pPr>
    </w:p>
    <w:p>
      <w:pPr>
        <w:ind w:left="4" w:right="100" w:firstLine="709"/>
        <w:spacing w:after="0" w:line="255" w:lineRule="auto"/>
        <w:tabs>
          <w:tab w:leader="none" w:pos="130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8"/>
          <w:szCs w:val="18"/>
          <w:b w:val="1"/>
          <w:bCs w:val="1"/>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Subsidiary, taken as a whole.</w:t>
      </w:r>
    </w:p>
    <w:p>
      <w:pPr>
        <w:spacing w:after="0" w:line="189" w:lineRule="exact"/>
        <w:rPr>
          <w:rFonts w:ascii="Arial" w:cs="Arial" w:eastAsia="Arial" w:hAnsi="Arial"/>
          <w:sz w:val="18"/>
          <w:szCs w:val="18"/>
          <w:color w:val="auto"/>
        </w:rPr>
      </w:pPr>
    </w:p>
    <w:p>
      <w:pPr>
        <w:ind w:left="4" w:firstLine="709"/>
        <w:spacing w:after="0" w:line="259" w:lineRule="auto"/>
        <w:tabs>
          <w:tab w:leader="none" w:pos="130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have a material adverse effect on the Company and its Subsidiary, taken as a whole.</w:t>
      </w:r>
    </w:p>
    <w:p>
      <w:pPr>
        <w:spacing w:after="0" w:line="186" w:lineRule="exact"/>
        <w:rPr>
          <w:rFonts w:ascii="Arial" w:cs="Arial" w:eastAsia="Arial" w:hAnsi="Arial"/>
          <w:sz w:val="18"/>
          <w:szCs w:val="18"/>
          <w:color w:val="auto"/>
        </w:rPr>
      </w:pPr>
    </w:p>
    <w:p>
      <w:pPr>
        <w:ind w:left="4" w:right="100" w:firstLine="709"/>
        <w:spacing w:after="0" w:line="264" w:lineRule="auto"/>
        <w:tabs>
          <w:tab w:leader="none" w:pos="130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w:t>
      </w: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275" w:name="page276"/>
    <w:bookmarkEnd w:id="275"/>
    <w:p>
      <w:pPr>
        <w:ind w:right="80"/>
        <w:spacing w:after="0" w:line="342" w:lineRule="auto"/>
        <w:rPr>
          <w:sz w:val="20"/>
          <w:szCs w:val="20"/>
          <w:color w:val="auto"/>
        </w:rPr>
      </w:pPr>
      <w:r>
        <w:rPr>
          <w:rFonts w:ascii="Arial" w:cs="Arial" w:eastAsia="Arial" w:hAnsi="Arial"/>
          <w:sz w:val="16"/>
          <w:szCs w:val="16"/>
          <w:color w:val="auto"/>
        </w:rPr>
        <w:t>securities of the Company or to require the Company to include such securities with the Shares registered pursuant to the Registration Statement; all such rights have been validly waived or complied with in connection with the issuance and sales of the Shares contemplated hereby.</w:t>
      </w:r>
    </w:p>
    <w:p>
      <w:pPr>
        <w:spacing w:after="0" w:line="124" w:lineRule="exact"/>
        <w:rPr>
          <w:sz w:val="20"/>
          <w:szCs w:val="20"/>
          <w:color w:val="auto"/>
        </w:rPr>
      </w:pPr>
    </w:p>
    <w:p>
      <w:pPr>
        <w:ind w:right="20" w:firstLine="709"/>
        <w:spacing w:after="0" w:line="269" w:lineRule="auto"/>
        <w:tabs>
          <w:tab w:leader="none" w:pos="131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 None of the Company, the Subsidiary or the Company’s controlled affiliates, or any director, officer or, to the Company’s knowledge, any agent, representative or employee of the Company, the Subsidiary or the Company’s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7"/>
          <w:szCs w:val="17"/>
          <w:b w:val="1"/>
          <w:bCs w:val="1"/>
          <w:color w:val="auto"/>
        </w:rPr>
        <w:t>Government Official</w:t>
      </w:r>
      <w:r>
        <w:rPr>
          <w:rFonts w:ascii="Arial" w:cs="Arial" w:eastAsia="Arial" w:hAnsi="Arial"/>
          <w:sz w:val="17"/>
          <w:szCs w:val="17"/>
          <w:color w:val="auto"/>
        </w:rPr>
        <w:t>”) in order to improperly influence official action, or to any person in violation of any applicable anti-corruption laws; (ii) the Company, the Subsidiary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Subsidiary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79" w:lineRule="exact"/>
        <w:rPr>
          <w:rFonts w:ascii="Arial" w:cs="Arial" w:eastAsia="Arial" w:hAnsi="Arial"/>
          <w:sz w:val="17"/>
          <w:szCs w:val="17"/>
          <w:color w:val="auto"/>
        </w:rPr>
      </w:pPr>
    </w:p>
    <w:p>
      <w:pPr>
        <w:ind w:firstLine="709"/>
        <w:spacing w:after="0" w:line="271" w:lineRule="auto"/>
        <w:tabs>
          <w:tab w:leader="none" w:pos="130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operations of the Company and its Subsidiary are and have been conducted at all times, in all material respects,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its Subsidiary conduct business, the rules and regulations thereunder and any related or similar rules, regulations or guidelines, issued, administered or enforced by any governmental agency having jurisdiction over the Company or its Subsidiary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its Subsidiary with respect to the Anti-Money Laundering Laws is pending or, to the knowledge of the Company, threatened.</w:t>
      </w:r>
    </w:p>
    <w:p>
      <w:pPr>
        <w:spacing w:after="0" w:line="178" w:lineRule="exact"/>
        <w:rPr>
          <w:rFonts w:ascii="Arial" w:cs="Arial" w:eastAsia="Arial" w:hAnsi="Arial"/>
          <w:sz w:val="17"/>
          <w:szCs w:val="17"/>
          <w:color w:val="auto"/>
        </w:rPr>
      </w:pPr>
    </w:p>
    <w:p>
      <w:pPr>
        <w:ind w:right="100" w:firstLine="709"/>
        <w:spacing w:after="0" w:line="264" w:lineRule="auto"/>
        <w:tabs>
          <w:tab w:leader="none" w:pos="130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None of the Company, its Subsidiary, or any director, officer, or employee thereof, or, to the Company’s knowledge, any agent, affiliate or representative of the Company or its Subsidiary,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276" w:name="page277"/>
    <w:bookmarkEnd w:id="276"/>
    <w:p>
      <w:pPr>
        <w:ind w:left="1364" w:right="160" w:firstLine="970"/>
        <w:spacing w:after="0" w:line="264" w:lineRule="auto"/>
        <w:tabs>
          <w:tab w:leader="none" w:pos="2937" w:val="left"/>
        </w:tabs>
        <w:numPr>
          <w:ilvl w:val="3"/>
          <w:numId w:val="131"/>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1364" w:right="320" w:firstLine="970"/>
        <w:spacing w:after="0" w:line="277" w:lineRule="auto"/>
        <w:tabs>
          <w:tab w:leader="none" w:pos="2927" w:val="left"/>
        </w:tabs>
        <w:numPr>
          <w:ilvl w:val="3"/>
          <w:numId w:val="131"/>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170" w:lineRule="exact"/>
        <w:rPr>
          <w:rFonts w:ascii="Arial" w:cs="Arial" w:eastAsia="Arial" w:hAnsi="Arial"/>
          <w:sz w:val="18"/>
          <w:szCs w:val="18"/>
          <w:color w:val="auto"/>
        </w:rPr>
      </w:pPr>
    </w:p>
    <w:p>
      <w:pPr>
        <w:ind w:left="704" w:right="340" w:firstLine="658"/>
        <w:spacing w:after="0" w:line="277" w:lineRule="auto"/>
        <w:tabs>
          <w:tab w:leader="none" w:pos="2085"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1364" w:right="100" w:firstLine="970"/>
        <w:spacing w:after="0" w:line="277" w:lineRule="auto"/>
        <w:tabs>
          <w:tab w:leader="none" w:pos="2937" w:val="left"/>
        </w:tabs>
        <w:numPr>
          <w:ilvl w:val="3"/>
          <w:numId w:val="132"/>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364" w:right="680" w:firstLine="970"/>
        <w:spacing w:after="0" w:line="277" w:lineRule="auto"/>
        <w:tabs>
          <w:tab w:leader="none" w:pos="2927" w:val="left"/>
        </w:tabs>
        <w:numPr>
          <w:ilvl w:val="3"/>
          <w:numId w:val="132"/>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704" w:firstLine="658"/>
        <w:spacing w:after="0" w:line="264" w:lineRule="auto"/>
        <w:tabs>
          <w:tab w:leader="none" w:pos="2095"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Company and its Subsidiary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81" w:lineRule="exact"/>
        <w:rPr>
          <w:rFonts w:ascii="Arial" w:cs="Arial" w:eastAsia="Arial" w:hAnsi="Arial"/>
          <w:sz w:val="18"/>
          <w:szCs w:val="18"/>
          <w:color w:val="auto"/>
        </w:rPr>
      </w:pPr>
    </w:p>
    <w:p>
      <w:pPr>
        <w:ind w:left="4" w:right="60" w:firstLine="709"/>
        <w:spacing w:after="0" w:line="285" w:lineRule="auto"/>
        <w:tabs>
          <w:tab w:leader="none" w:pos="130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(i) the Company and its Subsidiary have not incurred any material liability or obligation, direct or contingent, nor entered into any material transaction; (ii) the Company has not purchased any of its outstanding capital stock (other than from its employees or other service providers in connection with termination of such individuals’ service to the Company pursuant to plans or agreements, as applicable), nor declared, paid or otherwise made any dividend or distribution of any kind on its capital stock other than ordinary and customary dividends; and</w:t>
      </w:r>
    </w:p>
    <w:p>
      <w:pPr>
        <w:spacing w:after="0" w:line="2" w:lineRule="exact"/>
        <w:rPr>
          <w:rFonts w:ascii="Arial" w:cs="Arial" w:eastAsia="Arial" w:hAnsi="Arial"/>
          <w:sz w:val="16"/>
          <w:szCs w:val="16"/>
          <w:color w:val="auto"/>
        </w:rPr>
      </w:pPr>
    </w:p>
    <w:p>
      <w:pPr>
        <w:ind w:left="4" w:right="100" w:hanging="4"/>
        <w:spacing w:after="0" w:line="290" w:lineRule="auto"/>
        <w:tabs>
          <w:tab w:leader="none" w:pos="31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there has not been any material change in the capital stock, short-term debt or long-term debt of the Company and its Subsidiary, except in each case as described in each of the Registration Statement, the Time of Sale Prospectus and the Prospectus, respectively.</w:t>
      </w:r>
    </w:p>
    <w:p>
      <w:pPr>
        <w:spacing w:after="0" w:line="161" w:lineRule="exact"/>
        <w:rPr>
          <w:rFonts w:ascii="Arial" w:cs="Arial" w:eastAsia="Arial" w:hAnsi="Arial"/>
          <w:sz w:val="17"/>
          <w:szCs w:val="17"/>
          <w:color w:val="auto"/>
        </w:rPr>
      </w:pPr>
    </w:p>
    <w:p>
      <w:pPr>
        <w:ind w:left="4" w:right="160" w:firstLine="709"/>
        <w:spacing w:after="0" w:line="277" w:lineRule="auto"/>
        <w:tabs>
          <w:tab w:leader="none" w:pos="130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Company and its Subsidiary do not own any real property and have good and marketable title to all personal property owned by them which is material to the business of the Company and its Subsidiary, in each case free and</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277" w:name="page278"/>
    <w:bookmarkEnd w:id="277"/>
    <w:p>
      <w:pPr>
        <w:ind w:left="4" w:right="60"/>
        <w:spacing w:after="0" w:line="255" w:lineRule="auto"/>
        <w:rPr>
          <w:sz w:val="20"/>
          <w:szCs w:val="20"/>
          <w:color w:val="auto"/>
        </w:rPr>
      </w:pPr>
      <w:r>
        <w:rPr>
          <w:rFonts w:ascii="Arial" w:cs="Arial" w:eastAsia="Arial" w:hAnsi="Arial"/>
          <w:sz w:val="18"/>
          <w:szCs w:val="18"/>
          <w:color w:val="auto"/>
        </w:rPr>
        <w:t>clear of all liens, encumbrances and defects except such as are described in the Time of Sale Prospectus or such as do not materially affect the value of such property and do not interfere in any material respect with the use made and proposed to be made of such property by the Company and its Subsidiary; and any real property and buildings held under lease by the Company and its Subsidiary are held by them, as applicable, under valid, subsisting and, to the Company’s knowledge, enforceable leases with such exceptions as are not material and do not interfere in any material respect with the use made and proposed to be made of such property and buildings by the Company and its Subsidiary, in each case except as described in the Time of Sale Prospectus.</w:t>
      </w:r>
    </w:p>
    <w:p>
      <w:pPr>
        <w:spacing w:after="0" w:line="193" w:lineRule="exact"/>
        <w:rPr>
          <w:sz w:val="20"/>
          <w:szCs w:val="20"/>
          <w:color w:val="auto"/>
        </w:rPr>
      </w:pPr>
    </w:p>
    <w:p>
      <w:pPr>
        <w:ind w:left="4" w:firstLine="709"/>
        <w:spacing w:after="0" w:line="282" w:lineRule="auto"/>
        <w:tabs>
          <w:tab w:leader="none" w:pos="1318"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 The Company and its Subsidiary own or have a valid license to all patents and patent applications, inventions, copyrights, know how (including trade secrets and other unpatented and/or unpatentable proprietary or confidential information, systems or procedures), trademarks, service marks and trade names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used in or reasonably necessary to the conduct of their businesses in the manner described in the Time of Sale Prospectus and the Prospectus; (ii) the Intellectual Property Rights owned by the Company and its Subsidiary and, to the Company’s knowledge, the Intellectual Property Rights licensed to the Company and its Subsidiary, are valid, subsisting and enforceable, and there is no pending or, to the Company’s knowledge, threatened action, suit, proceeding or claim by others challenging the validity, scope, inventorship, ownership or enforceability of any such Intellectual Property Rights; (iii) neither the Company nor its Subsidiary has received any notice alleging any infringement, misappropriation or other violation of Intellectual Property Rights; (iv) to the Company’s knowledge, no third party is infringing, misappropriating or otherwise violating, or has infringed, misappropriated or otherwise violated, any Intellectual Property Rights owned by the Company that would materially adversely affect the Company and its Subsidiary, taken as a whole; (v) neither the Company nor its Subsidiary infringes, misappropriates or otherwise violates (including, if the Company’s product candidates described in the Time of Sale Prospectus were manufactured, marketed, used or sold as of the date hereof) in any material respect, or has infringed, misappropriated or otherwise violated, any right or valid patent claim of any third party in any material respect; (vi) all employees, consultants or contractors engaged in the development of Intellectual Property Rights on behalf of the Company or its Subsidiary have executed an invention assignment agreement whereby such employees, consultants or contractors presently assign all of their right, title and interest in and to such Intellectual Property Rights to the Company or its Subsidiary, and to the Company’s knowledge no such agreement has been breached or violated in any material respect; (vii) the Company and its Subsidiary use, and have used, commercially reasonable efforts to appropriately maintain all information intended to be maintained as a trade secret;</w:t>
      </w:r>
    </w:p>
    <w:p>
      <w:pPr>
        <w:spacing w:after="0" w:line="12" w:lineRule="exact"/>
        <w:rPr>
          <w:rFonts w:ascii="Arial" w:cs="Arial" w:eastAsia="Arial" w:hAnsi="Arial"/>
          <w:sz w:val="16"/>
          <w:szCs w:val="16"/>
          <w:color w:val="auto"/>
        </w:rPr>
      </w:pPr>
    </w:p>
    <w:p>
      <w:pPr>
        <w:ind w:left="4" w:right="80" w:hanging="4"/>
        <w:spacing w:after="0" w:line="255" w:lineRule="auto"/>
        <w:tabs>
          <w:tab w:leader="none" w:pos="40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knowledge of the Company, none of the Intellectual Property Rights of the Company have been obtained or are being used by the Company in material violation of any contractual obligation binding on the Company or, to the knowledge of the Company, upon any of its officers, consultants, directors or employees; (ix) the</w:t>
      </w:r>
    </w:p>
    <w:p>
      <w:pPr>
        <w:spacing w:after="0" w:line="1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2" w:right="259" w:bottom="1440" w:gutter="0" w:footer="0" w:header="0"/>
        </w:sectPr>
      </w:pPr>
    </w:p>
    <w:bookmarkStart w:id="278" w:name="page279"/>
    <w:bookmarkEnd w:id="278"/>
    <w:p>
      <w:pPr>
        <w:spacing w:after="0" w:line="291" w:lineRule="auto"/>
        <w:rPr>
          <w:sz w:val="20"/>
          <w:szCs w:val="20"/>
          <w:color w:val="auto"/>
        </w:rPr>
      </w:pPr>
      <w:r>
        <w:rPr>
          <w:rFonts w:ascii="Arial" w:cs="Arial" w:eastAsia="Arial" w:hAnsi="Arial"/>
          <w:sz w:val="16"/>
          <w:szCs w:val="16"/>
          <w:color w:val="auto"/>
        </w:rPr>
        <w:t>Intellectual Property Rights owned or purported to be owned by the Company are free and clear of all material liens or encumbrances; (x) no third party, including any academic or governmental organization, possesses rights to the Intellectual Property Rights of the Company which, if exercised, could enable such party to develop, market or sell products competitive with those of the Company or to license a third party to so develop, market or sell products competitive with those of the Company; (xi) except as described in the Time of Sale Prospectus, the Company is not obligated to pay a material royalty, grant a license to, obtain a license from or provide other material consideration to any third party in connection with the Intellectual Property Rights of the Company; and (xii) all patents and patent applications owned by or licensed to the Company and included within the Intellectual Property Rights, to the knowledge of the Company, have been duly and properly filed, prosecuted and maintained.</w:t>
      </w:r>
    </w:p>
    <w:p>
      <w:pPr>
        <w:spacing w:after="0" w:line="167" w:lineRule="exact"/>
        <w:rPr>
          <w:sz w:val="20"/>
          <w:szCs w:val="20"/>
          <w:color w:val="auto"/>
        </w:rPr>
      </w:pPr>
    </w:p>
    <w:p>
      <w:pPr>
        <w:ind w:right="20" w:firstLine="709"/>
        <w:spacing w:after="0" w:line="290" w:lineRule="auto"/>
        <w:tabs>
          <w:tab w:leader="none" w:pos="130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 The Company and its Subsidiary have complied and are presently in compliance with all internal and external privacy policies, contractual obligations, industry standards, applicable laws, statutes, judgments, orders, rules and regulations of any court or arbitrator or other governmental or regulatory authority with jurisdiction over the Company, in each case, relating to the collection, use, transfer, import, export, storage, protection, disposal and disclosure by the Company or its Subsidiary of personal, personally identifiable, household, sensitive, confidential or regulated data (“</w:t>
      </w:r>
      <w:r>
        <w:rPr>
          <w:rFonts w:ascii="Arial" w:cs="Arial" w:eastAsia="Arial" w:hAnsi="Arial"/>
          <w:sz w:val="16"/>
          <w:szCs w:val="16"/>
          <w:b w:val="1"/>
          <w:bCs w:val="1"/>
          <w:color w:val="auto"/>
        </w:rPr>
        <w:t>Data Security Obligations</w:t>
      </w:r>
      <w:r>
        <w:rPr>
          <w:rFonts w:ascii="Arial" w:cs="Arial" w:eastAsia="Arial" w:hAnsi="Arial"/>
          <w:sz w:val="16"/>
          <w:szCs w:val="16"/>
          <w:color w:val="auto"/>
        </w:rPr>
        <w:t>”, and such data, “</w:t>
      </w:r>
      <w:r>
        <w:rPr>
          <w:rFonts w:ascii="Arial" w:cs="Arial" w:eastAsia="Arial" w:hAnsi="Arial"/>
          <w:sz w:val="16"/>
          <w:szCs w:val="16"/>
          <w:b w:val="1"/>
          <w:bCs w:val="1"/>
          <w:color w:val="auto"/>
        </w:rPr>
        <w:t>Confidential Data</w:t>
      </w:r>
      <w:r>
        <w:rPr>
          <w:rFonts w:ascii="Arial" w:cs="Arial" w:eastAsia="Arial" w:hAnsi="Arial"/>
          <w:sz w:val="16"/>
          <w:szCs w:val="16"/>
          <w:color w:val="auto"/>
        </w:rPr>
        <w:t>”); (ii) the Company has not received any notification of or complaint regarding and is unaware of any other facts that, individually or in the aggregate, would reasonably indicate material non-compliance with any Data Security Obligation; and (iii) there is no action, suit or proceeding by or before any court or governmental agency, authority or body pending or, to the Company’s knowledge, threatened alleging material non-compliance with any Data Security Obligation.</w:t>
      </w:r>
    </w:p>
    <w:p>
      <w:pPr>
        <w:spacing w:after="0" w:line="166" w:lineRule="exact"/>
        <w:rPr>
          <w:rFonts w:ascii="Arial" w:cs="Arial" w:eastAsia="Arial" w:hAnsi="Arial"/>
          <w:sz w:val="16"/>
          <w:szCs w:val="16"/>
          <w:color w:val="auto"/>
        </w:rPr>
      </w:pPr>
    </w:p>
    <w:p>
      <w:pPr>
        <w:ind w:right="80" w:firstLine="709"/>
        <w:spacing w:after="0" w:line="270" w:lineRule="auto"/>
        <w:tabs>
          <w:tab w:leader="none" w:pos="130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Company and its Subsidiary’s information technology assets and equipment, computers, systems, networks, hardware, software, websites, applications and databases used to process, store, maintain and operate data, information and functions are adequate for, and operate and perform in all material respects as required in connection with, the operation of the business of the Company and the Subsidiary as currently conducted. The Company and its Subsidiary have taken all reasonable technical and organizational measures to protect the information technology systems and Confidential Data used in connection with the operation of the Company’s and its Subsidiary’s businesses. Without limiting the foregoing, the Company and its Subsidiary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compromise or misuse of or relating to any information technology system or Confidential Data used in connection with the operation of the Company’s and its Subsidiary’s businesses (“</w:t>
      </w:r>
      <w:r>
        <w:rPr>
          <w:rFonts w:ascii="Arial" w:cs="Arial" w:eastAsia="Arial" w:hAnsi="Arial"/>
          <w:sz w:val="18"/>
          <w:szCs w:val="18"/>
          <w:b w:val="1"/>
          <w:bCs w:val="1"/>
          <w:color w:val="auto"/>
        </w:rPr>
        <w:t>Breach</w:t>
      </w:r>
      <w:r>
        <w:rPr>
          <w:rFonts w:ascii="Arial" w:cs="Arial" w:eastAsia="Arial" w:hAnsi="Arial"/>
          <w:sz w:val="18"/>
          <w:szCs w:val="18"/>
          <w:color w:val="auto"/>
        </w:rPr>
        <w:t>”). Except as disclosed in the Time of Sale Prospectus and the Prospectus, there has been no material Breach, and the Company and its Subsidiary have not been notified of, and have no knowledge of any event or condition that would reasonably be expected to result in, any material Breach.</w:t>
      </w:r>
    </w:p>
    <w:p>
      <w:pPr>
        <w:spacing w:after="0" w:line="187" w:lineRule="exact"/>
        <w:rPr>
          <w:sz w:val="20"/>
          <w:szCs w:val="20"/>
          <w:color w:val="auto"/>
        </w:rPr>
      </w:pPr>
    </w:p>
    <w:p>
      <w:pPr>
        <w:ind w:right="360" w:firstLine="709"/>
        <w:spacing w:after="0" w:line="259" w:lineRule="auto"/>
        <w:tabs>
          <w:tab w:leader="none" w:pos="13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its Subsidiary exists, except as described in the Time of Sale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its Subsidiary, taken as a whole.</w:t>
      </w:r>
    </w:p>
    <w:p>
      <w:pPr>
        <w:spacing w:after="0" w:line="187" w:lineRule="exact"/>
        <w:rPr>
          <w:sz w:val="20"/>
          <w:szCs w:val="20"/>
          <w:color w:val="auto"/>
        </w:rPr>
      </w:pPr>
    </w:p>
    <w:p>
      <w:pPr>
        <w:ind w:right="280" w:firstLine="645"/>
        <w:spacing w:after="0" w:line="291" w:lineRule="auto"/>
        <w:tabs>
          <w:tab w:leader="none" w:pos="127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Except (i) as described in the Time of Sale Prospectus or (ii) as would not, singly or in the aggregate, reasonably be expected to have a material adverse effect on the Company and its Subsidiary, taken as a whole, each employee benefit plan, within the meaning of</w:t>
      </w:r>
    </w:p>
    <w:p>
      <w:pPr>
        <w:ind w:right="20"/>
        <w:spacing w:after="0" w:line="273" w:lineRule="auto"/>
        <w:rPr>
          <w:rFonts w:ascii="Arial" w:cs="Arial" w:eastAsia="Arial" w:hAnsi="Arial"/>
          <w:sz w:val="16"/>
          <w:szCs w:val="16"/>
          <w:color w:val="auto"/>
        </w:rPr>
      </w:pPr>
      <w:r>
        <w:rPr>
          <w:rFonts w:ascii="Arial" w:cs="Arial" w:eastAsia="Arial" w:hAnsi="Arial"/>
          <w:sz w:val="17"/>
          <w:szCs w:val="17"/>
          <w:color w:val="auto"/>
        </w:rPr>
        <w:t>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that the Company or any member of its “Controlled Group” (defined as any organization which is under common control with the Company within the meaning of Section 414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sponsors or maintains has been maintained, in all material respects, in compliance with its terms and the requirements of any applicable statutes, orders, rules and regulations, including but not limited to ERISA and the Code.</w:t>
      </w:r>
    </w:p>
    <w:p>
      <w:pPr>
        <w:spacing w:after="0" w:line="176" w:lineRule="exact"/>
        <w:rPr>
          <w:rFonts w:ascii="Arial" w:cs="Arial" w:eastAsia="Arial" w:hAnsi="Arial"/>
          <w:sz w:val="16"/>
          <w:szCs w:val="16"/>
          <w:color w:val="auto"/>
        </w:rPr>
      </w:pPr>
    </w:p>
    <w:p>
      <w:pPr>
        <w:ind w:right="60" w:firstLine="645"/>
        <w:spacing w:after="0" w:line="273" w:lineRule="auto"/>
        <w:tabs>
          <w:tab w:leader="none" w:pos="129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 and its Subsidiary are insured by insurers of recognized financial responsibility against such losses and risks and in such amounts as, in the Company’s judgment, are prudent and customary in the businesses in which they are engaged; neither the Company nor its Subsidiary has been refused any insurance coverage sought or applied for; and neither the Company nor its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its Subsidiary, taken as a whole, except as described in the Time of Sale Prospectus.</w:t>
      </w:r>
    </w:p>
    <w:p>
      <w:pPr>
        <w:spacing w:after="0" w:line="178" w:lineRule="exact"/>
        <w:rPr>
          <w:rFonts w:ascii="Arial" w:cs="Arial" w:eastAsia="Arial" w:hAnsi="Arial"/>
          <w:sz w:val="17"/>
          <w:szCs w:val="17"/>
          <w:color w:val="auto"/>
        </w:rPr>
      </w:pPr>
    </w:p>
    <w:p>
      <w:pPr>
        <w:ind w:firstLine="645"/>
        <w:spacing w:after="0" w:line="257" w:lineRule="auto"/>
        <w:tabs>
          <w:tab w:leader="none" w:pos="130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and its Subsidiary possess all certificates, authorizations and permits issued by the appropriate federal, state or foreign regulatory authorities necessary to conduct their respective businesses, and neither the Company nor its Subsidiary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Subsidiary, taken as a whole, except as described in the Time of Sale Prospectus.</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279" w:name="page280"/>
    <w:bookmarkEnd w:id="279"/>
    <w:p>
      <w:pPr>
        <w:ind w:left="-540" w:firstLine="645"/>
        <w:spacing w:after="0" w:line="284" w:lineRule="auto"/>
        <w:tabs>
          <w:tab w:leader="none" w:pos="75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and its Subsidiary (i) are and at all times have been, in all material respects, in compliance with all statutes, rules, and regulations applicable to the ownership, research, testing, development, manufacture, packaging, processing, use, storage, import, export or disposal of any product candidates of the Company or its Subsidiary, including, without limitation, the Federal Food, Drug and Cosmetic Act (21 U.S.C.§ 301 et seq.), the regulations promulgated pursuant to such laws, and any successor government programs, and comparable state laws, and all other local, state, federal, and foreign laws, rules, regulations, policies and final administrative guidance relating to the regulation of the Company (collectively, the “</w:t>
      </w:r>
      <w:r>
        <w:rPr>
          <w:rFonts w:ascii="Arial" w:cs="Arial" w:eastAsia="Arial" w:hAnsi="Arial"/>
          <w:sz w:val="16"/>
          <w:szCs w:val="16"/>
          <w:b w:val="1"/>
          <w:bCs w:val="1"/>
          <w:color w:val="auto"/>
        </w:rPr>
        <w:t>Applicable Regulatory Laws</w:t>
      </w:r>
      <w:r>
        <w:rPr>
          <w:rFonts w:ascii="Arial" w:cs="Arial" w:eastAsia="Arial" w:hAnsi="Arial"/>
          <w:sz w:val="16"/>
          <w:szCs w:val="16"/>
          <w:color w:val="auto"/>
        </w:rPr>
        <w:t>”); (ii) possess all licenses, exemptions, certificates, approvals, consents, clearances, authorizations, permits, registrations and supplements or amendments thereto required by any such Applicable Regulatory Laws (“</w:t>
      </w:r>
      <w:r>
        <w:rPr>
          <w:rFonts w:ascii="Arial" w:cs="Arial" w:eastAsia="Arial" w:hAnsi="Arial"/>
          <w:sz w:val="16"/>
          <w:szCs w:val="16"/>
          <w:b w:val="1"/>
          <w:bCs w:val="1"/>
          <w:color w:val="auto"/>
        </w:rPr>
        <w:t>Regulatory Authorizations</w:t>
      </w:r>
      <w:r>
        <w:rPr>
          <w:rFonts w:ascii="Arial" w:cs="Arial" w:eastAsia="Arial" w:hAnsi="Arial"/>
          <w:sz w:val="16"/>
          <w:szCs w:val="16"/>
          <w:color w:val="auto"/>
        </w:rPr>
        <w:t>”) and such Regulatory Authorizations are valid and in full force and effect; (iii) are in compliance, in all material respects, with and are not in violation of, or in default under, any such Regulatory Authorization, and to the Company’s knowledge, no event has occurred which allows, or after notice or lapse of time would allow, revocation, termination or modification of any Regulatory Authorization or result in any other material impairment of the rights of the holder of any Regulatory Authorization, and the Company does not have any reason to believe that any Regulatory Authorization will not be renewed in the ordinary course; (iv) have not received written notice that any court or arbitrator or governmental or regulatory authority has taken, is taking, or intends to take action to limit, suspend, modify or revoke any Regulatory Authorizations nor, to the Company’s knowledge, is any such limitation, suspension, modification or revocation threatened; (v) have not received any notice of any claim, action, suit, proceeding, hearing, enforcement, investigation, arbitration or other action, or any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Form 483, notice of adverse finding, warning letter, untitled letter or other communication from any court or arbitrator or governmental or regulatory authority alleging or asserting non-compliance with any Applicable Regulatory Laws or Regulatory Authorizations, nor, to the Company’s knowledge, is any such claim, action, suit, proceeding, hearing, enforcement, investigation, arbitration or other action or communication threatened; (vi) have filed, obtained, maintained or submitted all material reports, documents, forms, notices, applications, records, claims, submissions and supplements or amendments as required by any Applicable Regulatory Laws or Regulatory Authorizations, and all such reports, documents, forms, notices, applications, records, claims, submissions and supplements or amendments were complete and accurate on the date filed in all material respects (or were corrected or supplemented by a subsequent submission); and (vii) are not a party to any corporate integrity agreements, monitoring agreements, consent decrees, settlement orders, or similar agreements with or imposed by any governmental or regulatory authority.</w:t>
      </w:r>
    </w:p>
    <w:p>
      <w:pPr>
        <w:spacing w:after="0" w:line="178" w:lineRule="exact"/>
        <w:rPr>
          <w:rFonts w:ascii="Arial" w:cs="Arial" w:eastAsia="Arial" w:hAnsi="Arial"/>
          <w:sz w:val="16"/>
          <w:szCs w:val="16"/>
          <w:color w:val="auto"/>
        </w:rPr>
      </w:pPr>
    </w:p>
    <w:p>
      <w:pPr>
        <w:ind w:left="-540" w:right="260" w:firstLine="645"/>
        <w:spacing w:after="0" w:line="277" w:lineRule="auto"/>
        <w:tabs>
          <w:tab w:leader="none" w:pos="76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clinical and pre-clinical trials conducted by or on behalf of, or sponsored by, the Company or its Subsidiary, or in which the Company or its Subsidiary have participated, that are described or referred to in the Registration</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2" w:right="259" w:bottom="1440" w:gutter="0" w:footer="0" w:header="0"/>
        </w:sectPr>
      </w:pPr>
    </w:p>
    <w:bookmarkStart w:id="280" w:name="page281"/>
    <w:bookmarkEnd w:id="280"/>
    <w:p>
      <w:pPr>
        <w:spacing w:after="0" w:line="288" w:lineRule="auto"/>
        <w:rPr>
          <w:sz w:val="20"/>
          <w:szCs w:val="20"/>
          <w:color w:val="auto"/>
        </w:rPr>
      </w:pPr>
      <w:r>
        <w:rPr>
          <w:rFonts w:ascii="Arial" w:cs="Arial" w:eastAsia="Arial" w:hAnsi="Arial"/>
          <w:sz w:val="16"/>
          <w:szCs w:val="16"/>
          <w:color w:val="auto"/>
        </w:rPr>
        <w:t>Statement and the Time of Sale Prospectus were and, if still pending, are being conducted, in all material respects, in compliance with the experimental protocols established for such trials, with accepted medical and scientific standards, and with all Applicable Regulatory Laws, including regulations relating to Good Clinical Practices and Good Laboratory Practices, and all Regulatory Authorizations. The descriptions of the clinical and pre-clinical trials, including the results thereof, contained in the Registration Statement and the Time of Sale Prospectus are accurate and complete in all material respects and fairly present the data derived from such trials in all material respects; and neither the Company nor its Subsidiary is aware of any other clinical or pre-clinical trials, the results of which reasonably call into question the results described in the Registration Statement and the Time of Sale Prospectus. Neither the Company nor its Subsidiary have received any notices or correspondence from FDA or similar foreign, state, and local governmental or regulatory authorities (collectively, the “</w:t>
      </w:r>
      <w:r>
        <w:rPr>
          <w:rFonts w:ascii="Arial" w:cs="Arial" w:eastAsia="Arial" w:hAnsi="Arial"/>
          <w:sz w:val="16"/>
          <w:szCs w:val="16"/>
          <w:b w:val="1"/>
          <w:bCs w:val="1"/>
          <w:color w:val="auto"/>
        </w:rPr>
        <w:t>Regulatory Authorities</w:t>
      </w:r>
      <w:r>
        <w:rPr>
          <w:rFonts w:ascii="Arial" w:cs="Arial" w:eastAsia="Arial" w:hAnsi="Arial"/>
          <w:sz w:val="16"/>
          <w:szCs w:val="16"/>
          <w:color w:val="auto"/>
        </w:rPr>
        <w:t>”) or institutional review boards or comparable authorities requiring the termination, suspension, material modification or clinical hold of any clinical or pre-clinical trials conducted by or on behalf of the Company, and to the Company’s knowledge, there are no reasonable grounds for the same.</w:t>
      </w:r>
    </w:p>
    <w:p>
      <w:pPr>
        <w:spacing w:after="0" w:line="169" w:lineRule="exact"/>
        <w:rPr>
          <w:sz w:val="20"/>
          <w:szCs w:val="20"/>
          <w:color w:val="auto"/>
        </w:rPr>
      </w:pPr>
    </w:p>
    <w:p>
      <w:pPr>
        <w:ind w:right="40" w:firstLine="645"/>
        <w:spacing w:after="0" w:line="264" w:lineRule="auto"/>
        <w:tabs>
          <w:tab w:leader="none" w:pos="129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Neither the Company nor the Subsidiary, or any of their respective directors, officers, employees or, to the Company’s knowledge, agents, is or has been debarred, suspended or excluded, or has been convicted of any crime or engaged in any conduct that would result in debarment, suspension or exclusion by FDA or from any federal or state government health care program.</w:t>
      </w:r>
    </w:p>
    <w:p>
      <w:pPr>
        <w:spacing w:after="0" w:line="181" w:lineRule="exact"/>
        <w:rPr>
          <w:rFonts w:ascii="Arial" w:cs="Arial" w:eastAsia="Arial" w:hAnsi="Arial"/>
          <w:sz w:val="18"/>
          <w:szCs w:val="18"/>
          <w:color w:val="auto"/>
        </w:rPr>
      </w:pPr>
    </w:p>
    <w:p>
      <w:pPr>
        <w:ind w:left="1320" w:hanging="675"/>
        <w:spacing w:after="0"/>
        <w:tabs>
          <w:tab w:leader="none" w:pos="1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None of the Company’s or its Subsidiary’s product candidates has received marketing approval from any Regulatory Authority.</w:t>
      </w:r>
    </w:p>
    <w:p>
      <w:pPr>
        <w:spacing w:after="0" w:line="248" w:lineRule="exact"/>
        <w:rPr>
          <w:rFonts w:ascii="Arial" w:cs="Arial" w:eastAsia="Arial" w:hAnsi="Arial"/>
          <w:sz w:val="16"/>
          <w:szCs w:val="16"/>
          <w:color w:val="auto"/>
        </w:rPr>
      </w:pPr>
    </w:p>
    <w:p>
      <w:pPr>
        <w:ind w:right="320" w:firstLine="645"/>
        <w:spacing w:after="0" w:line="264" w:lineRule="auto"/>
        <w:tabs>
          <w:tab w:leader="none" w:pos="129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Ernst &amp; Young LLP, which has certified certain financial statements of the Company and its Subsidiary, is an independent registered public accounting firm as required by the Securities Act and the rules and regulations of the Commission thereunder and the rules and regulations of the Public Company Accounting Oversight Board (United States).</w:t>
      </w:r>
    </w:p>
    <w:p>
      <w:pPr>
        <w:spacing w:after="0" w:line="181" w:lineRule="exact"/>
        <w:rPr>
          <w:rFonts w:ascii="Arial" w:cs="Arial" w:eastAsia="Arial" w:hAnsi="Arial"/>
          <w:sz w:val="18"/>
          <w:szCs w:val="18"/>
          <w:color w:val="auto"/>
        </w:rPr>
      </w:pPr>
    </w:p>
    <w:p>
      <w:pPr>
        <w:ind w:firstLine="709"/>
        <w:spacing w:after="0" w:line="272" w:lineRule="auto"/>
        <w:tabs>
          <w:tab w:leader="none" w:pos="132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included in the Registration Statement, the Time of Sale Prospectus and the Prospectus, together with the related notes, present fairly in all material respects the financial position of the Company and its consolidated Subsidiary at the dates indicated and, in the case of the statements of operations, stockholders’ equity and cash flows of the Company and its consolidated Subsidiary, for the periods specified. The consolidated financial statements of the Company included in the Registration Statement, the Time of Sale Prospectus and the Prospectus comply in all material respects with the applicable requirements of the Securities Act and have been prepared in conformity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involved except (i) the unaudited, interim financial statements, which are subject</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281" w:name="page282"/>
    <w:bookmarkEnd w:id="281"/>
    <w:p>
      <w:pPr>
        <w:ind w:left="4" w:right="160"/>
        <w:spacing w:after="0" w:line="297" w:lineRule="auto"/>
        <w:rPr>
          <w:sz w:val="20"/>
          <w:szCs w:val="20"/>
          <w:color w:val="auto"/>
        </w:rPr>
      </w:pPr>
      <w:r>
        <w:rPr>
          <w:rFonts w:ascii="Arial" w:cs="Arial" w:eastAsia="Arial" w:hAnsi="Arial"/>
          <w:sz w:val="16"/>
          <w:szCs w:val="16"/>
          <w:color w:val="auto"/>
        </w:rPr>
        <w:t>to normal year-end adjustments and do not contain certain footnotes as permitted by the applicable rules of the Commission and (ii) as otherwise disclosed therein. Except as included therein, no supporting schedules are required to be included or incorporated by reference in the Registration Statement, the Time of Sale Prospectus or the Prospectus under the Securities Act and the rules and regulations of the Commission thereunder. All other financial information included in the Registration Statement, the Time of Sale Prospectus and the Prospectus has been derived from the accounting records of the Company and its consolidated Subsidiary and presents fairly in all material respects the information shown thereby.</w:t>
      </w:r>
    </w:p>
    <w:p>
      <w:pPr>
        <w:spacing w:after="0" w:line="158" w:lineRule="exact"/>
        <w:rPr>
          <w:sz w:val="20"/>
          <w:szCs w:val="20"/>
          <w:color w:val="auto"/>
        </w:rPr>
      </w:pPr>
    </w:p>
    <w:p>
      <w:pPr>
        <w:ind w:left="1304" w:hanging="655"/>
        <w:spacing w:after="0"/>
        <w:tabs>
          <w:tab w:leader="none" w:pos="130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Company and its Subsidiary maintain a system of internal accounting controls sufficient to provide reasonable assurance that</w:t>
      </w:r>
    </w:p>
    <w:p>
      <w:pPr>
        <w:spacing w:after="0" w:line="46" w:lineRule="exact"/>
        <w:rPr>
          <w:rFonts w:ascii="Arial" w:cs="Arial" w:eastAsia="Arial" w:hAnsi="Arial"/>
          <w:sz w:val="16"/>
          <w:szCs w:val="16"/>
          <w:color w:val="auto"/>
        </w:rPr>
      </w:pPr>
    </w:p>
    <w:p>
      <w:pPr>
        <w:ind w:left="4" w:hanging="4"/>
        <w:spacing w:after="0" w:line="288" w:lineRule="auto"/>
        <w:tabs>
          <w:tab w:leader="none" w:pos="21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68" w:lineRule="exact"/>
        <w:rPr>
          <w:rFonts w:ascii="Arial" w:cs="Arial" w:eastAsia="Arial" w:hAnsi="Arial"/>
          <w:sz w:val="16"/>
          <w:szCs w:val="16"/>
          <w:color w:val="auto"/>
        </w:rPr>
      </w:pPr>
    </w:p>
    <w:p>
      <w:pPr>
        <w:ind w:left="4" w:right="140" w:firstLine="645"/>
        <w:spacing w:after="0" w:line="279" w:lineRule="auto"/>
        <w:tabs>
          <w:tab w:leader="none" w:pos="1303"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designed to comply with the requirements of the Exchange Act applicable to the Company. Such disclosure controls and procedures have been designed to ensure that material information relating to the Company is made known to the Company’s principal executive officer and principal financial officer by others within the Company.</w:t>
      </w:r>
    </w:p>
    <w:p>
      <w:pPr>
        <w:spacing w:after="0" w:line="171" w:lineRule="exact"/>
        <w:rPr>
          <w:rFonts w:ascii="Arial" w:cs="Arial" w:eastAsia="Arial" w:hAnsi="Arial"/>
          <w:sz w:val="17"/>
          <w:szCs w:val="17"/>
          <w:color w:val="auto"/>
        </w:rPr>
      </w:pPr>
    </w:p>
    <w:p>
      <w:pPr>
        <w:jc w:val="both"/>
        <w:ind w:left="4" w:right="60" w:firstLine="645"/>
        <w:spacing w:after="0" w:line="259" w:lineRule="auto"/>
        <w:tabs>
          <w:tab w:leader="none" w:pos="1331"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86" w:lineRule="exact"/>
        <w:rPr>
          <w:rFonts w:ascii="Arial" w:cs="Arial" w:eastAsia="Arial" w:hAnsi="Arial"/>
          <w:sz w:val="18"/>
          <w:szCs w:val="18"/>
          <w:color w:val="auto"/>
        </w:rPr>
      </w:pPr>
    </w:p>
    <w:p>
      <w:pPr>
        <w:ind w:left="4" w:right="200" w:firstLine="645"/>
        <w:spacing w:after="0" w:line="264" w:lineRule="auto"/>
        <w:tabs>
          <w:tab w:leader="none" w:pos="129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Company and its Subsidiary have filed all federal, state, local and foreign tax returns required to be filed through the date of this Agreement or have requested extensions thereof (except where the failure to file would not, individually or in the aggregate, reasonably be expected to have a material</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282" w:name="page283"/>
    <w:bookmarkEnd w:id="282"/>
    <w:p>
      <w:pPr>
        <w:ind w:left="4" w:right="60"/>
        <w:spacing w:after="0" w:line="297" w:lineRule="auto"/>
        <w:rPr>
          <w:sz w:val="20"/>
          <w:szCs w:val="20"/>
          <w:color w:val="auto"/>
        </w:rPr>
      </w:pPr>
      <w:r>
        <w:rPr>
          <w:rFonts w:ascii="Arial" w:cs="Arial" w:eastAsia="Arial" w:hAnsi="Arial"/>
          <w:sz w:val="16"/>
          <w:szCs w:val="16"/>
          <w:color w:val="auto"/>
        </w:rPr>
        <w:t>adverse effect) and have paid all taxes required to be paid thereon (except for cases in which the failure to file or pay would not reasonably be expected to have a material adverse effect, or, except as currently being contested in good faith and for which reserves required by GAAP have been created in the financial statements of the Company), and no tax deficiency has been determined adversely to the Company or its Subsidiary which has had (nor does the Company nor its Subsidiary have any notice or knowledge of any tax deficiency which would reasonably be expected to be determined adversely to the Company or its Subsidiary and which would reasonably be expected to have) a material adverse effect.</w:t>
      </w:r>
    </w:p>
    <w:p>
      <w:pPr>
        <w:spacing w:after="0" w:line="158" w:lineRule="exact"/>
        <w:rPr>
          <w:sz w:val="20"/>
          <w:szCs w:val="20"/>
          <w:color w:val="auto"/>
        </w:rPr>
      </w:pPr>
    </w:p>
    <w:p>
      <w:pPr>
        <w:ind w:left="4" w:right="200" w:firstLine="645"/>
        <w:spacing w:after="0" w:line="308" w:lineRule="auto"/>
        <w:tabs>
          <w:tab w:leader="none" w:pos="130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Other than its ownership of all of the equity interests of the Subsidiary, the Company does not, directly or indirectly, own capital stock or other equity or ownership or proprietary interests in any corporation, partnership, association, trust or other entity.</w:t>
      </w:r>
    </w:p>
    <w:p>
      <w:pPr>
        <w:spacing w:after="0" w:line="146" w:lineRule="exact"/>
        <w:rPr>
          <w:rFonts w:ascii="Arial" w:cs="Arial" w:eastAsia="Arial" w:hAnsi="Arial"/>
          <w:sz w:val="17"/>
          <w:szCs w:val="17"/>
          <w:color w:val="auto"/>
        </w:rPr>
      </w:pPr>
    </w:p>
    <w:p>
      <w:pPr>
        <w:ind w:left="4" w:right="160" w:firstLine="645"/>
        <w:spacing w:after="0" w:line="257" w:lineRule="auto"/>
        <w:tabs>
          <w:tab w:leader="none" w:pos="130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5(d) of the Securities Act.</w:t>
      </w:r>
    </w:p>
    <w:p>
      <w:pPr>
        <w:spacing w:after="0" w:line="188" w:lineRule="exact"/>
        <w:rPr>
          <w:rFonts w:ascii="Arial" w:cs="Arial" w:eastAsia="Arial" w:hAnsi="Arial"/>
          <w:sz w:val="18"/>
          <w:szCs w:val="18"/>
          <w:color w:val="auto"/>
        </w:rPr>
      </w:pPr>
    </w:p>
    <w:p>
      <w:pPr>
        <w:ind w:left="4" w:firstLine="645"/>
        <w:spacing w:after="0" w:line="291" w:lineRule="auto"/>
        <w:tabs>
          <w:tab w:leader="none" w:pos="1303"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III hereto. “</w:t>
      </w:r>
      <w:r>
        <w:rPr>
          <w:rFonts w:ascii="Arial" w:cs="Arial" w:eastAsia="Arial" w:hAnsi="Arial"/>
          <w:sz w:val="16"/>
          <w:szCs w:val="16"/>
          <w:b w:val="1"/>
          <w:bCs w:val="1"/>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 the Securities Act.</w:t>
      </w:r>
    </w:p>
    <w:p>
      <w:pPr>
        <w:spacing w:after="0" w:line="167" w:lineRule="exact"/>
        <w:rPr>
          <w:rFonts w:ascii="Arial" w:cs="Arial" w:eastAsia="Arial" w:hAnsi="Arial"/>
          <w:sz w:val="16"/>
          <w:szCs w:val="16"/>
          <w:color w:val="auto"/>
        </w:rPr>
      </w:pPr>
    </w:p>
    <w:p>
      <w:pPr>
        <w:ind w:left="4" w:right="40" w:firstLine="645"/>
        <w:spacing w:after="0" w:line="291" w:lineRule="auto"/>
        <w:tabs>
          <w:tab w:leader="none" w:pos="1303"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As of the time of each sale of the Shares in connection with the offering when the Prospectus is not yet available to prospective purchasers, none of (i) the Time of Sale Prospectus, (ii) any free writing prospectus, when considered together with the Time of Sale Prospectus, and</w:t>
      </w:r>
    </w:p>
    <w:p>
      <w:pPr>
        <w:ind w:left="4" w:right="240" w:hanging="4"/>
        <w:spacing w:after="0" w:line="290" w:lineRule="auto"/>
        <w:tabs>
          <w:tab w:leader="none" w:pos="31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individual Written Testing-the-Waters Communication, when considered together with the Time of Sale Prospectus, included, includes or will include an untrue statement of a material fact or omitted, omits or will omit to state a material fact necessary in</w:t>
      </w:r>
    </w:p>
    <w:p>
      <w:pPr>
        <w:spacing w:after="0" w:line="16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2" w:right="259" w:bottom="1440" w:gutter="0" w:footer="0" w:header="0"/>
        </w:sectPr>
      </w:pPr>
    </w:p>
    <w:bookmarkStart w:id="283" w:name="page284"/>
    <w:bookmarkEnd w:id="283"/>
    <w:p>
      <w:pPr>
        <w:ind w:left="660"/>
        <w:spacing w:after="0"/>
        <w:rPr>
          <w:sz w:val="20"/>
          <w:szCs w:val="20"/>
          <w:color w:val="auto"/>
        </w:rPr>
      </w:pPr>
      <w:r>
        <w:rPr>
          <w:rFonts w:ascii="Arial" w:cs="Arial" w:eastAsia="Arial" w:hAnsi="Arial"/>
          <w:sz w:val="18"/>
          <w:szCs w:val="18"/>
          <w:color w:val="auto"/>
        </w:rPr>
        <w:t>order to make the statements therein, in the light of the circumstances under which they were made, not misleading.</w:t>
      </w:r>
    </w:p>
    <w:p>
      <w:pPr>
        <w:spacing w:after="0" w:line="225" w:lineRule="exact"/>
        <w:rPr>
          <w:sz w:val="20"/>
          <w:szCs w:val="20"/>
          <w:color w:val="auto"/>
        </w:rPr>
      </w:pPr>
    </w:p>
    <w:p>
      <w:pPr>
        <w:ind w:left="660" w:right="180" w:firstLine="645"/>
        <w:spacing w:after="0" w:line="277" w:lineRule="auto"/>
        <w:tabs>
          <w:tab w:leader="none" w:pos="19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Neither the Company nor its Subsidiary has any securities rated by any “nationally recognized statistical rating organization,” as such term is defined in Section 3(a)(62) of the Exchange Act.</w:t>
      </w:r>
    </w:p>
    <w:p>
      <w:pPr>
        <w:spacing w:after="0" w:line="170" w:lineRule="exact"/>
        <w:rPr>
          <w:rFonts w:ascii="Arial" w:cs="Arial" w:eastAsia="Arial" w:hAnsi="Arial"/>
          <w:sz w:val="18"/>
          <w:szCs w:val="18"/>
          <w:color w:val="auto"/>
        </w:rPr>
      </w:pPr>
    </w:p>
    <w:p>
      <w:pPr>
        <w:ind w:right="200" w:firstLine="656"/>
        <w:spacing w:after="0" w:line="312" w:lineRule="auto"/>
        <w:tabs>
          <w:tab w:leader="none" w:pos="1175"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several Underwriters, and each Underwriter, upon the basis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representations and warranties herein contained, but subject to the conditions hereinafter stated, agrees, severally and not jointly, to purchase from the Company the respective numbers of Firm Shares set forth in Schedule I hereto opposite its name at $[·] a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7"/>
          <w:szCs w:val="17"/>
          <w:b w:val="1"/>
          <w:bCs w:val="1"/>
          <w:color w:val="auto"/>
        </w:rPr>
        <w:t>Option</w:t>
      </w:r>
      <w:r>
        <w:rPr>
          <w:rFonts w:ascii="Arial" w:cs="Arial" w:eastAsia="Arial" w:hAnsi="Arial"/>
          <w:sz w:val="17"/>
          <w:szCs w:val="17"/>
          <w:color w:val="auto"/>
        </w:rPr>
        <w:t xml:space="preserve"> </w:t>
      </w:r>
      <w:r>
        <w:rPr>
          <w:rFonts w:ascii="Arial" w:cs="Arial" w:eastAsia="Arial" w:hAnsi="Arial"/>
          <w:sz w:val="17"/>
          <w:szCs w:val="17"/>
          <w:b w:val="1"/>
          <w:bCs w:val="1"/>
          <w:color w:val="auto"/>
        </w:rPr>
        <w:t>Closing Date</w:t>
      </w:r>
      <w:r>
        <w:rPr>
          <w:rFonts w:ascii="Arial" w:cs="Arial" w:eastAsia="Arial" w:hAnsi="Arial"/>
          <w:sz w:val="17"/>
          <w:szCs w:val="17"/>
          <w:color w:val="auto"/>
        </w:rPr>
        <w:t>”), each Underwriter agrees, severally and not jointly, to purchase the number of Additional Shares (subject to such adjustments to eliminate</w:t>
      </w:r>
      <w:r>
        <w:rPr>
          <w:rFonts w:ascii="Arial" w:cs="Arial" w:eastAsia="Arial" w:hAnsi="Arial"/>
          <w:sz w:val="17"/>
          <w:szCs w:val="17"/>
          <w:b w:val="1"/>
          <w:bCs w:val="1"/>
          <w:color w:val="auto"/>
        </w:rPr>
        <w:t xml:space="preserve"> </w:t>
      </w:r>
      <w:r>
        <w:rPr>
          <w:rFonts w:ascii="Arial" w:cs="Arial" w:eastAsia="Arial" w:hAnsi="Arial"/>
          <w:sz w:val="17"/>
          <w:szCs w:val="17"/>
          <w:color w:val="auto"/>
        </w:rPr>
        <w:t>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8" w:lineRule="exact"/>
        <w:rPr>
          <w:sz w:val="20"/>
          <w:szCs w:val="20"/>
          <w:color w:val="auto"/>
        </w:rPr>
      </w:pPr>
    </w:p>
    <w:p>
      <w:pPr>
        <w:ind w:right="40" w:firstLine="656"/>
        <w:spacing w:after="0" w:line="255" w:lineRule="auto"/>
        <w:tabs>
          <w:tab w:leader="none" w:pos="1175"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 a share (the “</w:t>
      </w:r>
      <w:r>
        <w:rPr>
          <w:rFonts w:ascii="Arial" w:cs="Arial" w:eastAsia="Arial" w:hAnsi="Arial"/>
          <w:sz w:val="18"/>
          <w:szCs w:val="18"/>
          <w:b w:val="1"/>
          <w:bCs w:val="1"/>
          <w:color w:val="auto"/>
        </w:rPr>
        <w:t>Public Offering</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and to certain dealers selected by the Representatives at a price that represents a concession not in excess of $[·] a share under the Public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Price, and that any Underwriter may allow, and such dealers may reallow, a concession, not in excess of $[·] a share, to any Underwriter or to certain other dealers.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4" w:name="page285"/>
    <w:bookmarkEnd w:id="284"/>
    <w:p>
      <w:pPr>
        <w:jc w:val="both"/>
        <w:ind w:right="140" w:firstLine="656"/>
        <w:spacing w:after="0" w:line="259" w:lineRule="auto"/>
        <w:tabs>
          <w:tab w:leader="none" w:pos="1175"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Shares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against delivery of such Firm Shares for the respective accounts of the several Underwriters at 10:00 a.m., New York City time, on [·], 2019, or at such other time on the same or such other date, not later than [·], 2019,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2019, as shall be designated in writing by the Representatives.</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88" w:lineRule="exact"/>
        <w:rPr>
          <w:sz w:val="20"/>
          <w:szCs w:val="20"/>
          <w:color w:val="auto"/>
        </w:rPr>
      </w:pPr>
    </w:p>
    <w:p>
      <w:pPr>
        <w:ind w:right="100" w:firstLine="656"/>
        <w:spacing w:after="0" w:line="264" w:lineRule="auto"/>
        <w:tabs>
          <w:tab w:leader="none" w:pos="1296"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Underwriters to purchase and pay for the Shares on the Closing Date are subject to the condition that the Registration Statement shall have become effective not later than [·] (New York City time) on the date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225" w:lineRule="exact"/>
        <w:rPr>
          <w:sz w:val="20"/>
          <w:szCs w:val="20"/>
          <w:color w:val="auto"/>
        </w:rPr>
      </w:pPr>
    </w:p>
    <w:p>
      <w:pPr>
        <w:ind w:left="660" w:right="60" w:firstLine="839"/>
        <w:spacing w:after="0" w:line="257" w:lineRule="auto"/>
        <w:tabs>
          <w:tab w:leader="none" w:pos="195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 there shall not have occurred any change, or any development involving a prospective change, in the condition, financial or otherwise, or in the earnings, business or operations of the Company and its Subsidiary,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188" w:lineRule="exact"/>
        <w:rPr>
          <w:rFonts w:ascii="Arial" w:cs="Arial" w:eastAsia="Arial" w:hAnsi="Arial"/>
          <w:sz w:val="18"/>
          <w:szCs w:val="18"/>
          <w:color w:val="auto"/>
        </w:rPr>
      </w:pPr>
    </w:p>
    <w:p>
      <w:pPr>
        <w:ind w:left="660" w:right="120" w:firstLine="839"/>
        <w:spacing w:after="0" w:line="264" w:lineRule="auto"/>
        <w:tabs>
          <w:tab w:leader="none" w:pos="196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an executive officer of the Company on behalf of the Company, to the effect set forth in Section 5(a) above; and to the effect that the representations and warranties of the Company contained in this Agreement are true and correct as of the Closing Date and that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5" w:name="page286"/>
    <w:bookmarkEnd w:id="285"/>
    <w:p>
      <w:pPr>
        <w:spacing w:after="0" w:line="342" w:lineRule="auto"/>
        <w:rPr>
          <w:sz w:val="20"/>
          <w:szCs w:val="20"/>
          <w:color w:val="auto"/>
        </w:rPr>
      </w:pPr>
      <w:r>
        <w:rPr>
          <w:rFonts w:ascii="Arial" w:cs="Arial" w:eastAsia="Arial" w:hAnsi="Arial"/>
          <w:sz w:val="16"/>
          <w:szCs w:val="16"/>
          <w:color w:val="auto"/>
        </w:rPr>
        <w:t>Company has complied with all of the agreements and satisfied all of the conditions on its part to be performed or satisfied hereunder on or before the Closing Date. The officer signing and delivering such certificate may rely upon the best of his or her knowledge as to the proceedings threatened.</w:t>
      </w:r>
    </w:p>
    <w:p>
      <w:pPr>
        <w:spacing w:after="0" w:line="124" w:lineRule="exact"/>
        <w:rPr>
          <w:sz w:val="20"/>
          <w:szCs w:val="20"/>
          <w:color w:val="auto"/>
        </w:rPr>
      </w:pPr>
    </w:p>
    <w:p>
      <w:pPr>
        <w:ind w:right="100" w:firstLine="839"/>
        <w:spacing w:after="0" w:line="342" w:lineRule="auto"/>
        <w:tabs>
          <w:tab w:leader="none" w:pos="131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 opinion and negative assurance letter from Wilmer Cutler Pickering Hale and Dorr LLP, outside counsel for the Company, dated the Closing Date, in form and substance reasonably satisfactory to the Underwriters.</w:t>
      </w:r>
    </w:p>
    <w:p>
      <w:pPr>
        <w:spacing w:after="0" w:line="123" w:lineRule="exact"/>
        <w:rPr>
          <w:rFonts w:ascii="Arial" w:cs="Arial" w:eastAsia="Arial" w:hAnsi="Arial"/>
          <w:sz w:val="16"/>
          <w:szCs w:val="16"/>
          <w:color w:val="auto"/>
        </w:rPr>
      </w:pPr>
    </w:p>
    <w:p>
      <w:pPr>
        <w:ind w:right="20" w:firstLine="839"/>
        <w:spacing w:after="0" w:line="308" w:lineRule="auto"/>
        <w:tabs>
          <w:tab w:leader="none" w:pos="130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of Cooley LLP, special counsel to the Company with respect to certain intellectual property matters, dated the Closing Date, in form and substance reasonably satisfactory to the Underwriters.</w:t>
      </w:r>
    </w:p>
    <w:p>
      <w:pPr>
        <w:spacing w:after="0" w:line="146" w:lineRule="exact"/>
        <w:rPr>
          <w:rFonts w:ascii="Arial" w:cs="Arial" w:eastAsia="Arial" w:hAnsi="Arial"/>
          <w:sz w:val="17"/>
          <w:szCs w:val="17"/>
          <w:color w:val="auto"/>
        </w:rPr>
      </w:pPr>
    </w:p>
    <w:p>
      <w:pPr>
        <w:ind w:right="440" w:firstLine="839"/>
        <w:spacing w:after="0" w:line="308" w:lineRule="auto"/>
        <w:tabs>
          <w:tab w:leader="none" w:pos="1312"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negative assurance letter from Ropes &amp; Gray LLP, counsel for the Underwriters, dated the Closing Date, in form and substance reasonably satisfactory to the Underwriters.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respect to Sections 5(c) and 5(e) above, Wilmer Cutler Pickering Hale and Dorr LLP and Ropes &amp; Gray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opinions of Wilmer Cutler Pickering Hale and Dorr LLP and Cooley LLP described in Sections 5(c) and 5(d) above, respectively, shall be rendered to the Underwriters at the request of the Company and shall so state therein.</w:t>
      </w:r>
    </w:p>
    <w:p>
      <w:pPr>
        <w:spacing w:after="0" w:line="170" w:lineRule="exact"/>
        <w:rPr>
          <w:sz w:val="20"/>
          <w:szCs w:val="20"/>
          <w:color w:val="auto"/>
        </w:rPr>
      </w:pPr>
    </w:p>
    <w:p>
      <w:pPr>
        <w:ind w:firstLine="839"/>
        <w:spacing w:after="0" w:line="276" w:lineRule="auto"/>
        <w:tabs>
          <w:tab w:leader="none" w:pos="130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letter delivered on the Closing Date shall use a “cut-off date” not earlier than the date hereof.</w:t>
      </w:r>
    </w:p>
    <w:p>
      <w:pPr>
        <w:spacing w:after="0" w:line="172" w:lineRule="exact"/>
        <w:rPr>
          <w:rFonts w:ascii="Arial" w:cs="Arial" w:eastAsia="Arial" w:hAnsi="Arial"/>
          <w:sz w:val="17"/>
          <w:szCs w:val="17"/>
          <w:color w:val="auto"/>
        </w:rPr>
      </w:pPr>
    </w:p>
    <w:p>
      <w:pPr>
        <w:ind w:right="60" w:firstLine="839"/>
        <w:spacing w:after="0" w:line="259" w:lineRule="auto"/>
        <w:tabs>
          <w:tab w:leader="none" w:pos="132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among the Representatives and each of the security holders, officers and directors of the Company, respectively, relating to sales and certain other dispositions of shares of Common Stock or certain other securities, delivered to the Representatives on or before the date hereof (the “</w:t>
      </w:r>
      <w:r>
        <w:rPr>
          <w:rFonts w:ascii="Arial" w:cs="Arial" w:eastAsia="Arial" w:hAnsi="Arial"/>
          <w:sz w:val="18"/>
          <w:szCs w:val="18"/>
          <w:b w:val="1"/>
          <w:bCs w:val="1"/>
          <w:color w:val="auto"/>
        </w:rPr>
        <w:t>Lock-up Agreements</w:t>
      </w:r>
      <w:r>
        <w:rPr>
          <w:rFonts w:ascii="Arial" w:cs="Arial" w:eastAsia="Arial" w:hAnsi="Arial"/>
          <w:sz w:val="18"/>
          <w:szCs w:val="18"/>
          <w:color w:val="auto"/>
        </w:rPr>
        <w:t>”), shall be in full force and effect on the Closing Date.</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286" w:name="page287"/>
    <w:bookmarkEnd w:id="286"/>
    <w:p>
      <w:pPr>
        <w:jc w:val="both"/>
        <w:ind w:left="-540" w:right="340" w:firstLine="839"/>
        <w:spacing w:after="0" w:line="264" w:lineRule="auto"/>
        <w:tabs>
          <w:tab w:leader="none" w:pos="76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Delivery to the Underwriters on the Closing Date of such other documents as the Representatives may reasonably request with respect to the good standing of the Company and the Subsidiary, the due authorization and issuance of the Firm Shares to be sold on the Closing Date and other matters related to the issuance of the Firm Shares.</w:t>
      </w:r>
    </w:p>
    <w:p>
      <w:pPr>
        <w:spacing w:after="0" w:line="181" w:lineRule="exact"/>
        <w:rPr>
          <w:rFonts w:ascii="Arial" w:cs="Arial" w:eastAsia="Arial" w:hAnsi="Arial"/>
          <w:sz w:val="18"/>
          <w:szCs w:val="18"/>
          <w:color w:val="auto"/>
        </w:rPr>
      </w:pPr>
    </w:p>
    <w:p>
      <w:pPr>
        <w:ind w:left="-540" w:right="980" w:firstLine="839"/>
        <w:spacing w:after="0" w:line="277" w:lineRule="auto"/>
        <w:tabs>
          <w:tab w:leader="none" w:pos="78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Underwriters on the applicable Option Closing Date of the following:</w:t>
      </w:r>
    </w:p>
    <w:p>
      <w:pPr>
        <w:spacing w:after="0" w:line="170" w:lineRule="exact"/>
        <w:rPr>
          <w:rFonts w:ascii="Arial" w:cs="Arial" w:eastAsia="Arial" w:hAnsi="Arial"/>
          <w:sz w:val="18"/>
          <w:szCs w:val="18"/>
          <w:color w:val="auto"/>
        </w:rPr>
      </w:pPr>
    </w:p>
    <w:p>
      <w:pPr>
        <w:ind w:left="160" w:right="100" w:firstLine="852"/>
        <w:spacing w:after="0" w:line="264" w:lineRule="auto"/>
        <w:tabs>
          <w:tab w:leader="none" w:pos="153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certificate, dated the Option Closing Date and signed by an executive officer of the Company on behalf of the Company, confirming that the certificate delivered on the Closing Date pursuant to Section 5(b) hereof remains true and correct as of such Option Closing Date;</w:t>
      </w:r>
    </w:p>
    <w:p>
      <w:pPr>
        <w:spacing w:after="0" w:line="181" w:lineRule="exact"/>
        <w:rPr>
          <w:rFonts w:ascii="Arial" w:cs="Arial" w:eastAsia="Arial" w:hAnsi="Arial"/>
          <w:sz w:val="18"/>
          <w:szCs w:val="18"/>
          <w:color w:val="auto"/>
        </w:rPr>
      </w:pPr>
    </w:p>
    <w:p>
      <w:pPr>
        <w:ind w:left="160" w:right="100" w:firstLine="852"/>
        <w:spacing w:after="0" w:line="264" w:lineRule="auto"/>
        <w:tabs>
          <w:tab w:leader="none" w:pos="154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 opinion and negative assurance letter from Wilmer Cutler Pickering Hale and Dorr LLP , outside counsel for the Company, dated the Option Closing Date, relating to the Additional Shares to be purchased on such Option Closing Date and otherwise to the same effect as the opinion required by Section 5(c) hereof;</w:t>
      </w:r>
    </w:p>
    <w:p>
      <w:pPr>
        <w:spacing w:after="0" w:line="181" w:lineRule="exact"/>
        <w:rPr>
          <w:rFonts w:ascii="Arial" w:cs="Arial" w:eastAsia="Arial" w:hAnsi="Arial"/>
          <w:sz w:val="18"/>
          <w:szCs w:val="18"/>
          <w:color w:val="auto"/>
        </w:rPr>
      </w:pPr>
    </w:p>
    <w:p>
      <w:pPr>
        <w:ind w:left="160" w:right="220" w:firstLine="852"/>
        <w:spacing w:after="0" w:line="277" w:lineRule="auto"/>
        <w:tabs>
          <w:tab w:leader="none" w:pos="155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 opinion of Cooley LLP, special counsel to the Company with respect to certain intellectual property matters, dated the Option Closing Date and otherwise to the same effect as the opinion required by Section 5(d) hereof;</w:t>
      </w:r>
    </w:p>
    <w:p>
      <w:pPr>
        <w:spacing w:after="0" w:line="170" w:lineRule="exact"/>
        <w:rPr>
          <w:rFonts w:ascii="Arial" w:cs="Arial" w:eastAsia="Arial" w:hAnsi="Arial"/>
          <w:sz w:val="18"/>
          <w:szCs w:val="18"/>
          <w:color w:val="auto"/>
        </w:rPr>
      </w:pPr>
    </w:p>
    <w:p>
      <w:pPr>
        <w:jc w:val="both"/>
        <w:ind w:left="160" w:right="520" w:firstLine="852"/>
        <w:spacing w:after="0" w:line="264" w:lineRule="auto"/>
        <w:tabs>
          <w:tab w:leader="none" w:pos="153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 opinion and negative assurance letter from Ropes &amp; Gray LLP, counsel for the Underwriters, dated the Option Closing Date, relating to the Additional Shares to be purchased on such Option Closing Date and otherwise to the same effect as the opinion required by Section 5(e) hereof;</w:t>
      </w:r>
    </w:p>
    <w:p>
      <w:pPr>
        <w:spacing w:after="0" w:line="181" w:lineRule="exact"/>
        <w:rPr>
          <w:rFonts w:ascii="Arial" w:cs="Arial" w:eastAsia="Arial" w:hAnsi="Arial"/>
          <w:sz w:val="18"/>
          <w:szCs w:val="18"/>
          <w:color w:val="auto"/>
        </w:rPr>
      </w:pPr>
    </w:p>
    <w:p>
      <w:pPr>
        <w:ind w:left="160" w:firstLine="852"/>
        <w:spacing w:after="0" w:line="259" w:lineRule="auto"/>
        <w:tabs>
          <w:tab w:leader="none" w:pos="152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satisfactory to the Underwriters, from Ernst &amp; Young LLP, independent public accountants, substantially in the same form and substance as the letter furnished to the Underwriters pursuant to Section 5(f)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 and</w:t>
      </w:r>
    </w:p>
    <w:p>
      <w:pPr>
        <w:spacing w:after="0" w:line="186" w:lineRule="exact"/>
        <w:rPr>
          <w:rFonts w:ascii="Arial" w:cs="Arial" w:eastAsia="Arial" w:hAnsi="Arial"/>
          <w:sz w:val="18"/>
          <w:szCs w:val="18"/>
          <w:color w:val="auto"/>
        </w:rPr>
      </w:pPr>
    </w:p>
    <w:p>
      <w:pPr>
        <w:ind w:left="160" w:right="80" w:firstLine="852"/>
        <w:spacing w:after="0" w:line="264" w:lineRule="auto"/>
        <w:tabs>
          <w:tab w:leader="none" w:pos="153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and its Subsidiary, the due authorization and issuance of the Additional Shares to be sold on such Option Closing Date and other matters related to the issuance of such Additional Shares.</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2" w:right="239" w:bottom="1440" w:gutter="0" w:footer="0" w:header="0"/>
        </w:sectPr>
      </w:pPr>
    </w:p>
    <w:bookmarkStart w:id="287" w:name="page288"/>
    <w:bookmarkEnd w:id="287"/>
    <w:p>
      <w:pPr>
        <w:ind w:left="524" w:hanging="524"/>
        <w:spacing w:after="0"/>
        <w:tabs>
          <w:tab w:leader="none" w:pos="524"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rFonts w:ascii="Arial" w:cs="Arial" w:eastAsia="Arial" w:hAnsi="Arial"/>
          <w:sz w:val="18"/>
          <w:szCs w:val="18"/>
          <w:color w:val="auto"/>
        </w:rPr>
      </w:pPr>
    </w:p>
    <w:p>
      <w:pPr>
        <w:ind w:left="4" w:right="80" w:firstLine="839"/>
        <w:spacing w:after="0" w:line="276" w:lineRule="auto"/>
        <w:tabs>
          <w:tab w:leader="none" w:pos="1303"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To furnish to the Representatives, without charge, five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second business day succeeding the date of this Agreement and during the periods mentioned in Section 6(e) and 6(f) below, as many copies of the Time of Sale Prospectus, the Prospectus and any supplements and amendments thereto or to the Registration Statement as the Representatives may reasonably request.</w:t>
      </w:r>
    </w:p>
    <w:p>
      <w:pPr>
        <w:spacing w:after="0" w:line="172" w:lineRule="exact"/>
        <w:rPr>
          <w:rFonts w:ascii="Arial" w:cs="Arial" w:eastAsia="Arial" w:hAnsi="Arial"/>
          <w:sz w:val="17"/>
          <w:szCs w:val="17"/>
          <w:color w:val="auto"/>
        </w:rPr>
      </w:pPr>
    </w:p>
    <w:p>
      <w:pPr>
        <w:ind w:left="4" w:right="180" w:firstLine="839"/>
        <w:spacing w:after="0" w:line="279" w:lineRule="auto"/>
        <w:tabs>
          <w:tab w:leader="none" w:pos="1313" w:val="left"/>
        </w:tabs>
        <w:numPr>
          <w:ilvl w:val="1"/>
          <w:numId w:val="155"/>
        </w:numPr>
        <w:rPr>
          <w:rFonts w:ascii="Arial" w:cs="Arial" w:eastAsia="Arial" w:hAnsi="Arial"/>
          <w:sz w:val="17"/>
          <w:szCs w:val="17"/>
          <w:color w:val="auto"/>
        </w:rPr>
      </w:pPr>
      <w:r>
        <w:rPr>
          <w:rFonts w:ascii="Arial" w:cs="Arial" w:eastAsia="Arial" w:hAnsi="Arial"/>
          <w:sz w:val="17"/>
          <w:szCs w:val="17"/>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in a timely manner, and to file with the Commission within the applicable period specified in Rule 424(b) under the Securities Act any prospectus required to be filed pursuant to such Rule.</w:t>
      </w:r>
    </w:p>
    <w:p>
      <w:pPr>
        <w:spacing w:after="0" w:line="171" w:lineRule="exact"/>
        <w:rPr>
          <w:rFonts w:ascii="Arial" w:cs="Arial" w:eastAsia="Arial" w:hAnsi="Arial"/>
          <w:sz w:val="17"/>
          <w:szCs w:val="17"/>
          <w:color w:val="auto"/>
        </w:rPr>
      </w:pPr>
    </w:p>
    <w:p>
      <w:pPr>
        <w:ind w:left="4" w:right="300" w:firstLine="839"/>
        <w:spacing w:after="0" w:line="342" w:lineRule="auto"/>
        <w:tabs>
          <w:tab w:leader="none" w:pos="131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23" w:lineRule="exact"/>
        <w:rPr>
          <w:rFonts w:ascii="Arial" w:cs="Arial" w:eastAsia="Arial" w:hAnsi="Arial"/>
          <w:sz w:val="16"/>
          <w:szCs w:val="16"/>
          <w:color w:val="auto"/>
        </w:rPr>
      </w:pPr>
    </w:p>
    <w:p>
      <w:pPr>
        <w:jc w:val="both"/>
        <w:ind w:left="4" w:right="80" w:firstLine="839"/>
        <w:spacing w:after="0" w:line="264" w:lineRule="auto"/>
        <w:tabs>
          <w:tab w:leader="none" w:pos="131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1" w:lineRule="exact"/>
        <w:rPr>
          <w:rFonts w:ascii="Arial" w:cs="Arial" w:eastAsia="Arial" w:hAnsi="Arial"/>
          <w:sz w:val="18"/>
          <w:szCs w:val="18"/>
          <w:color w:val="auto"/>
        </w:rPr>
      </w:pPr>
    </w:p>
    <w:p>
      <w:pPr>
        <w:ind w:left="4" w:right="80" w:firstLine="839"/>
        <w:spacing w:after="0" w:line="253" w:lineRule="auto"/>
        <w:tabs>
          <w:tab w:leader="none" w:pos="131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w:t>
      </w:r>
    </w:p>
    <w:p>
      <w:pPr>
        <w:spacing w:after="0" w:line="1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Prospectus, as amended or supplemented, will no longer conflict with the Registration Statement, or so that the Time of Sale Prospectus, as amended or supplemented, will comply with applicable law.</w:t>
      </w:r>
    </w:p>
    <w:p>
      <w:pPr>
        <w:spacing w:after="0" w:line="170" w:lineRule="exact"/>
        <w:rPr>
          <w:sz w:val="20"/>
          <w:szCs w:val="20"/>
          <w:color w:val="auto"/>
        </w:rPr>
      </w:pPr>
    </w:p>
    <w:p>
      <w:pPr>
        <w:ind w:left="4" w:firstLine="839"/>
        <w:spacing w:after="0" w:line="269" w:lineRule="auto"/>
        <w:tabs>
          <w:tab w:leader="none" w:pos="134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82" w:lineRule="exact"/>
        <w:rPr>
          <w:rFonts w:ascii="Arial" w:cs="Arial" w:eastAsia="Arial" w:hAnsi="Arial"/>
          <w:sz w:val="17"/>
          <w:szCs w:val="17"/>
          <w:color w:val="auto"/>
        </w:rPr>
      </w:pPr>
    </w:p>
    <w:p>
      <w:pPr>
        <w:ind w:left="4" w:right="140" w:firstLine="839"/>
        <w:spacing w:after="0" w:line="259" w:lineRule="auto"/>
        <w:tabs>
          <w:tab w:leader="none" w:pos="137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required by applicable law, to endeavor to qualify the Shares for offer and sale under the securities or Blue Sky laws of such jurisdictions as the Representatives shall reasonably request; provided, however, that nothing contained herein shall require the Company to qualify to do business in any jurisdiction, to execute a general consent of service of process in any jurisdiction or to subject itself to taxation in any jurisdiction in which it is not otherwise subject.</w:t>
      </w:r>
    </w:p>
    <w:p>
      <w:pPr>
        <w:spacing w:after="0" w:line="186" w:lineRule="exact"/>
        <w:rPr>
          <w:rFonts w:ascii="Arial" w:cs="Arial" w:eastAsia="Arial" w:hAnsi="Arial"/>
          <w:sz w:val="18"/>
          <w:szCs w:val="18"/>
          <w:color w:val="auto"/>
        </w:rPr>
      </w:pPr>
    </w:p>
    <w:p>
      <w:pPr>
        <w:ind w:left="4" w:right="200" w:firstLine="839"/>
        <w:spacing w:after="0" w:line="257" w:lineRule="auto"/>
        <w:tabs>
          <w:tab w:leader="none" w:pos="132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and to the Representatives as soon as reasonably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provided that the Company will be deemed to have furnished such statement to its security holders to the extent it is filed on the Commission’s Electronic Data Gathering, Analysis and Retrieval System.</w:t>
      </w:r>
    </w:p>
    <w:p>
      <w:pPr>
        <w:spacing w:after="0" w:line="188" w:lineRule="exact"/>
        <w:rPr>
          <w:rFonts w:ascii="Arial" w:cs="Arial" w:eastAsia="Arial" w:hAnsi="Arial"/>
          <w:sz w:val="18"/>
          <w:szCs w:val="18"/>
          <w:color w:val="auto"/>
        </w:rPr>
      </w:pPr>
    </w:p>
    <w:p>
      <w:pPr>
        <w:ind w:left="4" w:right="40" w:firstLine="839"/>
        <w:spacing w:after="0" w:line="259" w:lineRule="auto"/>
        <w:tabs>
          <w:tab w:leader="none" w:pos="137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288" w:name="page289"/>
    <w:bookmarkEnd w:id="288"/>
    <w:p>
      <w:pPr>
        <w:spacing w:after="0" w:line="284" w:lineRule="auto"/>
        <w:rPr>
          <w:sz w:val="20"/>
          <w:szCs w:val="20"/>
          <w:color w:val="auto"/>
        </w:rPr>
      </w:pPr>
      <w:r>
        <w:rPr>
          <w:rFonts w:ascii="Arial" w:cs="Arial" w:eastAsia="Arial" w:hAnsi="Arial"/>
          <w:sz w:val="16"/>
          <w:szCs w:val="16"/>
          <w:color w:val="auto"/>
        </w:rPr>
        <w:t>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and documented fees and disbursements of counsel for the Underwriters in connection with such qualification and in connection with the Blue Sky or Legal Investment memorandum (provided that the amount payable by the Company with respect to the fees and disbursements of counsel for the Underwriters pursuant to clause (iii) shall not exceed $2,500), (iv) all filing fees and the reasonable fees and disbursements of counsel to the Underwriters incurred in connection with the review and qualification of the offering of the Shares by FINRA (provided that the amount payable by the Company with respect to the fees and disbursements of counsel for the Underwriters pursuant to clause (iv) shall not exceed $30,000),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or other transportation chartered in connection with the road show (the remaining 50% of 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7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289" w:name="page290"/>
    <w:bookmarkEnd w:id="289"/>
    <w:p>
      <w:pPr>
        <w:ind w:left="660" w:right="200" w:firstLine="839"/>
        <w:spacing w:after="0" w:line="264" w:lineRule="auto"/>
        <w:tabs>
          <w:tab w:leader="none" w:pos="198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181" w:lineRule="exact"/>
        <w:rPr>
          <w:rFonts w:ascii="Arial" w:cs="Arial" w:eastAsia="Arial" w:hAnsi="Arial"/>
          <w:sz w:val="18"/>
          <w:szCs w:val="18"/>
          <w:color w:val="auto"/>
        </w:rPr>
      </w:pPr>
    </w:p>
    <w:p>
      <w:pPr>
        <w:ind w:left="660" w:firstLine="839"/>
        <w:spacing w:after="0" w:line="276" w:lineRule="auto"/>
        <w:tabs>
          <w:tab w:leader="none" w:pos="198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2" w:lineRule="exact"/>
        <w:rPr>
          <w:rFonts w:ascii="Arial" w:cs="Arial" w:eastAsia="Arial" w:hAnsi="Arial"/>
          <w:sz w:val="17"/>
          <w:szCs w:val="17"/>
          <w:color w:val="auto"/>
        </w:rPr>
      </w:pPr>
    </w:p>
    <w:p>
      <w:pPr>
        <w:ind w:left="660" w:right="220" w:firstLine="839"/>
        <w:spacing w:after="0" w:line="259" w:lineRule="auto"/>
        <w:tabs>
          <w:tab w:leader="none" w:pos="203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 also covenants with each Underwriter that, without the prior written consent of the Representatives on behalf of the Underwriters, it will not, and will not publicly disclose an intention to, during the period ending 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restrictions contained in this paragraph shall not apply to (a) the Shares to be sold hereunder, (b) the issuance by the Company of shares of Common Stock upon the exercise of an option or warrant or the conversion of a security outstanding on the date hereof and described in the Prospectus, (c) the grant by the Company of any options to purchase shares of Common Stock or other awards granted under a stock incentive plan or stock purchase plan described in the Prospectus, and the issuance by the Company of shares of Common Stock upon the exercise thereof, provided that the Company shall cause each recipient of such grant to execute and deliver to the Representatives an agreement substantially in the form of Exhibit A hereto if such recipient has not already delivered one, (d) the filing by the Company of any registration statement on Form S-8 or a successor form thereto relating to the shares of Common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0" w:name="page291"/>
    <w:bookmarkEnd w:id="290"/>
    <w:p>
      <w:pPr>
        <w:ind w:right="80"/>
        <w:spacing w:after="0" w:line="255" w:lineRule="auto"/>
        <w:rPr>
          <w:sz w:val="20"/>
          <w:szCs w:val="20"/>
          <w:color w:val="auto"/>
        </w:rPr>
      </w:pPr>
      <w:r>
        <w:rPr>
          <w:rFonts w:ascii="Arial" w:cs="Arial" w:eastAsia="Arial" w:hAnsi="Arial"/>
          <w:sz w:val="18"/>
          <w:szCs w:val="18"/>
          <w:color w:val="auto"/>
        </w:rPr>
        <w:t>Stock granted pursuant to or reserved for issuance under a stock incentive plan or stock purchase plan described in the Prospectus or (e) shares of Common Stock or other securities issued in connection with a joint venture, equipment leasing arrangement, licensing or collaboration transaction or other strategic transaction with an unaffiliated third party, provided that (x) the aggregate number of shares issued pursuant to this clause (e) shall not exceed 5% of the total number of outstanding shares of Common Stock immediately following the issuance and sale of the Shares to be sold hereunder and (y) the recipient of any such shares of Common Stock and securities issued pursuant to this clause (e) during the Restricted Period shall enter into an agreement substantially in the form of Exhibit A hereto.</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the Representatives, in their sole discretion, agree to release or waive the restrictions set forth in a Lock-up Agreement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87" w:lineRule="exact"/>
        <w:rPr>
          <w:sz w:val="20"/>
          <w:szCs w:val="20"/>
          <w:color w:val="auto"/>
        </w:rPr>
      </w:pPr>
    </w:p>
    <w:p>
      <w:pPr>
        <w:ind w:firstLine="656"/>
        <w:spacing w:after="0" w:line="264" w:lineRule="auto"/>
        <w:tabs>
          <w:tab w:leader="none" w:pos="1233"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covenants with the Company not to take any action that would result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81" w:lineRule="exact"/>
        <w:rPr>
          <w:rFonts w:ascii="Arial" w:cs="Arial" w:eastAsia="Arial" w:hAnsi="Arial"/>
          <w:sz w:val="18"/>
          <w:szCs w:val="18"/>
          <w:color w:val="auto"/>
        </w:rPr>
      </w:pPr>
    </w:p>
    <w:p>
      <w:pPr>
        <w:ind w:right="80" w:firstLine="656"/>
        <w:spacing w:after="0" w:line="284" w:lineRule="auto"/>
        <w:tabs>
          <w:tab w:leader="none" w:pos="1233"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 xml:space="preserve">Indemnity and Contribution. </w:t>
      </w:r>
      <w:r>
        <w:rPr>
          <w:rFonts w:ascii="Arial" w:cs="Arial" w:eastAsia="Arial" w:hAnsi="Arial"/>
          <w:sz w:val="16"/>
          <w:szCs w:val="16"/>
          <w:color w:val="auto"/>
        </w:rPr>
        <w:t>(a) The Company agrees to indemnify and hold harmless each Underwriter, each person, if any, who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documented legal or other expenses reasonably incurred in connection with defending or investigating any such action or claim) that arise out of, relate to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w:t>
      </w:r>
    </w:p>
    <w:p>
      <w:pPr>
        <w:spacing w:after="0" w:line="4"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Written Testing-the-Waters Communication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1" w:name="page292"/>
    <w:bookmarkEnd w:id="291"/>
    <w:p>
      <w:pPr>
        <w:ind w:left="-540" w:right="40" w:firstLine="839"/>
        <w:spacing w:after="0" w:line="255" w:lineRule="auto"/>
        <w:tabs>
          <w:tab w:leader="none" w:pos="78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540" w:firstLine="839"/>
        <w:spacing w:after="0" w:line="285" w:lineRule="auto"/>
        <w:tabs>
          <w:tab w:leader="none" w:pos="81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upon receipt from the indemnified party of a written request for payment thereof.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2" w:right="259" w:bottom="1440" w:gutter="0" w:footer="0" w:header="0"/>
        </w:sectPr>
      </w:pPr>
    </w:p>
    <w:bookmarkStart w:id="292" w:name="page293"/>
    <w:bookmarkEnd w:id="292"/>
    <w:p>
      <w:pPr>
        <w:spacing w:after="0" w:line="276" w:lineRule="auto"/>
        <w:rPr>
          <w:sz w:val="20"/>
          <w:szCs w:val="20"/>
          <w:color w:val="auto"/>
        </w:rPr>
      </w:pPr>
      <w:r>
        <w:rPr>
          <w:rFonts w:ascii="Arial" w:cs="Arial" w:eastAsia="Arial" w:hAnsi="Arial"/>
          <w:sz w:val="17"/>
          <w:szCs w:val="17"/>
          <w:color w:val="auto"/>
        </w:rPr>
        <w:t>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 statement admitting fault, culpability or a failure to act, by or on behalf of any indemnified party.</w:t>
      </w:r>
    </w:p>
    <w:p>
      <w:pPr>
        <w:spacing w:after="0" w:line="173" w:lineRule="exact"/>
        <w:rPr>
          <w:sz w:val="20"/>
          <w:szCs w:val="20"/>
          <w:color w:val="auto"/>
        </w:rPr>
      </w:pPr>
    </w:p>
    <w:p>
      <w:pPr>
        <w:ind w:right="40" w:firstLine="839"/>
        <w:spacing w:after="0" w:line="285" w:lineRule="auto"/>
        <w:tabs>
          <w:tab w:leader="none" w:pos="132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77" w:lineRule="exact"/>
        <w:rPr>
          <w:rFonts w:ascii="Arial" w:cs="Arial" w:eastAsia="Arial" w:hAnsi="Arial"/>
          <w:sz w:val="16"/>
          <w:szCs w:val="16"/>
          <w:color w:val="auto"/>
        </w:rPr>
      </w:pPr>
    </w:p>
    <w:p>
      <w:pPr>
        <w:ind w:right="160" w:firstLine="839"/>
        <w:spacing w:after="0" w:line="302" w:lineRule="auto"/>
        <w:tabs>
          <w:tab w:leader="none" w:pos="135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w:t>
      </w:r>
    </w:p>
    <w:p>
      <w:pPr>
        <w:spacing w:after="0" w:line="15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293" w:name="page294"/>
    <w:bookmarkEnd w:id="293"/>
    <w:p>
      <w:pPr>
        <w:ind w:left="660"/>
        <w:spacing w:after="0" w:line="291" w:lineRule="auto"/>
        <w:rPr>
          <w:sz w:val="20"/>
          <w:szCs w:val="20"/>
          <w:color w:val="auto"/>
        </w:rPr>
      </w:pPr>
      <w:r>
        <w:rPr>
          <w:rFonts w:ascii="Arial" w:cs="Arial" w:eastAsia="Arial" w:hAnsi="Arial"/>
          <w:sz w:val="16"/>
          <w:szCs w:val="16"/>
          <w:color w:val="auto"/>
        </w:rPr>
        <w:t>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underwriting discounts and commissions received by such Underwriter with respect to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67" w:lineRule="exact"/>
        <w:rPr>
          <w:sz w:val="20"/>
          <w:szCs w:val="20"/>
          <w:color w:val="auto"/>
        </w:rPr>
      </w:pPr>
    </w:p>
    <w:p>
      <w:pPr>
        <w:jc w:val="both"/>
        <w:ind w:left="660" w:right="100" w:firstLine="839"/>
        <w:spacing w:after="0" w:line="302" w:lineRule="auto"/>
        <w:tabs>
          <w:tab w:leader="none" w:pos="199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54" w:lineRule="exact"/>
        <w:rPr>
          <w:rFonts w:ascii="Arial" w:cs="Arial" w:eastAsia="Arial" w:hAnsi="Arial"/>
          <w:sz w:val="16"/>
          <w:szCs w:val="16"/>
          <w:color w:val="auto"/>
        </w:rPr>
      </w:pPr>
    </w:p>
    <w:p>
      <w:pPr>
        <w:ind w:left="1240" w:hanging="584"/>
        <w:spacing w:after="0"/>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80" w:firstLine="591"/>
        <w:spacing w:after="0" w:line="253" w:lineRule="auto"/>
        <w:tabs>
          <w:tab w:leader="none" w:pos="1213"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Underwriters may terminate this Agreement by notice given by the Representatives to the Company, if after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of this Agreement and prior to the Closing Date (i) trading generally shall have been suspended or materially limited on, or by, as the case may be, either the New York Stock Exchange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97" w:lineRule="exact"/>
        <w:rPr>
          <w:rFonts w:ascii="Arial" w:cs="Arial" w:eastAsia="Arial" w:hAnsi="Arial"/>
          <w:sz w:val="18"/>
          <w:szCs w:val="18"/>
          <w:color w:val="auto"/>
        </w:rPr>
      </w:pPr>
    </w:p>
    <w:p>
      <w:pPr>
        <w:ind w:left="1220" w:hanging="629"/>
        <w:spacing w:after="0"/>
        <w:tabs>
          <w:tab w:leader="none" w:pos="1220"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If, on the Closing Date or an Option Closing Date, as the case may be, any one or more of the Underwriters shall fail or refuse to purchase Shares that it has or they have agreed to purchase hereunder on such date, and the aggregate number of Shares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4" w:name="page295"/>
    <w:bookmarkEnd w:id="294"/>
    <w:p>
      <w:pPr>
        <w:ind w:right="60"/>
        <w:spacing w:after="0" w:line="285" w:lineRule="auto"/>
        <w:rPr>
          <w:sz w:val="20"/>
          <w:szCs w:val="20"/>
          <w:color w:val="auto"/>
        </w:rPr>
      </w:pPr>
      <w:r>
        <w:rPr>
          <w:rFonts w:ascii="Arial" w:cs="Arial" w:eastAsia="Arial" w:hAnsi="Arial"/>
          <w:sz w:val="16"/>
          <w:szCs w:val="16"/>
          <w:color w:val="auto"/>
        </w:rPr>
        <w:t xml:space="preserve">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7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following termination of this Agreement pursuant to clauses (i), (iii), (iv) or (v) of Section 10,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spacing w:after="0" w:line="178" w:lineRule="exact"/>
        <w:rPr>
          <w:sz w:val="20"/>
          <w:szCs w:val="20"/>
          <w:color w:val="auto"/>
        </w:rPr>
      </w:pPr>
    </w:p>
    <w:p>
      <w:pPr>
        <w:ind w:firstLine="656"/>
        <w:spacing w:after="0" w:line="264" w:lineRule="auto"/>
        <w:tabs>
          <w:tab w:leader="none" w:pos="1188"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Shares, represents the entire agreement between the Company and the Underwriters with respect to the preparation of 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t>preliminary prospectus, the Time of Sale Prospectus, the Prospectus, the conduct of the offering, and the purchase and sale of the Shares.</w:t>
      </w:r>
    </w:p>
    <w:p>
      <w:pPr>
        <w:spacing w:after="0" w:line="225" w:lineRule="exact"/>
        <w:rPr>
          <w:sz w:val="20"/>
          <w:szCs w:val="20"/>
          <w:color w:val="auto"/>
        </w:rPr>
      </w:pPr>
    </w:p>
    <w:p>
      <w:pPr>
        <w:ind w:left="660" w:firstLine="839"/>
        <w:spacing w:after="0" w:line="293" w:lineRule="auto"/>
        <w:tabs>
          <w:tab w:leader="none" w:pos="1983"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and (iv) the Underwriters are not advising the Company or any other person as to any legal, tax, investment, accounting or regulatory matters in any jurisdiction. The Company waives to the full extent permitted by applicable law any claims it may have against the Underwriters arising from an alleged breach of fiduciary duty in connection with the offering of the Shares.</w:t>
      </w:r>
    </w:p>
    <w:p>
      <w:pPr>
        <w:spacing w:after="0" w:line="164" w:lineRule="exact"/>
        <w:rPr>
          <w:rFonts w:ascii="Arial" w:cs="Arial" w:eastAsia="Arial" w:hAnsi="Arial"/>
          <w:sz w:val="16"/>
          <w:szCs w:val="16"/>
          <w:color w:val="auto"/>
        </w:rPr>
      </w:pPr>
    </w:p>
    <w:p>
      <w:pPr>
        <w:ind w:right="140" w:firstLine="591"/>
        <w:spacing w:after="0" w:line="259" w:lineRule="auto"/>
        <w:tabs>
          <w:tab w:leader="none" w:pos="1213"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 (a) In the event that any Underwriter that is a Covered Entity becomes subject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186" w:lineRule="exact"/>
        <w:rPr>
          <w:rFonts w:ascii="Arial" w:cs="Arial" w:eastAsia="Arial" w:hAnsi="Arial"/>
          <w:sz w:val="18"/>
          <w:szCs w:val="18"/>
          <w:color w:val="auto"/>
        </w:rPr>
      </w:pPr>
    </w:p>
    <w:p>
      <w:pPr>
        <w:jc w:val="both"/>
        <w:ind w:left="660" w:right="540" w:firstLine="839"/>
        <w:spacing w:after="0" w:line="279" w:lineRule="auto"/>
        <w:tabs>
          <w:tab w:leader="none" w:pos="1983" w:val="left"/>
        </w:tabs>
        <w:numPr>
          <w:ilvl w:val="1"/>
          <w:numId w:val="166"/>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For purposes of this Section a “</w:t>
      </w:r>
      <w:r>
        <w:rPr>
          <w:rFonts w:ascii="Arial" w:cs="Arial" w:eastAsia="Arial" w:hAnsi="Arial"/>
          <w:sz w:val="18"/>
          <w:szCs w:val="18"/>
          <w:b w:val="1"/>
          <w:bCs w:val="1"/>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w:t>
      </w:r>
      <w:r>
        <w:rPr>
          <w:rFonts w:ascii="Arial" w:cs="Arial" w:eastAsia="Arial" w:hAnsi="Arial"/>
          <w:sz w:val="18"/>
          <w:szCs w:val="18"/>
          <w:b w:val="1"/>
          <w:bCs w:val="1"/>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3" w:lineRule="exact"/>
        <w:rPr>
          <w:sz w:val="20"/>
          <w:szCs w:val="20"/>
          <w:color w:val="auto"/>
        </w:rPr>
      </w:pPr>
    </w:p>
    <w:p>
      <w:pPr>
        <w:ind w:right="140" w:firstLine="591"/>
        <w:spacing w:after="0" w:line="277" w:lineRule="auto"/>
        <w:tabs>
          <w:tab w:leader="none" w:pos="121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6" w:name="page297"/>
    <w:bookmarkEnd w:id="296"/>
    <w:p>
      <w:pPr>
        <w:ind w:left="1220" w:hanging="629"/>
        <w:spacing w:after="0"/>
        <w:tabs>
          <w:tab w:leader="none" w:pos="1220"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180" w:firstLine="591"/>
        <w:spacing w:after="0" w:line="277" w:lineRule="auto"/>
        <w:tabs>
          <w:tab w:leader="none" w:pos="1213"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firstLine="591"/>
        <w:spacing w:after="0" w:line="245" w:lineRule="auto"/>
        <w:tabs>
          <w:tab w:leader="none" w:pos="1213"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and if to the Underwriters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sent to the Representatives in care of Morgan Stanley &amp; Co. LLC, 1585 Broadway, New York, New York 10036, Attention: Equity Syndicate Desk, with a copy to the Legal Department; in care of BofA Securities, Inc., One Bryant Park, New York, New York 10036, Attention: Syndicate Department, facsimile: 646-855-3073, with a copy to ECM Legal, facsimile: 212-230-8730; in care of SVB Leerink LLC, One Federal Street, 37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Boston, Massachusetts 02110, Attention: John I. Fitzgerald, Esq., facsimile: 617-918-4664 and, in each case, with a copy (which copy shall not constitute notice) to Ropes &amp; Gray LLP, Prudential Tower, 800 Boylston Street, Boston, Massachusetts, 02199, Attention: Patrick O’Brien; and if to the Company shall be delivered, mailed or sent to Fulcrum Therapeutics, Inc., 26 Landsdowne Street, Cambridge, Massachusetts 02139, Attention: Chief Executive Officer, with a copy (which copy shall not constitute notice) to Wilmer Cutler Pickering Hale and Dorr LLP, 60 State Street, Boston, Massachusetts 02109, Attention: Lia Der Marderosian.</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Fulcrum Therapeutics,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 Underwriters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Morgan Stanley &amp; Co.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8135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BofA Securities,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813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SVB Leerink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8135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ind w:left="136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42"/>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 Firm Shares To</w:t>
            </w:r>
          </w:p>
        </w:tc>
        <w:tc>
          <w:tcPr>
            <w:tcW w:w="0" w:type="dxa"/>
            <w:vAlign w:val="bottom"/>
          </w:tcPr>
          <w:p>
            <w:pPr>
              <w:spacing w:after="0"/>
              <w:rPr>
                <w:sz w:val="1"/>
                <w:szCs w:val="1"/>
                <w:color w:val="auto"/>
              </w:rPr>
            </w:pPr>
          </w:p>
        </w:tc>
      </w:tr>
      <w:tr>
        <w:trPr>
          <w:trHeight w:val="171"/>
        </w:trPr>
        <w:tc>
          <w:tcPr>
            <w:tcW w:w="3820" w:type="dxa"/>
            <w:vAlign w:val="bottom"/>
            <w:vMerge w:val="continue"/>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5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BofA Securities, Inc.</w:t>
            </w:r>
          </w:p>
        </w:tc>
        <w:tc>
          <w:tcPr>
            <w:tcW w:w="5040" w:type="dxa"/>
            <w:vAlign w:val="bottom"/>
          </w:tcPr>
          <w:p>
            <w:pPr>
              <w:spacing w:after="0"/>
              <w:rPr>
                <w:sz w:val="18"/>
                <w:szCs w:val="18"/>
                <w:color w:val="auto"/>
              </w:rPr>
            </w:pPr>
          </w:p>
        </w:tc>
        <w:tc>
          <w:tcPr>
            <w:tcW w:w="25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50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tcPr>
          <w:p>
            <w:pPr>
              <w:spacing w:after="0"/>
              <w:rPr>
                <w:sz w:val="24"/>
                <w:szCs w:val="24"/>
                <w:color w:val="auto"/>
              </w:rPr>
            </w:pPr>
          </w:p>
        </w:tc>
        <w:tc>
          <w:tcPr>
            <w:tcW w:w="7640" w:type="dxa"/>
            <w:vAlign w:val="bottom"/>
            <w:gridSpan w:val="4"/>
          </w:tcPr>
          <w:p>
            <w:pPr>
              <w:ind w:left="178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132"/>
        </w:trPr>
        <w:tc>
          <w:tcPr>
            <w:tcW w:w="382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5"/>
          <w:szCs w:val="15"/>
          <w:b w:val="1"/>
          <w:bCs w:val="1"/>
          <w:color w:val="auto"/>
        </w:rPr>
        <w:t>Time of Sale Prospectus</w:t>
      </w:r>
    </w:p>
    <w:p>
      <w:pPr>
        <w:spacing w:after="0" w:line="26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8"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Written Testing-the-Waters Communications</w:t>
      </w:r>
    </w:p>
    <w:p>
      <w:pPr>
        <w:spacing w:after="0" w:line="25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ectPr>
          <w:pgSz w:w="11900" w:h="16838" w:orient="portrait"/>
          <w:cols w:equalWidth="0" w:num="1">
            <w:col w:w="11420"/>
          </w:cols>
          <w:pgMar w:left="240" w:top="337"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180"/>
            <w:col w:w="11020"/>
          </w:cols>
          <w:pgMar w:left="240" w:top="337"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 Incorporated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New York, New York 10036</w:t>
      </w:r>
    </w:p>
    <w:p>
      <w:pPr>
        <w:spacing w:after="0" w:line="200" w:lineRule="exact"/>
        <w:rPr>
          <w:sz w:val="20"/>
          <w:szCs w:val="20"/>
          <w:color w:val="auto"/>
        </w:rPr>
      </w:pPr>
    </w:p>
    <w:p>
      <w:pPr>
        <w:sectPr>
          <w:pgSz w:w="11900" w:h="16838" w:orient="portrait"/>
          <w:cols w:equalWidth="0" w:num="2">
            <w:col w:w="220" w:space="180"/>
            <w:col w:w="11020"/>
          </w:cols>
          <w:pgMar w:left="240" w:top="337"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One Federal Street, 37</w:t>
      </w:r>
      <w:r>
        <w:rPr>
          <w:rFonts w:ascii="Arial" w:cs="Arial" w:eastAsia="Arial" w:hAnsi="Arial"/>
          <w:sz w:val="10"/>
          <w:szCs w:val="10"/>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Boston, Massachusetts 02110</w:t>
      </w:r>
    </w:p>
    <w:p>
      <w:pPr>
        <w:spacing w:after="0" w:line="200" w:lineRule="exact"/>
        <w:rPr>
          <w:sz w:val="20"/>
          <w:szCs w:val="20"/>
          <w:color w:val="auto"/>
        </w:rPr>
      </w:pPr>
    </w:p>
    <w:p>
      <w:pPr>
        <w:sectPr>
          <w:pgSz w:w="11900" w:h="16838" w:orient="portrait"/>
          <w:cols w:equalWidth="0" w:num="2">
            <w:col w:w="220" w:space="180"/>
            <w:col w:w="11020"/>
          </w:cols>
          <w:pgMar w:left="240" w:top="337"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undersigned understands that Morgan Stanley &amp; Co. LLC, Merrill Lynch, Pierce, Fenner &amp; Smith Incorporated and SVB Leerink LLC (the “</w:t>
      </w:r>
      <w:r>
        <w:rPr>
          <w:rFonts w:ascii="Arial" w:cs="Arial" w:eastAsia="Arial" w:hAnsi="Arial"/>
          <w:sz w:val="17"/>
          <w:szCs w:val="17"/>
          <w:b w:val="1"/>
          <w:bCs w:val="1"/>
          <w:color w:val="auto"/>
        </w:rPr>
        <w:t>Representatives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Fulcrum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by the several Underwriters, including the Representatives (the “</w:t>
      </w:r>
      <w:r>
        <w:rPr>
          <w:rFonts w:ascii="Arial" w:cs="Arial" w:eastAsia="Arial" w:hAnsi="Arial"/>
          <w:sz w:val="17"/>
          <w:szCs w:val="17"/>
          <w:b w:val="1"/>
          <w:bCs w:val="1"/>
          <w:color w:val="auto"/>
        </w:rPr>
        <w:t>Underwriters</w:t>
      </w:r>
      <w:r>
        <w:rPr>
          <w:rFonts w:ascii="Arial" w:cs="Arial" w:eastAsia="Arial" w:hAnsi="Arial"/>
          <w:sz w:val="17"/>
          <w:szCs w:val="17"/>
          <w:color w:val="auto"/>
        </w:rPr>
        <w:t>”), of shares of the common stock, par value $0.001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17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To induce the Underwriters that may participate in the Public Offering to continue their efforts in connection with the Public Offering,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undersigned hereby agrees that, without the prior written consent of each of the Representatives on behalf of the Underwriters, it will not, during the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commencing on the date hereof and ending 180 days after the date of the final prospectus (the “</w:t>
      </w:r>
      <w:r>
        <w:rPr>
          <w:rFonts w:ascii="Arial" w:cs="Arial" w:eastAsia="Arial" w:hAnsi="Arial"/>
          <w:sz w:val="17"/>
          <w:szCs w:val="17"/>
          <w:b w:val="1"/>
          <w:bCs w:val="1"/>
          <w:color w:val="auto"/>
        </w:rPr>
        <w:t>Restricted Period</w:t>
      </w:r>
      <w:r>
        <w:rPr>
          <w:rFonts w:ascii="Arial" w:cs="Arial" w:eastAsia="Arial" w:hAnsi="Arial"/>
          <w:sz w:val="17"/>
          <w:szCs w:val="17"/>
          <w:color w:val="auto"/>
        </w:rPr>
        <w:t>”) relating to the Public Offering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to purchase, lend, or otherwise transfer or dispose of, directly or indirectly, any shares of Common Stock beneficially owned (as such term is used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exercisable or exchangeable for Common Stock or make any public announcement of its intention to do any of the foregoing or (2) enter into any swap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arrangement that transfers to another, in whole or in part, any of the economic consequences of ownership of the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301" w:name="page302"/>
    <w:bookmarkEnd w:id="301"/>
    <w:p>
      <w:pPr>
        <w:spacing w:after="0"/>
        <w:rPr>
          <w:sz w:val="20"/>
          <w:szCs w:val="20"/>
          <w:color w:val="auto"/>
        </w:rPr>
      </w:pPr>
      <w:r>
        <w:rPr>
          <w:rFonts w:ascii="Arial" w:cs="Arial" w:eastAsia="Arial" w:hAnsi="Arial"/>
          <w:sz w:val="16"/>
          <w:szCs w:val="16"/>
          <w:color w:val="auto"/>
        </w:rPr>
        <w:t>whether any such transaction described in clause (1) or (2) above is to be settled by delivery of Common Stock or such other securities, in cash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foregoing shall not apply to:</w:t>
      </w:r>
    </w:p>
    <w:p>
      <w:pPr>
        <w:spacing w:after="0" w:line="211" w:lineRule="exact"/>
        <w:rPr>
          <w:sz w:val="20"/>
          <w:szCs w:val="20"/>
          <w:color w:val="auto"/>
        </w:rPr>
      </w:pPr>
    </w:p>
    <w:p>
      <w:pPr>
        <w:ind w:right="140" w:firstLine="656"/>
        <w:spacing w:after="0" w:line="259" w:lineRule="auto"/>
        <w:tabs>
          <w:tab w:leader="none" w:pos="89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transactions relating to shares of Common Stock or other securities acquired in the Public Offering (other than any issuer-directed shares of Common Stock purchased in the Public Offering by an officer or director of the Company) or in open market transactions after the completion of the Public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Exchange Act shall be required or shall be voluntarily made in connection with subsequent sales of Common Stock or other securities acquired in such open market transactions;</w:t>
      </w:r>
    </w:p>
    <w:p>
      <w:pPr>
        <w:spacing w:after="0" w:line="186" w:lineRule="exact"/>
        <w:rPr>
          <w:rFonts w:ascii="Arial" w:cs="Arial" w:eastAsia="Arial" w:hAnsi="Arial"/>
          <w:sz w:val="18"/>
          <w:szCs w:val="18"/>
          <w:color w:val="auto"/>
        </w:rPr>
      </w:pPr>
    </w:p>
    <w:p>
      <w:pPr>
        <w:ind w:right="60" w:firstLine="656"/>
        <w:spacing w:after="0" w:line="277" w:lineRule="auto"/>
        <w:tabs>
          <w:tab w:leader="none" w:pos="90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transfers of shares of Common Stock or any security convertible into or exercisable or exchangeable for Common Stock as a bona fide gift or gifts, or (ii) to a charitable organization or educational institution in a transaction not involving a disposition for value;</w:t>
      </w:r>
    </w:p>
    <w:p>
      <w:pPr>
        <w:spacing w:after="0" w:line="170" w:lineRule="exact"/>
        <w:rPr>
          <w:rFonts w:ascii="Arial" w:cs="Arial" w:eastAsia="Arial" w:hAnsi="Arial"/>
          <w:sz w:val="18"/>
          <w:szCs w:val="18"/>
          <w:color w:val="auto"/>
        </w:rPr>
      </w:pPr>
    </w:p>
    <w:p>
      <w:pPr>
        <w:ind w:right="240" w:firstLine="656"/>
        <w:spacing w:after="0" w:line="264" w:lineRule="auto"/>
        <w:tabs>
          <w:tab w:leader="none" w:pos="89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to any member of the immediate family of the undersigned or any trust for the direct or indirect benefit of the undersigned or the immediate family of the undersigned in a transaction not involving a disposition for value;</w:t>
      </w:r>
    </w:p>
    <w:p>
      <w:pPr>
        <w:spacing w:after="0" w:line="181" w:lineRule="exact"/>
        <w:rPr>
          <w:rFonts w:ascii="Arial" w:cs="Arial" w:eastAsia="Arial" w:hAnsi="Arial"/>
          <w:sz w:val="18"/>
          <w:szCs w:val="18"/>
          <w:color w:val="auto"/>
        </w:rPr>
      </w:pPr>
    </w:p>
    <w:p>
      <w:pPr>
        <w:ind w:right="100" w:firstLine="656"/>
        <w:spacing w:after="0" w:line="286" w:lineRule="auto"/>
        <w:tabs>
          <w:tab w:leader="none" w:pos="90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(i) by will, other testamentary document or intestate succession to the legal representative, heir, beneficiary or a member of the immediate family of the undersigned upon the death of the undersigned or (ii) solely by operation of law pursuant to a qualified domestic order or in connection with a divorce settlement;</w:t>
      </w:r>
    </w:p>
    <w:p>
      <w:pPr>
        <w:spacing w:after="0" w:line="165" w:lineRule="exact"/>
        <w:rPr>
          <w:rFonts w:ascii="Arial" w:cs="Arial" w:eastAsia="Arial" w:hAnsi="Arial"/>
          <w:sz w:val="17"/>
          <w:szCs w:val="17"/>
          <w:color w:val="auto"/>
        </w:rPr>
      </w:pPr>
    </w:p>
    <w:p>
      <w:pPr>
        <w:ind w:right="40" w:firstLine="656"/>
        <w:spacing w:after="0" w:line="312" w:lineRule="auto"/>
        <w:tabs>
          <w:tab w:leader="none" w:pos="89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the undersigned is an entity, transfers or distributions of shares of Common Stock or any security convertible into Common Stock to general or limited partners, members or stockholders of the undersigned, its direct or indirect affiliates (as defined in Rule 405 promulgated under the Securities Act of 1933, as amended) or to an investment fund or other entity that controls or manages, or is under common control with, the undersigned;</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disposition or distribution pursuant to clause (b), (c), (d) or (e), (i) each transferee, donee or distributee shall sign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a lock-up agreement substantially in the form of this agreement and (ii) no filing under Section 16(a) of the Exchange Act, reporting a reduction in beneficial ownership of shares of Common Stock, shall be required or shall be voluntarily made during the Restricted Period (other than, in the case of a transfer or other disposition pursuant to clause (c) above, any Form 4 or Form 5 required to be filed under the Exchange Act if the undersigned is subject to Section 16 reporting with respect to the Company under the Exchange Act and indicating by footnote disclosure or otherwise the nature of the transfer or disposition);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302" w:name="page303"/>
    <w:bookmarkEnd w:id="302"/>
    <w:p>
      <w:pPr>
        <w:ind w:left="-8" w:right="20" w:firstLine="700"/>
        <w:spacing w:after="0" w:line="272" w:lineRule="auto"/>
        <w:tabs>
          <w:tab w:leader="none" w:pos="909" w:val="left"/>
        </w:tabs>
        <w:numPr>
          <w:ilvl w:val="2"/>
          <w:numId w:val="170"/>
        </w:numPr>
        <w:rPr>
          <w:rFonts w:ascii="Arial" w:cs="Arial" w:eastAsia="Arial" w:hAnsi="Arial"/>
          <w:sz w:val="17"/>
          <w:szCs w:val="17"/>
          <w:color w:val="auto"/>
        </w:rPr>
      </w:pPr>
      <w:r>
        <w:rPr>
          <w:rFonts w:ascii="Arial" w:cs="Arial" w:eastAsia="Arial" w:hAnsi="Arial"/>
          <w:sz w:val="17"/>
          <w:szCs w:val="17"/>
          <w:color w:val="auto"/>
        </w:rPr>
        <w:t xml:space="preserve">transfers or dispositions of shares of Common Stock or any security convertible into or exercisable or exchangeable for Common Stock to the Company pursuant to any contractual arrangement in effect on the date of this agreement and disclosed to the Underwriters that provides for the repurchase of the undersigned’s Common Stock or other securities by the Company or in connection with the termination of the undersigned’s employment with or service to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filing under Section 16(a) of the Exchange Act reporting a reduction in beneficial ownership of shares of Common Stock, shall be required or shall be voluntarily made during the Restricted Period in connection with any such transfers or dispositions (other than any Form 4 or Form 5 required to be filed under the Exchange Act if the undersigned is subject to Section 16 reporting with respect to the Company under the Exchange Act and indicating by footnote disclosure or otherwise the nature of the transfer or disposition);</w:t>
      </w:r>
    </w:p>
    <w:p>
      <w:pPr>
        <w:spacing w:after="0" w:line="177" w:lineRule="exact"/>
        <w:rPr>
          <w:rFonts w:ascii="Arial" w:cs="Arial" w:eastAsia="Arial" w:hAnsi="Arial"/>
          <w:sz w:val="17"/>
          <w:szCs w:val="17"/>
          <w:color w:val="auto"/>
        </w:rPr>
      </w:pPr>
    </w:p>
    <w:p>
      <w:pPr>
        <w:ind w:left="-8" w:right="40" w:firstLine="656"/>
        <w:spacing w:after="0" w:line="264" w:lineRule="auto"/>
        <w:tabs>
          <w:tab w:leader="none" w:pos="89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the conversion of outstanding shares of preferred stock of the Company described in the Prospectus and outstanding as of the date of the Prospectus into shares of Common Stock as described in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shares of Common Stock received upon conversion shall be subject to the restrictions set forth herein;</w:t>
      </w:r>
    </w:p>
    <w:p>
      <w:pPr>
        <w:spacing w:after="0" w:line="181" w:lineRule="exact"/>
        <w:rPr>
          <w:rFonts w:ascii="Arial" w:cs="Arial" w:eastAsia="Arial" w:hAnsi="Arial"/>
          <w:sz w:val="18"/>
          <w:szCs w:val="18"/>
          <w:color w:val="auto"/>
        </w:rPr>
      </w:pPr>
    </w:p>
    <w:p>
      <w:pPr>
        <w:ind w:left="-8" w:right="60" w:firstLine="656"/>
        <w:spacing w:after="0" w:line="273" w:lineRule="auto"/>
        <w:tabs>
          <w:tab w:leader="none" w:pos="895"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the exercise of stock options to purchase shares of Common Stock granted under plans described in the Prospectus and any related transfer to the Company of shares of Common Stock (including by way of “net” or “cashless” exercise solely to cover withholding tax obligations in connection with such exercise and any transfer to the Company for the payment of taxes as a result of such exercise);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shares of Common Stock received upon exercise shall be subject to the restrictions on transfer set forth in this agreement;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w:t>
      </w:r>
    </w:p>
    <w:p>
      <w:pPr>
        <w:spacing w:after="0" w:line="178" w:lineRule="exact"/>
        <w:rPr>
          <w:rFonts w:ascii="Arial" w:cs="Arial" w:eastAsia="Arial" w:hAnsi="Arial"/>
          <w:sz w:val="17"/>
          <w:szCs w:val="17"/>
          <w:color w:val="auto"/>
        </w:rPr>
      </w:pPr>
    </w:p>
    <w:p>
      <w:pPr>
        <w:ind w:left="872" w:hanging="224"/>
        <w:spacing w:after="0"/>
        <w:tabs>
          <w:tab w:leader="none" w:pos="87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the establishment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8" w:firstLine="8"/>
        <w:spacing w:after="0" w:line="302" w:lineRule="auto"/>
        <w:tabs>
          <w:tab w:leader="none" w:pos="20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or</w:t>
      </w:r>
    </w:p>
    <w:p>
      <w:pPr>
        <w:spacing w:after="0" w:line="155" w:lineRule="exact"/>
        <w:rPr>
          <w:rFonts w:ascii="Arial" w:cs="Arial" w:eastAsia="Arial" w:hAnsi="Arial"/>
          <w:sz w:val="16"/>
          <w:szCs w:val="16"/>
          <w:color w:val="auto"/>
        </w:rPr>
      </w:pPr>
    </w:p>
    <w:p>
      <w:pPr>
        <w:ind w:left="-8" w:right="60" w:firstLine="656"/>
        <w:spacing w:after="0" w:line="255" w:lineRule="auto"/>
        <w:tabs>
          <w:tab w:leader="none" w:pos="85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 transfers of shares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and (ii) entry into any lock-up, voting or similar agreement pursuant to which the undersigned may agree to</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303" w:name="page304"/>
    <w:bookmarkEnd w:id="303"/>
    <w:p>
      <w:pPr>
        <w:ind w:right="420"/>
        <w:spacing w:after="0" w:line="286" w:lineRule="auto"/>
        <w:rPr>
          <w:sz w:val="20"/>
          <w:szCs w:val="20"/>
          <w:color w:val="auto"/>
        </w:rPr>
      </w:pPr>
      <w:r>
        <w:rPr>
          <w:rFonts w:ascii="Arial" w:cs="Arial" w:eastAsia="Arial" w:hAnsi="Arial"/>
          <w:sz w:val="17"/>
          <w:szCs w:val="17"/>
          <w:color w:val="auto"/>
        </w:rPr>
        <w:t xml:space="preserve">transfer, sell, tender or otherwise dispose of shares of Common Stock or such other securities in connection with a transaction described in (i) above);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event that such change of control transaction is not completed, the Common Stock (or any security convertible into or exercisable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exchangeable for Common Stock) owned by the undersigned shall remain subject to the restrictions contained in this agreement.</w:t>
      </w:r>
    </w:p>
    <w:p>
      <w:pPr>
        <w:spacing w:after="0" w:line="1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purposes of this agreement, “immediate family” shall mean any relationship by blood, marriage, domestic partnership or adoption, not more remote than first cousin.</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In addition, the undersigned agrees that, without the prior written consent of each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undersigned may make a demand under any registration rights agreement with the Company described in the Prospectus for, and exercise its rights under any such registration rights agreement with respect to, the registration after the expiration of the Restricted Period of shares of Common Stock that does not require the filing of any registration statement or any public announcement or activity regarding such registration during the Restricted Period (and no such public announcement or activity shall be voluntarily made or taken by the undersigned during the Restricted Period).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issuer-directed shares of Common Stock the undersigned may purchase in the Public Offering.</w:t>
      </w:r>
    </w:p>
    <w:p>
      <w:pPr>
        <w:spacing w:after="0" w:line="17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If the undersigned is an officer or director of the Company, (i) each of the Representatives agrees that, at least three business days before the effective date of any release or waiver of the foregoing restrictions in connection with a transfer of shares of Common Stock, the Representatives will notify the Company of the impending release or waiver, and (ii) the Company will agree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p>
    <w:p>
      <w:pPr>
        <w:spacing w:after="0" w:line="19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04" w:name="page305"/>
    <w:bookmarkEnd w:id="304"/>
    <w:p>
      <w:pPr>
        <w:ind w:right="180" w:firstLine="648"/>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7"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The undersigned understands that, (i) if either the Representatives, on the one hand, or the Company, on the other hand, informs the other in writing, prior to the execution of the Underwriting Agreement, that it has determined not to proceed with the Public Offering, (ii) if the Underwriting Agreement (other than the provisions thereof which survive termination) shall terminate or be terminated prior to payment for and delivery of the securities to be sold thereunder, (iii) if the registration statement related to the Public Offering has been withdrawn prior to the execution of the Underwriting Agreement or</w:t>
      </w:r>
    </w:p>
    <w:p>
      <w:pPr>
        <w:spacing w:after="0" w:line="2" w:lineRule="exact"/>
        <w:rPr>
          <w:sz w:val="20"/>
          <w:szCs w:val="20"/>
          <w:color w:val="auto"/>
        </w:rPr>
      </w:pPr>
    </w:p>
    <w:p>
      <w:pPr>
        <w:jc w:val="both"/>
        <w:ind w:right="40" w:firstLine="8"/>
        <w:spacing w:after="0" w:line="323" w:lineRule="auto"/>
        <w:tabs>
          <w:tab w:leader="none" w:pos="30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Underwriting Agreement is not executed on or before October 31, 2019, then, in each case, this agreement shall automatically, and without any action on the part of any other party, be of no further force and effect, and the undersigned shall be automatically released from all obligations under this agreement.</w:t>
      </w:r>
    </w:p>
    <w:p>
      <w:pPr>
        <w:spacing w:after="0" w:line="13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This agreement and any claim, controversy or dispute arising under or related to this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letter is being delivered to you in connection with the offering by Fulcrum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of</w:t>
      </w:r>
    </w:p>
    <w:p>
      <w:pPr>
        <w:spacing w:after="0" w:line="39" w:lineRule="exact"/>
        <w:rPr>
          <w:sz w:val="20"/>
          <w:szCs w:val="20"/>
          <w:color w:val="auto"/>
        </w:rPr>
      </w:pPr>
    </w:p>
    <w:p>
      <w:pPr>
        <w:jc w:val="both"/>
        <w:ind w:right="140"/>
        <w:spacing w:after="0" w:line="323" w:lineRule="auto"/>
        <w:rPr>
          <w:sz w:val="20"/>
          <w:szCs w:val="20"/>
          <w:color w:val="auto"/>
        </w:rPr>
      </w:pPr>
      <w:r>
        <w:rPr>
          <w:rFonts w:ascii="Arial" w:cs="Arial" w:eastAsia="Arial" w:hAnsi="Arial"/>
          <w:sz w:val="16"/>
          <w:szCs w:val="16"/>
          <w:color w:val="auto"/>
        </w:rPr>
        <w:t>shares of common stock, $0.001 par value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and the lock-up letter dated , 2019 (the “</w:t>
      </w:r>
      <w:r>
        <w:rPr>
          <w:rFonts w:ascii="Arial" w:cs="Arial" w:eastAsia="Arial" w:hAnsi="Arial"/>
          <w:sz w:val="16"/>
          <w:szCs w:val="16"/>
          <w:b w:val="1"/>
          <w:bCs w:val="1"/>
          <w:color w:val="auto"/>
        </w:rPr>
        <w:t>Lock-up Letter</w:t>
      </w:r>
      <w:r>
        <w:rPr>
          <w:rFonts w:ascii="Arial" w:cs="Arial" w:eastAsia="Arial" w:hAnsi="Arial"/>
          <w:sz w:val="16"/>
          <w:szCs w:val="16"/>
          <w:color w:val="auto"/>
        </w:rPr>
        <w:t>”), executed by you in connection with such offering, and your request for a [waiver] [release] dated , 20 , with respect to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3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Each of Morgan Stanley &amp; Co. LLC, BofA Securities, Inc. and SVB Leerink LLC hereby agrees to [waive] [release] the transfer restrictions set forth in the Lock-up Letter, but only with respect to the Shares, effective , 20 ;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5" w:name="page306"/>
    <w:bookmarkEnd w:id="305"/>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SVB Leerink LLC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Acting severally on behalf of themselves and the several Underwriters named</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 Schedule I to the Underwriting Agreement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Morgan Stanley &amp; Co. LLC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BofA Securities,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SVB Leerink LLC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Fulcrum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06" w:name="page307"/>
    <w:bookmarkEnd w:id="306"/>
    <w:p>
      <w:pPr>
        <w:jc w:val="center"/>
        <w:ind w:right="-159"/>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Fulcrum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announced today that Morgan Stanley &amp; Co. LLC, BofA Securities, Inc. and SVB Leerink LLC, the joint lead book-running managers in the Company’s recent public sale of shares of common stock are [waiving][releasing] a lock-up restriction with respect to shares of the Company’s common stock held by [lock-up counterparty], a [description of lock-up counterparty] of the Company. The [waiver][release] will take effect on , 20 , and the shares may be sold on or after such date.</w:t>
      </w:r>
    </w:p>
    <w:p>
      <w:pPr>
        <w:spacing w:after="0" w:line="180"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8" w:right="37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Fulcrum Therapeutics,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right="560" w:firstLine="656"/>
        <w:spacing w:after="0" w:line="277" w:lineRule="auto"/>
        <w:tabs>
          <w:tab w:leader="none" w:pos="129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That the name of this corporation is Fulcrum Therapeutics, Inc., and that this corporation was originally incorporated pursuant to the General Corporation Law on August 18, 2015.</w:t>
      </w:r>
    </w:p>
    <w:p>
      <w:pPr>
        <w:spacing w:after="0" w:line="170"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proposing to amend and restate the Amended and Restated Certificate of Incorporation of this corporation, as amended,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Amended and Restated Certificate of Incorporation of this corporation, as amended, be amended and restated in its entirety to</w:t>
      </w:r>
      <w:r>
        <w:rPr>
          <w:rFonts w:ascii="Arial" w:cs="Arial" w:eastAsia="Arial" w:hAnsi="Arial"/>
          <w:sz w:val="18"/>
          <w:szCs w:val="18"/>
          <w:b w:val="1"/>
          <w:bCs w:val="1"/>
          <w:color w:val="auto"/>
        </w:rPr>
        <w:t xml:space="preserve"> </w:t>
      </w:r>
      <w:r>
        <w:rPr>
          <w:rFonts w:ascii="Arial" w:cs="Arial" w:eastAsia="Arial" w:hAnsi="Arial"/>
          <w:sz w:val="18"/>
          <w:szCs w:val="18"/>
          <w:color w:val="auto"/>
        </w:rPr>
        <w:t>read as follows: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this corporation is Fulcrum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address of the registered office of the Corporation in the State of Delaware is Corporation Trust Center, 1209 Orange Street,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City of Wilmington, New Castle County, Delaware 19801. The name of its registered agent at such address is The Corporation Trust Company.</w:t>
      </w:r>
    </w:p>
    <w:p>
      <w:pPr>
        <w:spacing w:after="0" w:line="13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(i) The total number of shares of all classes of stock which the Corporation shall have authority to issue is 135,000,000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$0.001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100,000,000 shares of Preferred Stock, $0.001 par value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8" w:name="page309"/>
    <w:bookmarkEnd w:id="308"/>
    <w:p>
      <w:pPr>
        <w:ind w:right="320" w:firstLine="648"/>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25" w:lineRule="exact"/>
        <w:rPr>
          <w:rFonts w:ascii="Arial" w:cs="Arial" w:eastAsia="Arial" w:hAnsi="Arial"/>
          <w:sz w:val="18"/>
          <w:szCs w:val="18"/>
          <w:color w:val="auto"/>
        </w:rPr>
      </w:pPr>
    </w:p>
    <w:p>
      <w:pPr>
        <w:ind w:right="80" w:firstLine="656"/>
        <w:spacing w:after="0" w:line="277" w:lineRule="auto"/>
        <w:tabs>
          <w:tab w:leader="none" w:pos="1296"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firstLine="656"/>
        <w:spacing w:after="0" w:line="289" w:lineRule="auto"/>
        <w:tabs>
          <w:tab w:leader="none" w:pos="1296"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the Corporation’s Amended and Restated Certificate of Incorporation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Preferred Stock may be issued from time to time in one or more series, each of such series to consist of such number of shares and to have such terms, rights, powers and preferences, and the qualifications and limitations with respect thereto, as stated or expressed herein.</w:t>
      </w:r>
    </w:p>
    <w:p>
      <w:pPr>
        <w:spacing w:after="0" w:line="143"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18"/>
          <w:szCs w:val="18"/>
          <w:color w:val="auto"/>
        </w:rPr>
        <w:t>60,000,000 shares of the authorized Preferred Stock of the Corporation are hereby designated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and 40,000,000 shares of the authorized Preferred Stock of the Corporation are hereby designated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each such series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84" w:lineRule="exact"/>
        <w:rPr>
          <w:sz w:val="20"/>
          <w:szCs w:val="20"/>
          <w:color w:val="auto"/>
        </w:rPr>
      </w:pPr>
    </w:p>
    <w:p>
      <w:pPr>
        <w:ind w:firstLine="656"/>
        <w:spacing w:after="0" w:line="297" w:lineRule="auto"/>
        <w:tabs>
          <w:tab w:leader="none" w:pos="1296"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From and after the date of the issuance of any shares of Series B Preferred Stock, dividends at the rate per annum of $0.16 per share shall accrue on such shares of Series B Preferred Stock (subject to appropriate adjustment in the event of any stock dividend, stock split, combination or other similar recapitalization with respect to the Series B Preferred Stock) (the “</w:t>
      </w:r>
      <w:r>
        <w:rPr>
          <w:rFonts w:ascii="Arial" w:cs="Arial" w:eastAsia="Arial" w:hAnsi="Arial"/>
          <w:sz w:val="16"/>
          <w:szCs w:val="16"/>
          <w:b w:val="1"/>
          <w:bCs w:val="1"/>
          <w:color w:val="auto"/>
        </w:rPr>
        <w:t>Series B Accruing Dividends</w:t>
      </w:r>
      <w:r>
        <w:rPr>
          <w:rFonts w:ascii="Arial" w:cs="Arial" w:eastAsia="Arial" w:hAnsi="Arial"/>
          <w:sz w:val="16"/>
          <w:szCs w:val="16"/>
          <w:color w:val="auto"/>
        </w:rPr>
        <w:t>”). From and after the date of the issuance of any shares of Series A Preferred Stock, dividends at the rate per annum of $0.08 per share shall accrue on such shares of Series A Preferred Stock (subject to appropriate adjustment in the event of any stock dividend, stock split, combination or other similar recapitalization with respect to the Series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9" w:name="page310"/>
    <w:bookmarkEnd w:id="309"/>
    <w:p>
      <w:pPr>
        <w:ind w:right="40"/>
        <w:spacing w:after="0" w:line="300" w:lineRule="auto"/>
        <w:rPr>
          <w:sz w:val="20"/>
          <w:szCs w:val="20"/>
          <w:color w:val="auto"/>
        </w:rPr>
      </w:pPr>
      <w:r>
        <w:rPr>
          <w:rFonts w:ascii="Arial" w:cs="Arial" w:eastAsia="Arial" w:hAnsi="Arial"/>
          <w:sz w:val="16"/>
          <w:szCs w:val="16"/>
          <w:color w:val="auto"/>
        </w:rPr>
        <w:t>Preferred Stock</w:t>
      </w:r>
      <w:r>
        <w:rPr>
          <w:rFonts w:ascii="Arial" w:cs="Arial" w:eastAsia="Arial" w:hAnsi="Arial"/>
          <w:sz w:val="15"/>
          <w:szCs w:val="15"/>
          <w:color w:val="auto"/>
        </w:rPr>
        <w:t>) (the “</w:t>
      </w:r>
      <w:r>
        <w:rPr>
          <w:rFonts w:ascii="Arial" w:cs="Arial" w:eastAsia="Arial" w:hAnsi="Arial"/>
          <w:sz w:val="15"/>
          <w:szCs w:val="15"/>
          <w:b w:val="1"/>
          <w:bCs w:val="1"/>
          <w:color w:val="auto"/>
        </w:rPr>
        <w:t>Series A Accruing Dividends</w:t>
      </w:r>
      <w:r>
        <w:rPr>
          <w:rFonts w:ascii="Arial" w:cs="Arial" w:eastAsia="Arial" w:hAnsi="Arial"/>
          <w:sz w:val="15"/>
          <w:szCs w:val="15"/>
          <w:color w:val="auto"/>
        </w:rPr>
        <w:t>”, and collectively with the Series B Accruing Dividends, the “</w:t>
      </w:r>
      <w:r>
        <w:rPr>
          <w:rFonts w:ascii="Arial" w:cs="Arial" w:eastAsia="Arial" w:hAnsi="Arial"/>
          <w:sz w:val="15"/>
          <w:szCs w:val="15"/>
          <w:b w:val="1"/>
          <w:bCs w:val="1"/>
          <w:color w:val="auto"/>
        </w:rPr>
        <w:t>Preferred Accruing Dividends</w:t>
      </w:r>
      <w:r>
        <w:rPr>
          <w:rFonts w:ascii="Arial" w:cs="Arial" w:eastAsia="Arial" w:hAnsi="Arial"/>
          <w:sz w:val="15"/>
          <w:szCs w:val="15"/>
          <w:color w:val="auto"/>
        </w:rPr>
        <w:t>”). The</w:t>
      </w:r>
      <w:r>
        <w:rPr>
          <w:rFonts w:ascii="Arial" w:cs="Arial" w:eastAsia="Arial" w:hAnsi="Arial"/>
          <w:sz w:val="16"/>
          <w:szCs w:val="16"/>
          <w:color w:val="auto"/>
        </w:rPr>
        <w:t xml:space="preserve"> </w:t>
      </w:r>
      <w:r>
        <w:rPr>
          <w:rFonts w:ascii="Arial" w:cs="Arial" w:eastAsia="Arial" w:hAnsi="Arial"/>
          <w:sz w:val="15"/>
          <w:szCs w:val="15"/>
          <w:color w:val="auto"/>
        </w:rPr>
        <w:t xml:space="preserve">Preferred Accruing Dividends shall accrue from day to day, whether or not declared, shall be cumulative and shall be paid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Preferred Accruing Dividends shall be payable solely in accordance with the following sentence or upon liquidation, dissolution or winding up of the Corporation or a Deemed Liquidation Event (as defined below) in accordance with </w:t>
      </w:r>
      <w:r>
        <w:rPr>
          <w:rFonts w:ascii="Arial" w:cs="Arial" w:eastAsia="Arial" w:hAnsi="Arial"/>
          <w:sz w:val="15"/>
          <w:szCs w:val="15"/>
          <w:u w:val="single" w:color="auto"/>
          <w:color w:val="auto"/>
        </w:rPr>
        <w:t>Subsection 2.1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Subsection 2.3.2(b)</w:t>
      </w:r>
      <w:r>
        <w:rPr>
          <w:rFonts w:ascii="Arial" w:cs="Arial" w:eastAsia="Arial" w:hAnsi="Arial"/>
          <w:sz w:val="15"/>
          <w:szCs w:val="15"/>
          <w:color w:val="auto"/>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Series A Preferred Stock and the Series B Preferred Stock then outstanding shall first receive, or simultaneously receive, a dividend on each outstanding share of Preferred Stock, with the Series A Preferred Stock and the Series B Preferred Stock being treated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in an amount at least equal to the greater of (i) the amount of the aggregate Preferred Accruing Dividends then accrued on such share of Preferred Stock, as applicable, and not previously paid and</w:t>
      </w:r>
    </w:p>
    <w:p>
      <w:pPr>
        <w:spacing w:after="0" w:line="2" w:lineRule="exact"/>
        <w:rPr>
          <w:sz w:val="20"/>
          <w:szCs w:val="20"/>
          <w:color w:val="auto"/>
        </w:rPr>
      </w:pPr>
    </w:p>
    <w:p>
      <w:pPr>
        <w:ind w:left="260" w:hanging="252"/>
        <w:spacing w:after="0"/>
        <w:tabs>
          <w:tab w:leader="none" w:pos="2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 in the case of a dividend on Common Stock or any class or series that is convertible into Common Stock, that dividend per share of Preferred Stock as</w:t>
      </w:r>
    </w:p>
    <w:p>
      <w:pPr>
        <w:spacing w:after="0" w:line="32"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would equal the product of (1) the dividend payable on each share of such class or series determined, if applicable, as if all shares of such class or series had been converted into Common Stock and (2) the number of shares of Common Stock issuable upon conversion of a share of the applicable series of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A Original Issue Price (as defined below) or the Series B Original Issue Price (as defined below), as applicable; provided that, if the Corporation declares, pays or sets aside, on the same date, a dividend on shares of more than one class or series of capital stock of the Corporation, the dividend payable to the holders of a series of Preferred 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Preferred Stock dividend for such series. The “</w:t>
      </w:r>
      <w:r>
        <w:rPr>
          <w:rFonts w:ascii="Arial" w:cs="Arial" w:eastAsia="Arial" w:hAnsi="Arial"/>
          <w:sz w:val="16"/>
          <w:szCs w:val="16"/>
          <w:b w:val="1"/>
          <w:bCs w:val="1"/>
          <w:color w:val="auto"/>
        </w:rPr>
        <w:t>Series A Original Issue Price</w:t>
      </w:r>
      <w:r>
        <w:rPr>
          <w:rFonts w:ascii="Arial" w:cs="Arial" w:eastAsia="Arial" w:hAnsi="Arial"/>
          <w:sz w:val="16"/>
          <w:szCs w:val="16"/>
          <w:color w:val="auto"/>
        </w:rPr>
        <w:t>” shall mean $1.00 per share, subject to appropriate adjustment in the event of any stock dividend, stock split, combination or other similar recapitalization with respect to the Series A Preferred Stock. The “</w:t>
      </w:r>
      <w:r>
        <w:rPr>
          <w:rFonts w:ascii="Arial" w:cs="Arial" w:eastAsia="Arial" w:hAnsi="Arial"/>
          <w:sz w:val="16"/>
          <w:szCs w:val="16"/>
          <w:b w:val="1"/>
          <w:bCs w:val="1"/>
          <w:color w:val="auto"/>
        </w:rPr>
        <w:t>Series B Original Issue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shall mean $2.00 per share, subject to appropriate adjustment in the event of any stock dividend, stock split, combination or other similar recapitalization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Series B Preferred Stock. The Series A Original Issue Price and Series B Original Issue Price shall each be referred to as a “</w:t>
      </w:r>
      <w:r>
        <w:rPr>
          <w:rFonts w:ascii="Arial" w:cs="Arial" w:eastAsia="Arial" w:hAnsi="Arial"/>
          <w:sz w:val="16"/>
          <w:szCs w:val="16"/>
          <w:b w:val="1"/>
          <w:b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Stock Original Issue Price</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1300" w:hanging="644"/>
        <w:spacing w:after="0"/>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Preferential Payments to Holders of Series A Preferred Stock and Series B Preferred Stock</w:t>
      </w:r>
      <w:r>
        <w:rPr>
          <w:rFonts w:ascii="Arial" w:cs="Arial" w:eastAsia="Arial" w:hAnsi="Arial"/>
          <w:sz w:val="18"/>
          <w:szCs w:val="18"/>
          <w:color w:val="auto"/>
        </w:rPr>
        <w:t xml:space="preserve">. In the event of any voluntary or involuntary liquidation, dissolution or winding up of the Corporation or Deemed Liquidation Event, the holders of shares of Series A Preferred Stock and Series B Preferred Stock then outstanding shall be entitled to be paid on a </w:t>
      </w:r>
      <w:r>
        <w:rPr>
          <w:rFonts w:ascii="Arial" w:cs="Arial" w:eastAsia="Arial" w:hAnsi="Arial"/>
          <w:sz w:val="18"/>
          <w:szCs w:val="18"/>
          <w:i w:val="1"/>
          <w:iCs w:val="1"/>
          <w:color w:val="auto"/>
        </w:rPr>
        <w:t>pari passu</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0" w:name="page311"/>
    <w:bookmarkEnd w:id="310"/>
    <w:p>
      <w:pPr>
        <w:ind w:right="20" w:firstLine="41"/>
        <w:spacing w:after="0" w:line="268" w:lineRule="auto"/>
        <w:rPr>
          <w:sz w:val="20"/>
          <w:szCs w:val="20"/>
          <w:color w:val="auto"/>
        </w:rPr>
      </w:pPr>
      <w:r>
        <w:rPr>
          <w:rFonts w:ascii="Arial" w:cs="Arial" w:eastAsia="Arial" w:hAnsi="Arial"/>
          <w:sz w:val="17"/>
          <w:szCs w:val="17"/>
          <w:color w:val="auto"/>
        </w:rPr>
        <w:t xml:space="preserve">basis out of the assets of the Corporation available for distribution to its stockholders before any payment shall be made to the holders of Common Stock by reason of their ownership thereof, an amount per share equal to the greater of (i) the applicable Preferred Stock Original Issue Price, plus any applicable Preferred Accruing Dividends accrued but unpaid thereon, whether or not declared, together with any other dividends declared but unpaid thereon or (ii) such amount per share as would have been payable had all shares of such series of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or Deemed Liquidation Event.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amount which a holder of a share of Series A Preferred Stock is entitled to receive under this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is hereinafter referred to as the “</w:t>
      </w:r>
      <w:r>
        <w:rPr>
          <w:rFonts w:ascii="Arial" w:cs="Arial" w:eastAsia="Arial" w:hAnsi="Arial"/>
          <w:sz w:val="17"/>
          <w:szCs w:val="17"/>
          <w:b w:val="1"/>
          <w:bCs w:val="1"/>
          <w:color w:val="auto"/>
        </w:rPr>
        <w:t>Series A Liquidation Amount</w:t>
      </w:r>
      <w:r>
        <w:rPr>
          <w:rFonts w:ascii="Arial" w:cs="Arial" w:eastAsia="Arial" w:hAnsi="Arial"/>
          <w:sz w:val="17"/>
          <w:szCs w:val="17"/>
          <w:color w:val="auto"/>
        </w:rPr>
        <w:t xml:space="preserve">.” The amount which a holder of a share of Series B Preferred Stock is entitled to receive under this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is hereinafter referred to as the “</w:t>
      </w:r>
      <w:r>
        <w:rPr>
          <w:rFonts w:ascii="Arial" w:cs="Arial" w:eastAsia="Arial" w:hAnsi="Arial"/>
          <w:sz w:val="17"/>
          <w:szCs w:val="17"/>
          <w:b w:val="1"/>
          <w:bCs w:val="1"/>
          <w:color w:val="auto"/>
        </w:rPr>
        <w:t>Series B Liquidation</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Each of the Series A Liquidation Amount and Series B Liquidation Amount is hereinafter referred to as a “</w:t>
      </w:r>
      <w:r>
        <w:rPr>
          <w:rFonts w:ascii="Arial" w:cs="Arial" w:eastAsia="Arial" w:hAnsi="Arial"/>
          <w:sz w:val="17"/>
          <w:szCs w:val="17"/>
          <w:b w:val="1"/>
          <w:bCs w:val="1"/>
          <w:color w:val="auto"/>
        </w:rPr>
        <w:t>Preferred Stock Liquidation Amount</w:t>
      </w:r>
      <w:r>
        <w:rPr>
          <w:rFonts w:ascii="Arial" w:cs="Arial" w:eastAsia="Arial" w:hAnsi="Arial"/>
          <w:sz w:val="17"/>
          <w:szCs w:val="17"/>
          <w:color w:val="auto"/>
        </w:rPr>
        <w:t>.”</w:t>
      </w:r>
    </w:p>
    <w:p>
      <w:pPr>
        <w:spacing w:after="0" w:line="188"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Distribution of Remaining Assets</w:t>
      </w:r>
      <w:r>
        <w:rPr>
          <w:rFonts w:ascii="Arial" w:cs="Arial" w:eastAsia="Arial" w:hAnsi="Arial"/>
          <w:sz w:val="18"/>
          <w:szCs w:val="18"/>
          <w:color w:val="auto"/>
        </w:rPr>
        <w:t>.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the shares of Common Stock, pro rata based on the number of shares held by each such holder.</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221" w:lineRule="exact"/>
        <w:rPr>
          <w:sz w:val="20"/>
          <w:szCs w:val="20"/>
          <w:color w:val="auto"/>
        </w:rPr>
      </w:pPr>
    </w:p>
    <w:p>
      <w:pPr>
        <w:ind w:right="140" w:firstLine="1945"/>
        <w:spacing w:after="0" w:line="289"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Definition</w:t>
      </w:r>
      <w:r>
        <w:rPr>
          <w:rFonts w:ascii="Arial" w:cs="Arial" w:eastAsia="Arial" w:hAnsi="Arial"/>
          <w:sz w:val="17"/>
          <w:szCs w:val="17"/>
          <w:color w:val="auto"/>
        </w:rPr>
        <w:t>. Each of the following events shall be considered a “</w:t>
      </w:r>
      <w:r>
        <w:rPr>
          <w:rFonts w:ascii="Arial" w:cs="Arial" w:eastAsia="Arial" w:hAnsi="Arial"/>
          <w:sz w:val="17"/>
          <w:szCs w:val="17"/>
          <w:b w:val="1"/>
          <w:bCs w:val="1"/>
          <w:color w:val="auto"/>
        </w:rPr>
        <w:t>Deemed Liquidation Event</w:t>
      </w:r>
      <w:r>
        <w:rPr>
          <w:rFonts w:ascii="Arial" w:cs="Arial" w:eastAsia="Arial" w:hAnsi="Arial"/>
          <w:sz w:val="17"/>
          <w:szCs w:val="17"/>
          <w:color w:val="auto"/>
        </w:rPr>
        <w:t>” unless the holders of at least 65% in interest of the then outstanding shares of Preferred Stock, voting together as a single class and on an as-converted basis (the “</w:t>
      </w:r>
      <w:r>
        <w:rPr>
          <w:rFonts w:ascii="Arial" w:cs="Arial" w:eastAsia="Arial" w:hAnsi="Arial"/>
          <w:sz w:val="17"/>
          <w:szCs w:val="17"/>
          <w:b w:val="1"/>
          <w:bCs w:val="1"/>
          <w:color w:val="auto"/>
        </w:rPr>
        <w:t>Required Vote</w:t>
      </w:r>
      <w:r>
        <w:rPr>
          <w:rFonts w:ascii="Arial" w:cs="Arial" w:eastAsia="Arial" w:hAnsi="Arial"/>
          <w:sz w:val="17"/>
          <w:szCs w:val="17"/>
          <w:color w:val="auto"/>
        </w:rPr>
        <w:t>”), elect otherwise by written notice sent to the Corporation at least ten (10) days prior to the effective date of any such event:</w:t>
      </w:r>
    </w:p>
    <w:p>
      <w:pPr>
        <w:spacing w:after="0" w:line="162" w:lineRule="exact"/>
        <w:rPr>
          <w:sz w:val="20"/>
          <w:szCs w:val="20"/>
          <w:color w:val="auto"/>
        </w:rPr>
      </w:pPr>
    </w:p>
    <w:p>
      <w:pPr>
        <w:ind w:left="3240" w:hanging="639"/>
        <w:spacing w:after="0"/>
        <w:tabs>
          <w:tab w:leader="none" w:pos="3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225" w:lineRule="exact"/>
        <w:rPr>
          <w:rFonts w:ascii="Arial" w:cs="Arial" w:eastAsia="Arial" w:hAnsi="Arial"/>
          <w:sz w:val="18"/>
          <w:szCs w:val="18"/>
          <w:color w:val="auto"/>
        </w:rPr>
      </w:pPr>
    </w:p>
    <w:p>
      <w:pPr>
        <w:ind w:left="3920" w:hanging="671"/>
        <w:spacing w:after="0"/>
        <w:tabs>
          <w:tab w:leader="none" w:pos="39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225" w:lineRule="exact"/>
        <w:rPr>
          <w:rFonts w:ascii="Arial" w:cs="Arial" w:eastAsia="Arial" w:hAnsi="Arial"/>
          <w:sz w:val="18"/>
          <w:szCs w:val="18"/>
          <w:color w:val="auto"/>
        </w:rPr>
      </w:pPr>
    </w:p>
    <w:p>
      <w:pPr>
        <w:ind w:left="3920" w:hanging="671"/>
        <w:spacing w:after="0"/>
        <w:tabs>
          <w:tab w:leader="none" w:pos="392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 subsidiary of the Corporation is a constituent party and the Corporation issues shares of its capital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 pursuant to such merger or consolidation,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 any such merger or consolidation effected exclusively to change the domicile of the Corporation or (B) any such merger or consolidation involving the Corporation or a subsidiary in which the shares of capital stock of the Corporation outstanding immediately prior to such merger or consolidation continue to represent, or are converted into or exchanged for shares of capital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1" w:name="page312"/>
    <w:bookmarkEnd w:id="311"/>
    <w:p>
      <w:pPr>
        <w:ind w:right="300"/>
        <w:spacing w:after="0" w:line="264" w:lineRule="auto"/>
        <w:rPr>
          <w:sz w:val="20"/>
          <w:szCs w:val="20"/>
          <w:color w:val="auto"/>
        </w:rPr>
      </w:pPr>
      <w:r>
        <w:rPr>
          <w:rFonts w:ascii="Arial" w:cs="Arial" w:eastAsia="Arial" w:hAnsi="Arial"/>
          <w:sz w:val="18"/>
          <w:szCs w:val="18"/>
          <w:color w:val="auto"/>
        </w:rPr>
        <w:t>stock that represent, immediately following such merger or consolidation,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81" w:lineRule="exact"/>
        <w:rPr>
          <w:sz w:val="20"/>
          <w:szCs w:val="20"/>
          <w:color w:val="auto"/>
        </w:rPr>
      </w:pPr>
    </w:p>
    <w:p>
      <w:pPr>
        <w:ind w:right="40" w:firstLine="2601"/>
        <w:spacing w:after="0" w:line="257" w:lineRule="auto"/>
        <w:tabs>
          <w:tab w:leader="none" w:pos="32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88"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auto"/>
        </w:rPr>
        <w:t>Effecting a Deemed Liquidation Event</w:t>
      </w:r>
    </w:p>
    <w:p>
      <w:pPr>
        <w:spacing w:after="0" w:line="225" w:lineRule="exact"/>
        <w:rPr>
          <w:sz w:val="20"/>
          <w:szCs w:val="20"/>
          <w:color w:val="auto"/>
        </w:rPr>
      </w:pPr>
    </w:p>
    <w:p>
      <w:pPr>
        <w:ind w:left="3240" w:hanging="639"/>
        <w:spacing w:after="0"/>
        <w:tabs>
          <w:tab w:leader="none" w:pos="32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The Corporation shall not have the power to effect a Deemed Liquidation Event referred to in </w:t>
      </w:r>
      <w:r>
        <w:rPr>
          <w:rFonts w:ascii="Arial" w:cs="Arial" w:eastAsia="Arial" w:hAnsi="Arial"/>
          <w:sz w:val="17"/>
          <w:szCs w:val="17"/>
          <w:u w:val="single" w:color="auto"/>
          <w:color w:val="auto"/>
        </w:rPr>
        <w:t>Subsection</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2.3.1(a)(i)</w:t>
      </w:r>
      <w:r>
        <w:rPr>
          <w:rFonts w:ascii="Arial" w:cs="Arial" w:eastAsia="Arial" w:hAnsi="Arial"/>
          <w:sz w:val="18"/>
          <w:szCs w:val="18"/>
          <w:color w:val="auto"/>
        </w:rPr>
        <w:t xml:space="preserve"> above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above.</w:t>
      </w:r>
    </w:p>
    <w:p>
      <w:pPr>
        <w:spacing w:after="0" w:line="190" w:lineRule="exact"/>
        <w:rPr>
          <w:sz w:val="20"/>
          <w:szCs w:val="20"/>
          <w:color w:val="auto"/>
        </w:rPr>
      </w:pPr>
    </w:p>
    <w:p>
      <w:pPr>
        <w:ind w:right="60" w:firstLine="2601"/>
        <w:spacing w:after="0" w:line="276" w:lineRule="auto"/>
        <w:tabs>
          <w:tab w:leader="none" w:pos="324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xml:space="preserve"> above,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Deemed Liquidation Event advising such holders of their right (and the requirements to be met to secure such right) pursuant to the terms of the following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require the redemption of such shares of Preferred Stock, and (ii) if the holders representing the Required Vote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 together with any other assets of the Corporation available for distribution to its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all to the extent permitted by Delaware law governing distributions to stockholders, on the one hundred fiftieth (150</w:t>
      </w:r>
      <w:r>
        <w:rPr>
          <w:rFonts w:ascii="Arial" w:cs="Arial" w:eastAsia="Arial" w:hAnsi="Arial"/>
          <w:sz w:val="20"/>
          <w:szCs w:val="20"/>
          <w:color w:val="auto"/>
          <w:vertAlign w:val="superscript"/>
        </w:rPr>
        <w:t>th</w:t>
      </w:r>
      <w:r>
        <w:rPr>
          <w:rFonts w:ascii="Arial" w:cs="Arial" w:eastAsia="Arial" w:hAnsi="Arial"/>
          <w:sz w:val="16"/>
          <w:szCs w:val="16"/>
          <w:color w:val="auto"/>
        </w:rPr>
        <w:t>) day after such Deemed Liquidation Event (the “</w:t>
      </w:r>
      <w:r>
        <w:rPr>
          <w:rFonts w:ascii="Arial" w:cs="Arial" w:eastAsia="Arial" w:hAnsi="Arial"/>
          <w:sz w:val="16"/>
          <w:szCs w:val="16"/>
          <w:b w:val="1"/>
          <w:bCs w:val="1"/>
          <w:color w:val="auto"/>
        </w:rPr>
        <w:t>Redemption Date</w:t>
      </w:r>
      <w:r>
        <w:rPr>
          <w:rFonts w:ascii="Arial" w:cs="Arial" w:eastAsia="Arial" w:hAnsi="Arial"/>
          <w:sz w:val="16"/>
          <w:szCs w:val="16"/>
          <w:color w:val="auto"/>
        </w:rPr>
        <w:t xml:space="preserve">”), to redeem all outstanding shares of Preferred Stock,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at a price per share equal to the applicable Preferred Stock Liquidation Amount (each, a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Notwithstanding the foregoing, in the event of a redemption pursuant to the preceding sentence, if the Available Proceeds are not sufficient to redeem all outstanding shares of Preferred Stock, the Corporation shall ratably redeem each holder’s shares of Preferred Stock,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to the fullest extent of such Available Proceeds and shall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the Corporation shall not expend or dissipate the consideration received for such Deemed Liquidation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color w:val="auto"/>
        </w:rPr>
        <w:t>Event, except to discharge expenses incurred in connection with such Deemed Liquidation Event or in the ordinary course of business.</w:t>
      </w:r>
    </w:p>
    <w:p>
      <w:pPr>
        <w:spacing w:after="0" w:line="225" w:lineRule="exact"/>
        <w:rPr>
          <w:sz w:val="20"/>
          <w:szCs w:val="20"/>
          <w:color w:val="auto"/>
        </w:rPr>
      </w:pPr>
    </w:p>
    <w:p>
      <w:pPr>
        <w:ind w:left="3260" w:hanging="659"/>
        <w:spacing w:after="0"/>
        <w:tabs>
          <w:tab w:leader="none" w:pos="32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Corporation shall send written notice of a required redemption pursuant to Subsection 2.3.2(b) (the</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 to each holder of record of Preferred Stock not less than forty (40) days prior to the Redemption Date. The Redemption Notice shall state:</w:t>
      </w:r>
    </w:p>
    <w:p>
      <w:pPr>
        <w:spacing w:after="0" w:line="184" w:lineRule="exact"/>
        <w:rPr>
          <w:sz w:val="20"/>
          <w:szCs w:val="20"/>
          <w:color w:val="auto"/>
        </w:rPr>
      </w:pPr>
    </w:p>
    <w:p>
      <w:pPr>
        <w:ind w:left="3920" w:hanging="671"/>
        <w:spacing w:after="0"/>
        <w:tabs>
          <w:tab w:leader="none" w:pos="39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number of shares and series of Preferred Stock held by the holder that the Corporation shall redeem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the Redemption Date;</w:t>
      </w:r>
    </w:p>
    <w:p>
      <w:pPr>
        <w:spacing w:after="0" w:line="211" w:lineRule="exact"/>
        <w:rPr>
          <w:sz w:val="20"/>
          <w:szCs w:val="20"/>
          <w:color w:val="auto"/>
        </w:rPr>
      </w:pPr>
    </w:p>
    <w:p>
      <w:pPr>
        <w:ind w:left="3920" w:hanging="671"/>
        <w:spacing w:after="0"/>
        <w:tabs>
          <w:tab w:leader="none" w:pos="39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Redemption Date and the Redemption Price for each series of Preferred Stock;</w:t>
      </w:r>
    </w:p>
    <w:p>
      <w:pPr>
        <w:spacing w:after="0" w:line="225" w:lineRule="exact"/>
        <w:rPr>
          <w:rFonts w:ascii="Arial" w:cs="Arial" w:eastAsia="Arial" w:hAnsi="Arial"/>
          <w:sz w:val="18"/>
          <w:szCs w:val="18"/>
          <w:color w:val="auto"/>
        </w:rPr>
      </w:pPr>
    </w:p>
    <w:p>
      <w:pPr>
        <w:ind w:left="3940" w:hanging="691"/>
        <w:spacing w:after="0"/>
        <w:tabs>
          <w:tab w:leader="none" w:pos="39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date upon which the holder’s right to convert such shares terminates (as determined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Subsection 4.1.2</w:t>
      </w:r>
      <w:r>
        <w:rPr>
          <w:rFonts w:ascii="Arial" w:cs="Arial" w:eastAsia="Arial" w:hAnsi="Arial"/>
          <w:sz w:val="18"/>
          <w:szCs w:val="18"/>
          <w:color w:val="auto"/>
        </w:rPr>
        <w:t>); and</w:t>
      </w:r>
    </w:p>
    <w:p>
      <w:pPr>
        <w:spacing w:after="0" w:line="211" w:lineRule="exact"/>
        <w:rPr>
          <w:sz w:val="20"/>
          <w:szCs w:val="20"/>
          <w:color w:val="auto"/>
        </w:rPr>
      </w:pPr>
    </w:p>
    <w:p>
      <w:pPr>
        <w:ind w:left="3920" w:hanging="671"/>
        <w:spacing w:after="0"/>
        <w:tabs>
          <w:tab w:leader="none" w:pos="392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for holders of shares in certificated form, that the holder is to surrender to the Corporation,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manner and at the place designated, his, her or its certificate or certificates representing the shares of Preferred Stock to be redeemed.</w:t>
      </w:r>
    </w:p>
    <w:p>
      <w:pPr>
        <w:spacing w:after="0" w:line="210" w:lineRule="exact"/>
        <w:rPr>
          <w:rFonts w:ascii="Arial" w:cs="Arial" w:eastAsia="Arial" w:hAnsi="Arial"/>
          <w:sz w:val="17"/>
          <w:szCs w:val="17"/>
          <w:color w:val="auto"/>
        </w:rPr>
      </w:pPr>
    </w:p>
    <w:p>
      <w:pPr>
        <w:ind w:right="40" w:firstLine="2601"/>
        <w:spacing w:after="0" w:line="293" w:lineRule="auto"/>
        <w:tabs>
          <w:tab w:leader="none" w:pos="324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On or before the Redemption Date, each holder of shares of Preferred Stock, unless such holder has exercised his, her or its right to convert such shares as provided in </w:t>
      </w:r>
      <w:r>
        <w:rPr>
          <w:rFonts w:ascii="Arial" w:cs="Arial" w:eastAsia="Arial" w:hAnsi="Arial"/>
          <w:sz w:val="16"/>
          <w:szCs w:val="16"/>
          <w:u w:val="single" w:color="auto"/>
          <w:color w:val="auto"/>
        </w:rPr>
        <w:t>Section 4.1</w:t>
      </w:r>
      <w:r>
        <w:rPr>
          <w:rFonts w:ascii="Arial" w:cs="Arial" w:eastAsia="Arial" w:hAnsi="Arial"/>
          <w:sz w:val="16"/>
          <w:szCs w:val="16"/>
          <w:color w:val="auto"/>
        </w:rPr>
        <w:t>,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w:t>
      </w:r>
    </w:p>
    <w:p>
      <w:pPr>
        <w:spacing w:after="0" w:line="164" w:lineRule="exact"/>
        <w:rPr>
          <w:rFonts w:ascii="Arial" w:cs="Arial" w:eastAsia="Arial" w:hAnsi="Arial"/>
          <w:sz w:val="16"/>
          <w:szCs w:val="16"/>
          <w:color w:val="auto"/>
        </w:rPr>
      </w:pPr>
    </w:p>
    <w:p>
      <w:pPr>
        <w:ind w:right="20" w:firstLine="2601"/>
        <w:spacing w:after="0" w:line="293" w:lineRule="auto"/>
        <w:tabs>
          <w:tab w:leader="none" w:pos="325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the Redemption Notice shall have been duly given, and if on the applicable Redemption Date the Redemption Price payable upon redemption of the shares of Preferred Stock to be redeemed on the Redemption Date is paid or tendered for payment or deposited with an independent payment agent so as to be available therefor in a timely manner, then notwithstanding that any certificates evidencing any of the shares of Preferred Stock so called for redemption shall not have been surrendered, dividends with respect to such shares of Preferred Stock shall cease to accrue after the Redemption Date and all rights with respect to such shares shall forthwith after the Redemption Date terminate, except only the right of the holders to receive the Redemption Price without interest upon surrender of any such certificate or certificates therefor.</w:t>
      </w:r>
    </w:p>
    <w:p>
      <w:pPr>
        <w:spacing w:after="0" w:line="165" w:lineRule="exact"/>
        <w:rPr>
          <w:sz w:val="20"/>
          <w:szCs w:val="20"/>
          <w:color w:val="auto"/>
        </w:rPr>
      </w:pPr>
    </w:p>
    <w:p>
      <w:pPr>
        <w:ind w:right="60" w:firstLine="1945"/>
        <w:spacing w:after="0" w:line="264"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If the amount deemed paid or distributed to the holders of capital stock of the Corporation upon any such merger, consolidation, sale, transfer, exclusive license, other disposition or redemption is made in property other than in cash, the value of such property paid or distributed to such holders by the Corporation or the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t>acquiring person, firm or other entity shall be the fair market value of such property, determined as follows:</w:t>
      </w:r>
    </w:p>
    <w:p>
      <w:pPr>
        <w:spacing w:after="0" w:line="225" w:lineRule="exact"/>
        <w:rPr>
          <w:sz w:val="20"/>
          <w:szCs w:val="20"/>
          <w:color w:val="auto"/>
        </w:rPr>
      </w:pPr>
    </w:p>
    <w:p>
      <w:pPr>
        <w:ind w:left="3240" w:hanging="639"/>
        <w:spacing w:after="0"/>
        <w:tabs>
          <w:tab w:leader="none" w:pos="32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For securities not subject to investment letters or other similar restrictions on free marketability,</w:t>
      </w:r>
    </w:p>
    <w:p>
      <w:pPr>
        <w:spacing w:after="0" w:line="225" w:lineRule="exact"/>
        <w:rPr>
          <w:rFonts w:ascii="Arial" w:cs="Arial" w:eastAsia="Arial" w:hAnsi="Arial"/>
          <w:sz w:val="18"/>
          <w:szCs w:val="18"/>
          <w:color w:val="auto"/>
        </w:rPr>
      </w:pPr>
    </w:p>
    <w:p>
      <w:pPr>
        <w:ind w:left="3920" w:hanging="671"/>
        <w:spacing w:after="0"/>
        <w:tabs>
          <w:tab w:leader="none" w:pos="392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if traded on a securities exchange, the value shall be deemed to be the average of the closing prices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on such exchange or market over the 30-period ending three (3) days prior to the closing of such transaction;</w:t>
      </w:r>
    </w:p>
    <w:p>
      <w:pPr>
        <w:spacing w:after="0" w:line="210" w:lineRule="exact"/>
        <w:rPr>
          <w:rFonts w:ascii="Arial" w:cs="Arial" w:eastAsia="Arial" w:hAnsi="Arial"/>
          <w:sz w:val="16"/>
          <w:szCs w:val="16"/>
          <w:color w:val="auto"/>
        </w:rPr>
      </w:pPr>
    </w:p>
    <w:p>
      <w:pPr>
        <w:ind w:right="20" w:firstLine="3249"/>
        <w:spacing w:after="0" w:line="277" w:lineRule="auto"/>
        <w:tabs>
          <w:tab w:leader="none" w:pos="39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prices over the 30-day period ending three (3) days prior to the closing of such transaction; or</w:t>
      </w:r>
    </w:p>
    <w:p>
      <w:pPr>
        <w:spacing w:after="0" w:line="170" w:lineRule="exact"/>
        <w:rPr>
          <w:rFonts w:ascii="Arial" w:cs="Arial" w:eastAsia="Arial" w:hAnsi="Arial"/>
          <w:sz w:val="18"/>
          <w:szCs w:val="18"/>
          <w:color w:val="auto"/>
        </w:rPr>
      </w:pPr>
    </w:p>
    <w:p>
      <w:pPr>
        <w:ind w:left="3940" w:hanging="691"/>
        <w:spacing w:after="0"/>
        <w:tabs>
          <w:tab w:leader="none" w:pos="394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if there is no active public market, the value shall be the fair market value thereof, as determined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good faith by the Board of Directors.</w:t>
      </w:r>
    </w:p>
    <w:p>
      <w:pPr>
        <w:spacing w:after="0" w:line="210" w:lineRule="exact"/>
        <w:rPr>
          <w:rFonts w:ascii="Arial" w:cs="Arial" w:eastAsia="Arial" w:hAnsi="Arial"/>
          <w:sz w:val="17"/>
          <w:szCs w:val="17"/>
          <w:color w:val="auto"/>
        </w:rPr>
      </w:pPr>
    </w:p>
    <w:p>
      <w:pPr>
        <w:ind w:right="140" w:firstLine="2601"/>
        <w:spacing w:after="0" w:line="259" w:lineRule="auto"/>
        <w:tabs>
          <w:tab w:leader="none" w:pos="324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of Directors) from the market value as determined pursuant to clause (a) above so as to reflect the approximate fair market value thereof.</w:t>
      </w:r>
    </w:p>
    <w:p>
      <w:pPr>
        <w:spacing w:after="0" w:line="187"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u w:val="single" w:color="auto"/>
          <w:color w:val="auto"/>
        </w:rPr>
        <w:t>Allocation of Escrow or Contingent Payments</w:t>
      </w:r>
      <w:r>
        <w:rPr>
          <w:rFonts w:ascii="Arial" w:cs="Arial" w:eastAsia="Arial" w:hAnsi="Arial"/>
          <w:sz w:val="16"/>
          <w:szCs w:val="16"/>
          <w:color w:val="auto"/>
        </w:rPr>
        <w:t>. In the event of a Deemed Liquidation Event pursuant to</w:t>
      </w:r>
      <w:r>
        <w:rPr>
          <w:rFonts w:ascii="Arial" w:cs="Arial" w:eastAsia="Arial" w:hAnsi="Arial"/>
          <w:sz w:val="16"/>
          <w:szCs w:val="16"/>
          <w:u w:val="single" w:color="auto"/>
          <w:color w:val="auto"/>
        </w:rPr>
        <w:t xml:space="preserve"> Subsection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2.3.1(a)(i</w:t>
      </w:r>
      <w:r>
        <w:rPr>
          <w:rFonts w:ascii="Arial" w:cs="Arial" w:eastAsia="Arial" w:hAnsi="Arial"/>
          <w:sz w:val="17"/>
          <w:szCs w:val="17"/>
          <w:color w:val="auto"/>
        </w:rPr>
        <w:t>), if any portion of the consideration payable to the stockholders of the Corporation is payable only upon satisfaction of contingencies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Consideration</w:t>
      </w:r>
      <w:r>
        <w:rPr>
          <w:rFonts w:ascii="Arial" w:cs="Arial" w:eastAsia="Arial" w:hAnsi="Arial"/>
          <w:sz w:val="17"/>
          <w:szCs w:val="17"/>
          <w:color w:val="auto"/>
        </w:rPr>
        <w:t>”), the Merger Agreement shall provide that (a) the portion of such consideration that is not Additional Consideration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as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Initial Consideration were the only consideration payable in connection with such Deemed Liquidation Event and (b) any Additional Consideration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becomes payable to the stockholders of the Corporation upon satisfaction of such contingencies shall be allocated among the holders of capital stock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Corporation in accordance with </w:t>
      </w:r>
      <w:r>
        <w:rPr>
          <w:rFonts w:ascii="Arial" w:cs="Arial" w:eastAsia="Arial" w:hAnsi="Arial"/>
          <w:sz w:val="17"/>
          <w:szCs w:val="17"/>
          <w:u w:val="single" w:color="auto"/>
          <w:color w:val="auto"/>
        </w:rPr>
        <w:t>Subsections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after taking into account the previous payment of the Initial Consideration as part of the same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transaction. For the purposes of this </w:t>
      </w:r>
      <w:r>
        <w:rPr>
          <w:rFonts w:ascii="Arial" w:cs="Arial" w:eastAsia="Arial" w:hAnsi="Arial"/>
          <w:sz w:val="17"/>
          <w:szCs w:val="17"/>
          <w:u w:val="single" w:color="auto"/>
          <w:color w:val="auto"/>
        </w:rPr>
        <w:t>Subsection 2.3.4</w:t>
      </w:r>
      <w:r>
        <w:rPr>
          <w:rFonts w:ascii="Arial" w:cs="Arial" w:eastAsia="Arial" w:hAnsi="Arial"/>
          <w:sz w:val="17"/>
          <w:szCs w:val="17"/>
          <w:color w:val="auto"/>
        </w:rPr>
        <w:t>, consideration placed into escrow or retained as holdback to be available for satisfaction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indemnification or similar obligations or otherwise subject to contingencies in connection with such Deemed Liquidation Event shall be deemed to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Consideration.</w:t>
      </w:r>
    </w:p>
    <w:p>
      <w:pPr>
        <w:spacing w:after="0" w:line="211"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right="180" w:firstLine="1297"/>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w:t>
      </w:r>
      <w:r>
        <w:rPr>
          <w:rFonts w:ascii="Arial" w:cs="Arial" w:eastAsia="Arial" w:hAnsi="Arial"/>
          <w:sz w:val="17"/>
          <w:szCs w:val="17"/>
          <w:color w:val="auto"/>
        </w:rPr>
        <w:t>. On any matter presented to the stockholders of the Corporation for their action or consideration at any meeting of stockholders of the Corporation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4" w:name="page315"/>
    <w:bookmarkEnd w:id="314"/>
    <w:p>
      <w:pPr>
        <w:ind w:right="160"/>
        <w:spacing w:after="0" w:line="277" w:lineRule="auto"/>
        <w:rPr>
          <w:sz w:val="20"/>
          <w:szCs w:val="20"/>
          <w:color w:val="auto"/>
        </w:rPr>
      </w:pPr>
      <w:r>
        <w:rPr>
          <w:rFonts w:ascii="Arial" w:cs="Arial" w:eastAsia="Arial" w:hAnsi="Arial"/>
          <w:sz w:val="18"/>
          <w:szCs w:val="18"/>
          <w:color w:val="auto"/>
        </w:rPr>
        <w:t>other provisions of the Certificate of Incorporation, holders of Preferred Stock shall vote together with the holders of Common Stock as a single class, on an as-converted basis.</w:t>
      </w:r>
    </w:p>
    <w:p>
      <w:pPr>
        <w:spacing w:after="0" w:line="170"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holders of record of the shares of Series A Preferred Stock, exclusively and as a separate class, shall be entitled to elect one (1) director of the Corporation (the “</w:t>
      </w:r>
      <w:r>
        <w:rPr>
          <w:rFonts w:ascii="Arial" w:cs="Arial" w:eastAsia="Arial" w:hAnsi="Arial"/>
          <w:sz w:val="17"/>
          <w:szCs w:val="17"/>
          <w:b w:val="1"/>
          <w:bCs w:val="1"/>
          <w:color w:val="auto"/>
        </w:rPr>
        <w:t>Series A Director</w:t>
      </w:r>
      <w:r>
        <w:rPr>
          <w:rFonts w:ascii="Arial" w:cs="Arial" w:eastAsia="Arial" w:hAnsi="Arial"/>
          <w:sz w:val="17"/>
          <w:szCs w:val="17"/>
          <w:color w:val="auto"/>
        </w:rPr>
        <w:t>”). The holders of record of the shares of Series B Preferred Stock, exclusively and as a separate class, shall be entitled to elect one (1) director of the Corporation (the “</w:t>
      </w:r>
      <w:r>
        <w:rPr>
          <w:rFonts w:ascii="Arial" w:cs="Arial" w:eastAsia="Arial" w:hAnsi="Arial"/>
          <w:sz w:val="17"/>
          <w:szCs w:val="17"/>
          <w:b w:val="1"/>
          <w:bCs w:val="1"/>
          <w:color w:val="auto"/>
        </w:rPr>
        <w:t>Series B Director</w:t>
      </w:r>
      <w:r>
        <w:rPr>
          <w:rFonts w:ascii="Arial" w:cs="Arial" w:eastAsia="Arial" w:hAnsi="Arial"/>
          <w:sz w:val="17"/>
          <w:szCs w:val="17"/>
          <w:color w:val="auto"/>
        </w:rPr>
        <w:t>”). The Series A Director and the Series B Director shall be hereinafter referred to as the “</w:t>
      </w:r>
      <w:r>
        <w:rPr>
          <w:rFonts w:ascii="Arial" w:cs="Arial" w:eastAsia="Arial" w:hAnsi="Arial"/>
          <w:sz w:val="17"/>
          <w:szCs w:val="17"/>
          <w:b w:val="1"/>
          <w:bCs w:val="1"/>
          <w:color w:val="auto"/>
        </w:rPr>
        <w:t>Preferred Directors</w:t>
      </w:r>
      <w:r>
        <w:rPr>
          <w:rFonts w:ascii="Arial" w:cs="Arial" w:eastAsia="Arial" w:hAnsi="Arial"/>
          <w:sz w:val="17"/>
          <w:szCs w:val="17"/>
          <w:color w:val="auto"/>
        </w:rPr>
        <w:t xml:space="preserve">”. Any director elected as provided in the preceding sentences may be removed without cause by, and only by, the affirmative vote of the holders of the shares of the class or series of capital stock entitled to elect such director or directors, given either at a special meeting of such stockholders duly called for that purpose (or by a written consent of stockholders in lieu of a meeting).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7"/>
          <w:szCs w:val="17"/>
          <w:u w:val="single" w:color="auto"/>
          <w:color w:val="auto"/>
        </w:rPr>
        <w:t>Subsection 3.2</w:t>
      </w:r>
      <w:r>
        <w:rPr>
          <w:rFonts w:ascii="Arial" w:cs="Arial" w:eastAsia="Arial" w:hAnsi="Arial"/>
          <w:sz w:val="17"/>
          <w:szCs w:val="17"/>
          <w:color w:val="auto"/>
        </w:rPr>
        <w:t>.</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Preferred Stock Protective Provisions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945"/>
        <w:spacing w:after="0" w:line="25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Preferred Stock Protective Provisions</w:t>
      </w:r>
      <w:r>
        <w:rPr>
          <w:rFonts w:ascii="Arial" w:cs="Arial" w:eastAsia="Arial" w:hAnsi="Arial"/>
          <w:sz w:val="18"/>
          <w:szCs w:val="18"/>
          <w:color w:val="auto"/>
        </w:rPr>
        <w:t>. At any time when any shares of Preferred Stock are outstanding, the Corporation or any of its subsidiaries shall not, either directly or indirectly by amendment, merger, consolidation or otherwise, do any of the following without (in addition to any other vote required by law or the Certificate of Incorporation) the written consent or affirmative vote of the holders representing the Required Vote, given in writing or by vote at a meeting, and any such act or transaction entered into without such consent or vote shall be null and void ab initio, and of no force or effect:</w:t>
      </w:r>
    </w:p>
    <w:p>
      <w:pPr>
        <w:spacing w:after="0" w:line="188" w:lineRule="exact"/>
        <w:rPr>
          <w:sz w:val="20"/>
          <w:szCs w:val="20"/>
          <w:color w:val="auto"/>
        </w:rPr>
      </w:pPr>
    </w:p>
    <w:p>
      <w:pPr>
        <w:ind w:right="160" w:firstLine="2601"/>
        <w:spacing w:after="0" w:line="277" w:lineRule="auto"/>
        <w:tabs>
          <w:tab w:leader="none" w:pos="323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liquidate, dissolve or wind-up the business and affairs of the Corporation, effect any merger or consolidation or any other Deemed Liquidation Event, or consent to any of the foregoing;</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amend, alter or repeal any provision of the Certificate of Incorporation or Bylaws of the Corporation;</w:t>
      </w:r>
    </w:p>
    <w:p>
      <w:pPr>
        <w:spacing w:after="0" w:line="225" w:lineRule="exact"/>
        <w:rPr>
          <w:rFonts w:ascii="Arial" w:cs="Arial" w:eastAsia="Arial" w:hAnsi="Arial"/>
          <w:sz w:val="18"/>
          <w:szCs w:val="18"/>
          <w:color w:val="auto"/>
        </w:rPr>
      </w:pPr>
    </w:p>
    <w:p>
      <w:pPr>
        <w:ind w:right="80" w:firstLine="2601"/>
        <w:spacing w:after="0" w:line="312" w:lineRule="auto"/>
        <w:tabs>
          <w:tab w:leader="none" w:pos="325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create or authorize the creation of or issue or obligate itself to issue shares of, any other security convertible into or exercisable for any equity security having rights, preferences or privileges senior to or on parity with any series of Preferred Stock, or increase the authorized number of shares of Preferred Stock or of any additional class or series of capital stock unless it ranks junior to the Preferred Stock;</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5" w:name="page316"/>
    <w:bookmarkEnd w:id="315"/>
    <w:p>
      <w:pPr>
        <w:ind w:left="3260" w:hanging="659"/>
        <w:spacing w:after="0"/>
        <w:tabs>
          <w:tab w:leader="none" w:pos="32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reclassify, alter or amend any existing security that is junior to or on parity with the Preferred Stock, if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reclassification, alteration or amendment would render such other security senior to or on parity with the Preferred Stock;</w:t>
      </w:r>
    </w:p>
    <w:p>
      <w:pPr>
        <w:spacing w:after="0" w:line="210" w:lineRule="exact"/>
        <w:rPr>
          <w:rFonts w:ascii="Arial" w:cs="Arial" w:eastAsia="Arial" w:hAnsi="Arial"/>
          <w:sz w:val="17"/>
          <w:szCs w:val="17"/>
          <w:color w:val="auto"/>
        </w:rPr>
      </w:pPr>
    </w:p>
    <w:p>
      <w:pPr>
        <w:ind w:right="100" w:firstLine="2601"/>
        <w:spacing w:after="0" w:line="259" w:lineRule="auto"/>
        <w:tabs>
          <w:tab w:leader="none" w:pos="32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purchase or redeem or pay or declare any dividend or make any distribution on, any shares of capital stock prior to the Preferred Stock, other than stock repurchased from former employees, officers, directors or consultants in connection with the cessation of their employment/services, at the lower of fair market value or cost, or as approved by the Board of Directors, including the approval of at least one Preferred Director;</w:t>
      </w:r>
    </w:p>
    <w:p>
      <w:pPr>
        <w:spacing w:after="0" w:line="186" w:lineRule="exact"/>
        <w:rPr>
          <w:rFonts w:ascii="Arial" w:cs="Arial" w:eastAsia="Arial" w:hAnsi="Arial"/>
          <w:sz w:val="18"/>
          <w:szCs w:val="18"/>
          <w:color w:val="auto"/>
        </w:rPr>
      </w:pPr>
    </w:p>
    <w:p>
      <w:pPr>
        <w:ind w:right="300" w:firstLine="2601"/>
        <w:spacing w:after="0" w:line="308" w:lineRule="auto"/>
        <w:tabs>
          <w:tab w:leader="none" w:pos="324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create or authorize the creation of any debt security other than equipment leases or bank lines of credit unless such debt security has received the prior approval of the Board of Directors, including the approval of at least one Preferred Director;</w:t>
      </w:r>
    </w:p>
    <w:p>
      <w:pPr>
        <w:spacing w:after="0" w:line="146" w:lineRule="exact"/>
        <w:rPr>
          <w:rFonts w:ascii="Arial" w:cs="Arial" w:eastAsia="Arial" w:hAnsi="Arial"/>
          <w:sz w:val="17"/>
          <w:szCs w:val="17"/>
          <w:color w:val="auto"/>
        </w:rPr>
      </w:pPr>
    </w:p>
    <w:p>
      <w:pPr>
        <w:ind w:left="3280" w:hanging="679"/>
        <w:spacing w:after="0"/>
        <w:tabs>
          <w:tab w:leader="none" w:pos="32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increase or decrease the authorized number of directors constituting the Board of Directors; or</w:t>
      </w:r>
    </w:p>
    <w:p>
      <w:pPr>
        <w:spacing w:after="0" w:line="225" w:lineRule="exact"/>
        <w:rPr>
          <w:rFonts w:ascii="Arial" w:cs="Arial" w:eastAsia="Arial" w:hAnsi="Arial"/>
          <w:sz w:val="18"/>
          <w:szCs w:val="18"/>
          <w:color w:val="auto"/>
        </w:rPr>
      </w:pPr>
    </w:p>
    <w:p>
      <w:pPr>
        <w:ind w:right="140" w:firstLine="2601"/>
        <w:spacing w:after="0" w:line="277" w:lineRule="auto"/>
        <w:tabs>
          <w:tab w:leader="none" w:pos="324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create or hold capital stock in any subsidiary that is not a wholly-owned subsidiary or dispose of any subsidiary stock or all or substantially all of any subsidiary assets.</w:t>
      </w:r>
    </w:p>
    <w:p>
      <w:pPr>
        <w:spacing w:after="0" w:line="170" w:lineRule="exact"/>
        <w:rPr>
          <w:sz w:val="20"/>
          <w:szCs w:val="20"/>
          <w:color w:val="auto"/>
        </w:rPr>
      </w:pPr>
    </w:p>
    <w:p>
      <w:pPr>
        <w:ind w:right="40" w:firstLine="1945"/>
        <w:spacing w:after="0" w:line="255"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At any time when any shares of Series B Preferred Stock are outstanding, the Corporation or any of its subsidiaries shall not, either directly or indirectly by amendment, merger, consolidation or otherwise, do any of the following without (in addition to any other vote required by law or the Certificate of Incorporation) the written consent or affirmative vote of the holders representing a majority in interest of the then outstanding shares of Series B Preferred Stock, voting together as a separate class (the “</w:t>
      </w:r>
      <w:r>
        <w:rPr>
          <w:rFonts w:ascii="Arial" w:cs="Arial" w:eastAsia="Arial" w:hAnsi="Arial"/>
          <w:sz w:val="18"/>
          <w:szCs w:val="18"/>
          <w:b w:val="1"/>
          <w:bCs w:val="1"/>
          <w:color w:val="auto"/>
        </w:rPr>
        <w:t>Series B Required Vote</w:t>
      </w:r>
      <w:r>
        <w:rPr>
          <w:rFonts w:ascii="Arial" w:cs="Arial" w:eastAsia="Arial" w:hAnsi="Arial"/>
          <w:sz w:val="18"/>
          <w:szCs w:val="18"/>
          <w:color w:val="auto"/>
        </w:rPr>
        <w:t xml:space="preserve">”), given in writing or by vote at a meeting,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93" w:lineRule="exact"/>
        <w:rPr>
          <w:sz w:val="20"/>
          <w:szCs w:val="20"/>
          <w:color w:val="auto"/>
        </w:rPr>
      </w:pPr>
    </w:p>
    <w:p>
      <w:pPr>
        <w:ind w:firstLine="2601"/>
        <w:spacing w:after="0" w:line="342" w:lineRule="auto"/>
        <w:tabs>
          <w:tab w:leader="none" w:pos="323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amend or waive the rights, preferences or privileges of the Series B Preferred Stock in a manner that is adverse to the Series B Preferred Stock (provided that the creation or issuance of a new series of senior Preferred Stock shall not in and of itself trigger this provision);</w:t>
      </w:r>
    </w:p>
    <w:p>
      <w:pPr>
        <w:spacing w:after="0" w:line="123" w:lineRule="exact"/>
        <w:rPr>
          <w:rFonts w:ascii="Arial" w:cs="Arial" w:eastAsia="Arial" w:hAnsi="Arial"/>
          <w:sz w:val="16"/>
          <w:szCs w:val="16"/>
          <w:color w:val="auto"/>
        </w:rPr>
      </w:pPr>
    </w:p>
    <w:p>
      <w:pPr>
        <w:ind w:right="700" w:firstLine="2601"/>
        <w:spacing w:after="0" w:line="277" w:lineRule="auto"/>
        <w:tabs>
          <w:tab w:leader="none" w:pos="324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pay or declare any dividend or make any distribution on any shares of capital stock prior to the Series B Preferred Stock, except as set forth in Section 1; or</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B Preferred Stock.</w:t>
      </w:r>
    </w:p>
    <w:p>
      <w:pPr>
        <w:spacing w:after="0" w:line="225" w:lineRule="exact"/>
        <w:rPr>
          <w:sz w:val="20"/>
          <w:szCs w:val="20"/>
          <w:color w:val="auto"/>
        </w:rPr>
      </w:pPr>
    </w:p>
    <w:p>
      <w:pPr>
        <w:ind w:right="40" w:firstLine="1945"/>
        <w:spacing w:after="0" w:line="279" w:lineRule="auto"/>
        <w:rPr>
          <w:sz w:val="20"/>
          <w:szCs w:val="20"/>
          <w:color w:val="auto"/>
        </w:rPr>
      </w:pPr>
      <w:r>
        <w:rPr>
          <w:rFonts w:ascii="Arial" w:cs="Arial" w:eastAsia="Arial" w:hAnsi="Arial"/>
          <w:sz w:val="17"/>
          <w:szCs w:val="17"/>
          <w:color w:val="auto"/>
        </w:rPr>
        <w:t xml:space="preserve">3.3.3 </w:t>
      </w:r>
      <w:r>
        <w:rPr>
          <w:rFonts w:ascii="Arial" w:cs="Arial" w:eastAsia="Arial" w:hAnsi="Arial"/>
          <w:sz w:val="17"/>
          <w:szCs w:val="17"/>
          <w:u w:val="single" w:color="auto"/>
          <w:color w:val="auto"/>
        </w:rPr>
        <w:t>Series A Preferred Stock Protective Provisions</w:t>
      </w:r>
      <w:r>
        <w:rPr>
          <w:rFonts w:ascii="Arial" w:cs="Arial" w:eastAsia="Arial" w:hAnsi="Arial"/>
          <w:sz w:val="17"/>
          <w:szCs w:val="17"/>
          <w:color w:val="auto"/>
        </w:rPr>
        <w:t>. At any time when any shares of Series A Preferred Stock are outstanding, the Corporation or any of its subsidiaries shall not, either directly or indirectly by amendment, merger, consolidation or otherwise, do any of the following without (in addition to any other vote required by law or the Certificate of Incorporation) the written consent or affirmative vote of the holders representing a majority in interest of the then outstanding shares of Series A Preferred Stock, voting together as a separate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6" w:name="page317"/>
    <w:bookmarkEnd w:id="316"/>
    <w:p>
      <w:pPr>
        <w:ind w:right="40"/>
        <w:spacing w:after="0" w:line="282" w:lineRule="auto"/>
        <w:rPr>
          <w:sz w:val="20"/>
          <w:szCs w:val="20"/>
          <w:color w:val="auto"/>
        </w:rPr>
      </w:pPr>
      <w:r>
        <w:rPr>
          <w:rFonts w:ascii="Arial" w:cs="Arial" w:eastAsia="Arial" w:hAnsi="Arial"/>
          <w:sz w:val="18"/>
          <w:szCs w:val="18"/>
          <w:color w:val="auto"/>
        </w:rPr>
        <w:t>class (the “</w:t>
      </w:r>
      <w:r>
        <w:rPr>
          <w:rFonts w:ascii="Arial" w:cs="Arial" w:eastAsia="Arial" w:hAnsi="Arial"/>
          <w:sz w:val="18"/>
          <w:szCs w:val="18"/>
          <w:b w:val="1"/>
          <w:bCs w:val="1"/>
          <w:color w:val="auto"/>
        </w:rPr>
        <w:t>Series A Required Vote</w:t>
      </w:r>
      <w:r>
        <w:rPr>
          <w:rFonts w:ascii="Arial" w:cs="Arial" w:eastAsia="Arial" w:hAnsi="Arial"/>
          <w:sz w:val="18"/>
          <w:szCs w:val="18"/>
          <w:color w:val="auto"/>
        </w:rPr>
        <w:t xml:space="preserve">”), given in writing or by vote at a meeting,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66" w:lineRule="exact"/>
        <w:rPr>
          <w:sz w:val="20"/>
          <w:szCs w:val="20"/>
          <w:color w:val="auto"/>
        </w:rPr>
      </w:pPr>
    </w:p>
    <w:p>
      <w:pPr>
        <w:ind w:firstLine="2601"/>
        <w:spacing w:after="0" w:line="342" w:lineRule="auto"/>
        <w:tabs>
          <w:tab w:leader="none" w:pos="323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amend or waive the rights, preferences or privileges of the Series A Preferred Stock in a manner that is adverse to the Series A Preferred Stock (provided that the creation or issuance of a new series of senior Preferred Stock shall not in and of itself trigger this provision);</w:t>
      </w:r>
    </w:p>
    <w:p>
      <w:pPr>
        <w:spacing w:after="0" w:line="123" w:lineRule="exact"/>
        <w:rPr>
          <w:rFonts w:ascii="Arial" w:cs="Arial" w:eastAsia="Arial" w:hAnsi="Arial"/>
          <w:sz w:val="16"/>
          <w:szCs w:val="16"/>
          <w:color w:val="auto"/>
        </w:rPr>
      </w:pPr>
    </w:p>
    <w:p>
      <w:pPr>
        <w:ind w:right="700" w:firstLine="2601"/>
        <w:spacing w:after="0" w:line="277" w:lineRule="auto"/>
        <w:tabs>
          <w:tab w:leader="none" w:pos="324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pay or declare any dividend or make any distribution on any shares of capital stock prior to the Series A Preferred Stock, except as set forth in Section 1; or</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A Preferred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ind w:right="60" w:firstLine="1945"/>
        <w:spacing w:after="0" w:line="290"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Preferred Stock Original Issue Price by the applicable Preferred Stock Conversion Price (as defined below) in effect at the time of conversion. The “</w:t>
      </w:r>
      <w:r>
        <w:rPr>
          <w:rFonts w:ascii="Arial" w:cs="Arial" w:eastAsia="Arial" w:hAnsi="Arial"/>
          <w:sz w:val="16"/>
          <w:szCs w:val="16"/>
          <w:b w:val="1"/>
          <w:bCs w:val="1"/>
          <w:color w:val="auto"/>
        </w:rPr>
        <w:t>Series A Conversion Price</w:t>
      </w:r>
      <w:r>
        <w:rPr>
          <w:rFonts w:ascii="Arial" w:cs="Arial" w:eastAsia="Arial" w:hAnsi="Arial"/>
          <w:sz w:val="16"/>
          <w:szCs w:val="16"/>
          <w:color w:val="auto"/>
        </w:rPr>
        <w:t>” shall initially be equal to $1.00. Such initial Series A Conversion Price, and the rate at which shares of Series A Preferred Stock may be converted into shares of Common Stock, shall be subject to adjustment as provided below. The “</w:t>
      </w:r>
      <w:r>
        <w:rPr>
          <w:rFonts w:ascii="Arial" w:cs="Arial" w:eastAsia="Arial" w:hAnsi="Arial"/>
          <w:sz w:val="16"/>
          <w:szCs w:val="16"/>
          <w:b w:val="1"/>
          <w:bCs w:val="1"/>
          <w:color w:val="auto"/>
        </w:rPr>
        <w:t>Series B Conversion Price</w:t>
      </w:r>
      <w:r>
        <w:rPr>
          <w:rFonts w:ascii="Arial" w:cs="Arial" w:eastAsia="Arial" w:hAnsi="Arial"/>
          <w:sz w:val="16"/>
          <w:szCs w:val="16"/>
          <w:color w:val="auto"/>
        </w:rPr>
        <w:t>” shall initially be equal to $2.00. Such initial Series B Conversion Price, and the rate at which shares of Series B Preferred Stock may be converted into shares of Common Stock, shall be subject to adjustment as provided below. The Series A Conversion Price and the Series B Conversion Price shall each be referred to as a “</w:t>
      </w:r>
      <w:r>
        <w:rPr>
          <w:rFonts w:ascii="Arial" w:cs="Arial" w:eastAsia="Arial" w:hAnsi="Arial"/>
          <w:sz w:val="16"/>
          <w:szCs w:val="16"/>
          <w:b w:val="1"/>
          <w:bCs w:val="1"/>
          <w:color w:val="auto"/>
        </w:rPr>
        <w:t>Preferred Stock Conversion Price</w:t>
      </w:r>
      <w:r>
        <w:rPr>
          <w:rFonts w:ascii="Arial" w:cs="Arial" w:eastAsia="Arial" w:hAnsi="Arial"/>
          <w:sz w:val="16"/>
          <w:szCs w:val="16"/>
          <w:color w:val="auto"/>
        </w:rPr>
        <w:t>” and together as the “</w:t>
      </w:r>
      <w:r>
        <w:rPr>
          <w:rFonts w:ascii="Arial" w:cs="Arial" w:eastAsia="Arial" w:hAnsi="Arial"/>
          <w:sz w:val="16"/>
          <w:szCs w:val="16"/>
          <w:b w:val="1"/>
          <w:bCs w:val="1"/>
          <w:color w:val="auto"/>
        </w:rPr>
        <w:t>Preferred Stock Conversion Prices</w:t>
      </w:r>
      <w:r>
        <w:rPr>
          <w:rFonts w:ascii="Arial" w:cs="Arial" w:eastAsia="Arial" w:hAnsi="Arial"/>
          <w:sz w:val="16"/>
          <w:szCs w:val="16"/>
          <w:color w:val="auto"/>
        </w:rPr>
        <w:t>.”</w:t>
      </w:r>
    </w:p>
    <w:p>
      <w:pPr>
        <w:spacing w:after="0" w:line="166" w:lineRule="exact"/>
        <w:rPr>
          <w:sz w:val="20"/>
          <w:szCs w:val="20"/>
          <w:color w:val="auto"/>
        </w:rPr>
      </w:pPr>
    </w:p>
    <w:p>
      <w:pPr>
        <w:ind w:right="100" w:firstLine="1945"/>
        <w:spacing w:after="0" w:line="255"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xml:space="preserve">. In the event of a notice of redemption of any shares of Preferred Stock pursuant to </w:t>
      </w:r>
      <w:r>
        <w:rPr>
          <w:rFonts w:ascii="Arial" w:cs="Arial" w:eastAsia="Arial" w:hAnsi="Arial"/>
          <w:sz w:val="18"/>
          <w:szCs w:val="18"/>
          <w:u w:val="single" w:color="auto"/>
          <w:color w:val="auto"/>
        </w:rPr>
        <w:t>Subsection 2.3.2(b)</w:t>
      </w:r>
      <w:r>
        <w:rPr>
          <w:rFonts w:ascii="Arial" w:cs="Arial" w:eastAsia="Arial" w:hAnsi="Arial"/>
          <w:sz w:val="18"/>
          <w:szCs w:val="18"/>
          <w:color w:val="auto"/>
        </w:rPr>
        <w:t>,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93"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Preferred Stock. In lieu of any fractional shares to which the holder would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A Preferred Stock or Series B Preferred Stock, as applicable, the holder is at the time converting into Common Stock and the aggregate number of shares of Common Stock issuable upon such conversion.</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p>
    <w:p>
      <w:pPr>
        <w:spacing w:after="0" w:line="225" w:lineRule="exact"/>
        <w:rPr>
          <w:sz w:val="20"/>
          <w:szCs w:val="20"/>
          <w:color w:val="auto"/>
        </w:rPr>
      </w:pPr>
    </w:p>
    <w:p>
      <w:pPr>
        <w:ind w:right="20" w:firstLine="1945"/>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Series A Preferred Stock or Series B Preferred Stock, as applicable, represented by the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175" w:lineRule="exact"/>
        <w:rPr>
          <w:sz w:val="20"/>
          <w:szCs w:val="20"/>
          <w:color w:val="auto"/>
        </w:rPr>
      </w:pPr>
    </w:p>
    <w:p>
      <w:pPr>
        <w:ind w:right="40" w:firstLine="1945"/>
        <w:spacing w:after="0" w:line="273"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343" w:gutter="0" w:footer="0" w:header="0"/>
        </w:sectPr>
      </w:pPr>
    </w:p>
    <w:bookmarkStart w:id="317" w:name="page318"/>
    <w:bookmarkEnd w:id="317"/>
    <w:p>
      <w:pPr>
        <w:jc w:val="both"/>
        <w:ind w:right="160"/>
        <w:spacing w:after="0" w:line="302" w:lineRule="auto"/>
        <w:rPr>
          <w:sz w:val="20"/>
          <w:szCs w:val="20"/>
          <w:color w:val="auto"/>
        </w:rPr>
      </w:pPr>
      <w:r>
        <w:rPr>
          <w:rFonts w:ascii="Arial" w:cs="Arial" w:eastAsia="Arial" w:hAnsi="Arial"/>
          <w:sz w:val="16"/>
          <w:szCs w:val="16"/>
          <w:color w:val="auto"/>
        </w:rPr>
        <w:t>efforts to obtain the requisite stockholder approval of any necessary amendment to the Certificate of Incorporation. Before taking any action which would cause an adjustment reducing a Preferred Stock Conversion Price below the then par value of the shares of Common Stock issuable upon conversion of the applicable series of Preferred Stock, the Corporation will take any corporate action which may, in the opinion of its counsel, be necessary in order that the Corporation may validly and legally issue fully paid and nonassessable shares of Common Stock at such adjusted Preferred Stock Conversion Price.</w:t>
      </w:r>
    </w:p>
    <w:p>
      <w:pPr>
        <w:spacing w:after="0" w:line="154" w:lineRule="exact"/>
        <w:rPr>
          <w:sz w:val="20"/>
          <w:szCs w:val="20"/>
          <w:color w:val="auto"/>
        </w:rPr>
      </w:pPr>
    </w:p>
    <w:p>
      <w:pPr>
        <w:ind w:right="20" w:firstLine="1945"/>
        <w:spacing w:after="0" w:line="29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65" w:lineRule="exact"/>
        <w:rPr>
          <w:sz w:val="20"/>
          <w:szCs w:val="20"/>
          <w:color w:val="auto"/>
        </w:rPr>
      </w:pPr>
    </w:p>
    <w:p>
      <w:pPr>
        <w:ind w:right="100" w:firstLine="1945"/>
        <w:spacing w:after="0" w:line="264"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a Preferred Stock Conversion Price shall be made for any declared but unpaid dividends on the applicable series of Preferred Stock surrendered for conversion or on the Common Stock delivered upon conversion.</w:t>
      </w:r>
    </w:p>
    <w:p>
      <w:pPr>
        <w:spacing w:after="0" w:line="181" w:lineRule="exact"/>
        <w:rPr>
          <w:sz w:val="20"/>
          <w:szCs w:val="20"/>
          <w:color w:val="auto"/>
        </w:rPr>
      </w:pPr>
    </w:p>
    <w:p>
      <w:pPr>
        <w:ind w:firstLine="1945"/>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Preferred Stock Conversion Prices for Diluting Issues</w:t>
      </w:r>
      <w:r>
        <w:rPr>
          <w:rFonts w:ascii="Arial" w:cs="Arial" w:eastAsia="Arial" w:hAnsi="Arial"/>
          <w:sz w:val="16"/>
          <w:szCs w:val="16"/>
          <w:color w:val="auto"/>
        </w:rPr>
        <w:t>.</w:t>
      </w:r>
    </w:p>
    <w:p>
      <w:pPr>
        <w:spacing w:after="0" w:line="22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221" w:lineRule="exact"/>
        <w:rPr>
          <w:sz w:val="20"/>
          <w:szCs w:val="20"/>
          <w:color w:val="auto"/>
        </w:rPr>
      </w:pPr>
    </w:p>
    <w:p>
      <w:pPr>
        <w:ind w:left="3240" w:hanging="639"/>
        <w:spacing w:after="0"/>
        <w:tabs>
          <w:tab w:leader="none" w:pos="32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 Convertible Securities.</w:t>
      </w:r>
    </w:p>
    <w:p>
      <w:pPr>
        <w:spacing w:after="0" w:line="207" w:lineRule="exact"/>
        <w:rPr>
          <w:sz w:val="20"/>
          <w:szCs w:val="20"/>
          <w:color w:val="auto"/>
        </w:rPr>
      </w:pPr>
    </w:p>
    <w:p>
      <w:pPr>
        <w:ind w:left="3260" w:hanging="659"/>
        <w:spacing w:after="0"/>
        <w:tabs>
          <w:tab w:leader="none" w:pos="32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Original Issue Date</w:t>
      </w:r>
      <w:r>
        <w:rPr>
          <w:rFonts w:ascii="Arial" w:cs="Arial" w:eastAsia="Arial" w:hAnsi="Arial"/>
          <w:sz w:val="16"/>
          <w:szCs w:val="16"/>
          <w:color w:val="auto"/>
        </w:rPr>
        <w:t>” shall mean the date on which the first share of Series B Preferred Stock was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issued.</w:t>
      </w:r>
    </w:p>
    <w:p>
      <w:pPr>
        <w:spacing w:after="0" w:line="207" w:lineRule="exact"/>
        <w:rPr>
          <w:sz w:val="20"/>
          <w:szCs w:val="20"/>
          <w:color w:val="auto"/>
        </w:rPr>
      </w:pPr>
    </w:p>
    <w:p>
      <w:pPr>
        <w:ind w:right="500" w:firstLine="2601"/>
        <w:spacing w:after="0" w:line="282" w:lineRule="auto"/>
        <w:tabs>
          <w:tab w:leader="none" w:pos="32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18" w:name="page319"/>
    <w:bookmarkEnd w:id="318"/>
    <w:p>
      <w:pPr>
        <w:ind w:right="20" w:firstLine="2601"/>
        <w:spacing w:after="0" w:line="261" w:lineRule="auto"/>
        <w:tabs>
          <w:tab w:leader="none" w:pos="324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xml:space="preserve">” shall mean all shares of Common Stock issued (or,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xml:space="preserve"> below, deemed to be issued) by the Corporation after the Series B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920" w:hanging="671"/>
        <w:spacing w:after="0"/>
        <w:tabs>
          <w:tab w:leader="none" w:pos="392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as a dividend or distribution 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Preferred Stock;</w:t>
      </w:r>
    </w:p>
    <w:p>
      <w:pPr>
        <w:spacing w:after="0" w:line="210" w:lineRule="exact"/>
        <w:rPr>
          <w:rFonts w:ascii="Arial" w:cs="Arial" w:eastAsia="Arial" w:hAnsi="Arial"/>
          <w:sz w:val="17"/>
          <w:szCs w:val="17"/>
          <w:color w:val="auto"/>
        </w:rPr>
      </w:pPr>
    </w:p>
    <w:p>
      <w:pPr>
        <w:ind w:left="3920" w:hanging="671"/>
        <w:spacing w:after="0"/>
        <w:tabs>
          <w:tab w:leader="none" w:pos="39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shares of Common Stock actually issued upon the exercise of Options or the conversion or exchange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Convertible Securities, in each case provided such issuance is pursuant to the terms of such Option or Convertible Security;</w:t>
      </w:r>
    </w:p>
    <w:p>
      <w:pPr>
        <w:spacing w:after="0" w:line="210" w:lineRule="exact"/>
        <w:rPr>
          <w:rFonts w:ascii="Arial" w:cs="Arial" w:eastAsia="Arial" w:hAnsi="Arial"/>
          <w:sz w:val="16"/>
          <w:szCs w:val="16"/>
          <w:color w:val="auto"/>
        </w:rPr>
      </w:pPr>
    </w:p>
    <w:p>
      <w:pPr>
        <w:ind w:left="3940" w:hanging="691"/>
        <w:spacing w:after="0"/>
        <w:tabs>
          <w:tab w:leader="none" w:pos="394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by reason of a dividend, stock split,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split-up or other distribution on shares of Common Stock that is covered by </w:t>
      </w:r>
      <w:r>
        <w:rPr>
          <w:rFonts w:ascii="Arial" w:cs="Arial" w:eastAsia="Arial" w:hAnsi="Arial"/>
          <w:sz w:val="18"/>
          <w:szCs w:val="18"/>
          <w:u w:val="single" w:color="auto"/>
          <w:color w:val="auto"/>
        </w:rPr>
        <w:t>Subsections 4.5, 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 xml:space="preserve"> below;</w:t>
      </w:r>
    </w:p>
    <w:p>
      <w:pPr>
        <w:spacing w:after="0" w:line="210" w:lineRule="exact"/>
        <w:rPr>
          <w:rFonts w:ascii="Arial" w:cs="Arial" w:eastAsia="Arial" w:hAnsi="Arial"/>
          <w:sz w:val="16"/>
          <w:szCs w:val="16"/>
          <w:color w:val="auto"/>
        </w:rPr>
      </w:pPr>
    </w:p>
    <w:p>
      <w:pPr>
        <w:ind w:right="120" w:firstLine="3249"/>
        <w:spacing w:after="0" w:line="264" w:lineRule="auto"/>
        <w:tabs>
          <w:tab w:leader="none" w:pos="3906"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of Directors, including at least one Preferred Director;</w:t>
      </w:r>
    </w:p>
    <w:p>
      <w:pPr>
        <w:spacing w:after="0" w:line="181" w:lineRule="exact"/>
        <w:rPr>
          <w:rFonts w:ascii="Arial" w:cs="Arial" w:eastAsia="Arial" w:hAnsi="Arial"/>
          <w:sz w:val="18"/>
          <w:szCs w:val="18"/>
          <w:color w:val="auto"/>
        </w:rPr>
      </w:pPr>
    </w:p>
    <w:p>
      <w:pPr>
        <w:ind w:right="20" w:firstLine="3249"/>
        <w:spacing w:after="0" w:line="286" w:lineRule="auto"/>
        <w:tabs>
          <w:tab w:leader="none" w:pos="3897" w:val="left"/>
        </w:tabs>
        <w:numPr>
          <w:ilvl w:val="1"/>
          <w:numId w:val="197"/>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to banks, equipment lessors or other financial institutions, or to real property lessors, pursuant to a debt financing, equipment leasing or real property leasing transaction that is approved by the Board of Directors, including at least one Preferred Director, and that is primarily for non-equity financing purposes; and</w:t>
      </w:r>
    </w:p>
    <w:p>
      <w:pPr>
        <w:spacing w:after="0" w:line="165" w:lineRule="exact"/>
        <w:rPr>
          <w:rFonts w:ascii="Arial" w:cs="Arial" w:eastAsia="Arial" w:hAnsi="Arial"/>
          <w:sz w:val="17"/>
          <w:szCs w:val="17"/>
          <w:color w:val="auto"/>
        </w:rPr>
      </w:pPr>
    </w:p>
    <w:p>
      <w:pPr>
        <w:ind w:left="3920" w:hanging="671"/>
        <w:spacing w:after="0"/>
        <w:tabs>
          <w:tab w:leader="none" w:pos="392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in connection with sponsored</w:t>
      </w:r>
    </w:p>
    <w:p>
      <w:pPr>
        <w:spacing w:after="0" w:line="34" w:lineRule="exact"/>
        <w:rPr>
          <w:rFonts w:ascii="Arial" w:cs="Arial" w:eastAsia="Arial" w:hAnsi="Arial"/>
          <w:sz w:val="17"/>
          <w:szCs w:val="17"/>
          <w:color w:val="auto"/>
        </w:rPr>
      </w:pPr>
    </w:p>
    <w:p>
      <w:pPr>
        <w:ind w:right="220"/>
        <w:spacing w:after="0" w:line="323" w:lineRule="auto"/>
        <w:rPr>
          <w:rFonts w:ascii="Arial" w:cs="Arial" w:eastAsia="Arial" w:hAnsi="Arial"/>
          <w:sz w:val="17"/>
          <w:szCs w:val="17"/>
          <w:color w:val="auto"/>
        </w:rPr>
      </w:pPr>
      <w:r>
        <w:rPr>
          <w:rFonts w:ascii="Arial" w:cs="Arial" w:eastAsia="Arial" w:hAnsi="Arial"/>
          <w:sz w:val="16"/>
          <w:szCs w:val="16"/>
          <w:color w:val="auto"/>
        </w:rPr>
        <w:t>research, collaboration, technology license, development, original equipment manufacturer, marketing or other similar agreements or strategic partnerships that are approved by the Board of Directors, including at least one Preferred Director, and that are primarily for non-equity financing purposes.</w:t>
      </w:r>
    </w:p>
    <w:p>
      <w:pPr>
        <w:spacing w:after="0" w:line="139" w:lineRule="exact"/>
        <w:rPr>
          <w:sz w:val="20"/>
          <w:szCs w:val="20"/>
          <w:color w:val="auto"/>
        </w:rPr>
      </w:pPr>
    </w:p>
    <w:p>
      <w:pPr>
        <w:ind w:right="60" w:firstLine="1945"/>
        <w:spacing w:after="0" w:line="273"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Preferred Stock Conversion Prices</w:t>
      </w:r>
      <w:r>
        <w:rPr>
          <w:rFonts w:ascii="Arial" w:cs="Arial" w:eastAsia="Arial" w:hAnsi="Arial"/>
          <w:sz w:val="17"/>
          <w:szCs w:val="17"/>
          <w:color w:val="auto"/>
        </w:rPr>
        <w:t>. No adjustment in the Series A Conversion Price shall be made as the result of the issuance or deemed issuance of Additional Shares of Common Stock if the Corporation receives written notice from the holders representing the Series A Required Vote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holders representing the Series B Required Vote agreeing that no such adjustment shall be made as the result of the issuance or deemed issuance of such Additional Shares of Common Stock.</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19" w:name="page320"/>
    <w:bookmarkEnd w:id="319"/>
    <w:p>
      <w:pPr>
        <w:ind w:left="1900"/>
        <w:spacing w:after="0"/>
        <w:tabs>
          <w:tab w:leader="none" w:pos="252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p>
    <w:p>
      <w:pPr>
        <w:spacing w:after="0" w:line="225" w:lineRule="exact"/>
        <w:rPr>
          <w:sz w:val="20"/>
          <w:szCs w:val="20"/>
          <w:color w:val="auto"/>
        </w:rPr>
      </w:pPr>
    </w:p>
    <w:p>
      <w:pPr>
        <w:ind w:left="-60" w:right="40" w:firstLine="2601"/>
        <w:spacing w:after="0" w:line="291" w:lineRule="auto"/>
        <w:tabs>
          <w:tab w:leader="none" w:pos="317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67" w:lineRule="exact"/>
        <w:rPr>
          <w:rFonts w:ascii="Arial" w:cs="Arial" w:eastAsia="Arial" w:hAnsi="Arial"/>
          <w:sz w:val="16"/>
          <w:szCs w:val="16"/>
          <w:color w:val="auto"/>
        </w:rPr>
      </w:pPr>
    </w:p>
    <w:p>
      <w:pPr>
        <w:ind w:left="-60" w:firstLine="2601"/>
        <w:spacing w:after="0" w:line="286" w:lineRule="auto"/>
        <w:tabs>
          <w:tab w:leader="none" w:pos="318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a Preferred Stock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below, are revised as a result of an amendment to such terms or if any other adjustment is made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Preferred Stock Conversion Price computed upon the original issue of such Option or Convertible Security (or upon the occurrence of a record date with respect thereto) shall be readjusted to such Preferred Stock Conversion Price as would have obtained had such revised terms been in effect upon the original date of issuance of such Option or Convertible Security. Notwithstanding the foregoing, no readjustment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have the effect of increasing any Preferred Stock Conversion Price to an amount which exceeds the lower of (i) the applicable Preferred Stock Conversion Price in effect immediately prior to the original adjustment made as a result of the issuance of such Option or Convertible Security, or (ii) the applicable Preferred Stock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4" w:lineRule="exact"/>
        <w:rPr>
          <w:rFonts w:ascii="Arial" w:cs="Arial" w:eastAsia="Arial" w:hAnsi="Arial"/>
          <w:sz w:val="16"/>
          <w:szCs w:val="16"/>
          <w:color w:val="auto"/>
        </w:rPr>
      </w:pPr>
    </w:p>
    <w:p>
      <w:pPr>
        <w:ind w:left="-60" w:right="120" w:firstLine="2601"/>
        <w:spacing w:after="0" w:line="271" w:lineRule="auto"/>
        <w:tabs>
          <w:tab w:leader="none" w:pos="319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a Preferred Stock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below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xml:space="preserve"> hereof) of the Additional Shares of Common Stock subject thereto was equal to or greater than the applicable Preferred Stock Conversion Price then in effect, or because such Option or Convertible Security was issued before the Series B Original Issue Date), are revised after the Series B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41" w:right="279" w:bottom="1440" w:gutter="0" w:footer="0" w:header="0"/>
        </w:sectPr>
      </w:pPr>
    </w:p>
    <w:bookmarkStart w:id="320" w:name="page321"/>
    <w:bookmarkEnd w:id="320"/>
    <w:p>
      <w:pPr>
        <w:ind w:right="340"/>
        <w:spacing w:after="0" w:line="286" w:lineRule="auto"/>
        <w:rPr>
          <w:sz w:val="20"/>
          <w:szCs w:val="20"/>
          <w:color w:val="auto"/>
        </w:rPr>
      </w:pPr>
      <w:r>
        <w:rPr>
          <w:rFonts w:ascii="Arial" w:cs="Arial" w:eastAsia="Arial" w:hAnsi="Arial"/>
          <w:sz w:val="17"/>
          <w:szCs w:val="17"/>
          <w:color w:val="auto"/>
        </w:rPr>
        <w:t xml:space="preserve">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4.4.3(a)</w:t>
      </w:r>
      <w:r>
        <w:rPr>
          <w:rFonts w:ascii="Arial" w:cs="Arial" w:eastAsia="Arial" w:hAnsi="Arial"/>
          <w:sz w:val="17"/>
          <w:szCs w:val="17"/>
          <w:color w:val="auto"/>
        </w:rPr>
        <w:t xml:space="preserve"> above) shall be deemed to have been issued effective upon such increase or decrease becoming effective.</w:t>
      </w:r>
    </w:p>
    <w:p>
      <w:pPr>
        <w:spacing w:after="0" w:line="166" w:lineRule="exact"/>
        <w:rPr>
          <w:sz w:val="20"/>
          <w:szCs w:val="20"/>
          <w:color w:val="auto"/>
        </w:rPr>
      </w:pPr>
    </w:p>
    <w:p>
      <w:pPr>
        <w:ind w:right="20" w:firstLine="2601"/>
        <w:spacing w:after="0" w:line="279" w:lineRule="auto"/>
        <w:tabs>
          <w:tab w:leader="none" w:pos="3248"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a Preferred Stock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below, the applicable Preferred Stock Conversion Price shall be readjusted to the Preferred Stock Conversion Price as would have obtained had such Option or Convertible Security (or portion thereof) never been issued.</w:t>
      </w:r>
    </w:p>
    <w:p>
      <w:pPr>
        <w:spacing w:after="0" w:line="171" w:lineRule="exact"/>
        <w:rPr>
          <w:rFonts w:ascii="Arial" w:cs="Arial" w:eastAsia="Arial" w:hAnsi="Arial"/>
          <w:sz w:val="17"/>
          <w:szCs w:val="17"/>
          <w:color w:val="auto"/>
        </w:rPr>
      </w:pPr>
    </w:p>
    <w:p>
      <w:pPr>
        <w:ind w:right="20" w:firstLine="2601"/>
        <w:spacing w:after="0" w:line="285" w:lineRule="auto"/>
        <w:tabs>
          <w:tab w:leader="none" w:pos="325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 Preferred Stock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w:t>
      </w:r>
    </w:p>
    <w:p>
      <w:pPr>
        <w:spacing w:after="0" w:line="2" w:lineRule="exact"/>
        <w:rPr>
          <w:rFonts w:ascii="Arial" w:cs="Arial" w:eastAsia="Arial" w:hAnsi="Arial"/>
          <w:sz w:val="16"/>
          <w:szCs w:val="16"/>
          <w:color w:val="auto"/>
        </w:rPr>
      </w:pPr>
    </w:p>
    <w:p>
      <w:pPr>
        <w:ind w:right="60" w:firstLine="8"/>
        <w:spacing w:after="0" w:line="270" w:lineRule="auto"/>
        <w:tabs>
          <w:tab w:leader="none" w:pos="24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 Preferred Stock Conversion Price that would result under the terms of this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such Preferred Stock Conversion Price that such issuance or amendment took place at the time such calculation can first be made.</w:t>
      </w:r>
    </w:p>
    <w:p>
      <w:pPr>
        <w:spacing w:after="0" w:line="179" w:lineRule="exact"/>
        <w:rPr>
          <w:sz w:val="20"/>
          <w:szCs w:val="20"/>
          <w:color w:val="auto"/>
        </w:rPr>
      </w:pPr>
    </w:p>
    <w:p>
      <w:pPr>
        <w:ind w:firstLine="1945"/>
        <w:spacing w:after="0" w:line="297" w:lineRule="auto"/>
        <w:rPr>
          <w:sz w:val="20"/>
          <w:szCs w:val="20"/>
          <w:color w:val="auto"/>
        </w:rPr>
      </w:pPr>
      <w:r>
        <w:rPr>
          <w:rFonts w:ascii="Arial" w:cs="Arial" w:eastAsia="Arial" w:hAnsi="Arial"/>
          <w:sz w:val="16"/>
          <w:szCs w:val="16"/>
          <w:color w:val="auto"/>
        </w:rPr>
        <w:t xml:space="preserve">4.4.4 </w:t>
      </w:r>
      <w:r>
        <w:rPr>
          <w:rFonts w:ascii="Arial" w:cs="Arial" w:eastAsia="Arial" w:hAnsi="Arial"/>
          <w:sz w:val="16"/>
          <w:szCs w:val="16"/>
          <w:u w:val="single" w:color="auto"/>
          <w:color w:val="auto"/>
        </w:rPr>
        <w:t>Adjustment of Preferred Stock Conversion Prices Upon Issuance of Additional Shares of Common Stock</w:t>
      </w:r>
      <w:r>
        <w:rPr>
          <w:rFonts w:ascii="Arial" w:cs="Arial" w:eastAsia="Arial" w:hAnsi="Arial"/>
          <w:sz w:val="16"/>
          <w:szCs w:val="16"/>
          <w:color w:val="auto"/>
        </w:rPr>
        <w:t xml:space="preserve">. In the event the Corporation shall at any time or from time to time after the Series B Original Issue Date issue Additional Shares of Common Stock (including Additional Shares of Common Stock deemed to be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without consideration or for a consideration per share less than a Preferred Stock Conversion Price in effect immediately prior to such issuance or deemed issuance, then such Preferred Stock Conversion Price shall be reduced, concurrently with such issue, to a price (calculated to the nearest one-hundredth of a cent) determined in accordance with the following formula:</w:t>
      </w:r>
    </w:p>
    <w:p>
      <w:pPr>
        <w:spacing w:after="0" w:line="15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CP</w:t>
      </w:r>
      <w:r>
        <w:rPr>
          <w:rFonts w:ascii="Arial" w:cs="Arial" w:eastAsia="Arial" w:hAnsi="Arial"/>
          <w:sz w:val="11"/>
          <w:szCs w:val="11"/>
          <w:color w:val="auto"/>
        </w:rPr>
        <w:t>2</w:t>
      </w:r>
      <w:r>
        <w:rPr>
          <w:rFonts w:ascii="Arial" w:cs="Arial" w:eastAsia="Arial" w:hAnsi="Arial"/>
          <w:sz w:val="18"/>
          <w:szCs w:val="18"/>
          <w:color w:val="auto"/>
        </w:rPr>
        <w:t xml:space="preserve"> = CP</w:t>
      </w:r>
      <w:r>
        <w:rPr>
          <w:rFonts w:ascii="Arial" w:cs="Arial" w:eastAsia="Arial" w:hAnsi="Arial"/>
          <w:sz w:val="11"/>
          <w:szCs w:val="11"/>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right="220" w:firstLine="2601"/>
        <w:spacing w:after="0" w:line="277" w:lineRule="auto"/>
        <w:tabs>
          <w:tab w:leader="none" w:pos="323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1"/>
          <w:szCs w:val="11"/>
          <w:color w:val="auto"/>
        </w:rPr>
        <w:t>2</w:t>
      </w:r>
      <w:r>
        <w:rPr>
          <w:rFonts w:ascii="Arial" w:cs="Arial" w:eastAsia="Arial" w:hAnsi="Arial"/>
          <w:sz w:val="18"/>
          <w:szCs w:val="18"/>
          <w:color w:val="auto"/>
        </w:rPr>
        <w:t>” shall mean the applicable Preferred Stock Conversion Price in effect immediately after such issuance or deemed issuance of Additional Shares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1" w:name="page322"/>
    <w:bookmarkEnd w:id="321"/>
    <w:p>
      <w:pPr>
        <w:ind w:firstLine="2601"/>
        <w:spacing w:after="0" w:line="277" w:lineRule="auto"/>
        <w:tabs>
          <w:tab w:leader="none" w:pos="32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1"/>
          <w:szCs w:val="11"/>
          <w:color w:val="auto"/>
        </w:rPr>
        <w:t>1</w:t>
      </w:r>
      <w:r>
        <w:rPr>
          <w:rFonts w:ascii="Arial" w:cs="Arial" w:eastAsia="Arial" w:hAnsi="Arial"/>
          <w:sz w:val="18"/>
          <w:szCs w:val="18"/>
          <w:color w:val="auto"/>
        </w:rPr>
        <w:t>” shall mean the applicable Preferred Stock Conversion Price in effect immediately prior to such issuance or deemed issuance of Additional Shares of Common Stock;</w:t>
      </w:r>
    </w:p>
    <w:p>
      <w:pPr>
        <w:spacing w:after="0" w:line="170" w:lineRule="exact"/>
        <w:rPr>
          <w:rFonts w:ascii="Arial" w:cs="Arial" w:eastAsia="Arial" w:hAnsi="Arial"/>
          <w:sz w:val="18"/>
          <w:szCs w:val="18"/>
          <w:color w:val="auto"/>
        </w:rPr>
      </w:pPr>
    </w:p>
    <w:p>
      <w:pPr>
        <w:jc w:val="both"/>
        <w:ind w:right="420" w:firstLine="2601"/>
        <w:spacing w:after="0" w:line="302" w:lineRule="auto"/>
        <w:tabs>
          <w:tab w:leader="none" w:pos="325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54" w:lineRule="exact"/>
        <w:rPr>
          <w:rFonts w:ascii="Arial" w:cs="Arial" w:eastAsia="Arial" w:hAnsi="Arial"/>
          <w:sz w:val="16"/>
          <w:szCs w:val="16"/>
          <w:color w:val="auto"/>
        </w:rPr>
      </w:pPr>
    </w:p>
    <w:p>
      <w:pPr>
        <w:ind w:firstLine="2601"/>
        <w:spacing w:after="0" w:line="264" w:lineRule="auto"/>
        <w:tabs>
          <w:tab w:leader="none" w:pos="32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1"/>
          <w:szCs w:val="11"/>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1"/>
          <w:szCs w:val="11"/>
          <w:color w:val="auto"/>
        </w:rPr>
        <w:t>1</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3260" w:hanging="659"/>
        <w:spacing w:after="0"/>
        <w:tabs>
          <w:tab w:leader="none" w:pos="32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right="200" w:firstLine="1945"/>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170" w:lineRule="exact"/>
        <w:rPr>
          <w:sz w:val="20"/>
          <w:szCs w:val="20"/>
          <w:color w:val="auto"/>
        </w:rPr>
      </w:pPr>
    </w:p>
    <w:p>
      <w:pPr>
        <w:ind w:left="3240" w:hanging="639"/>
        <w:spacing w:after="0"/>
        <w:tabs>
          <w:tab w:leader="none" w:pos="324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225" w:lineRule="exact"/>
        <w:rPr>
          <w:rFonts w:ascii="Arial" w:cs="Arial" w:eastAsia="Arial" w:hAnsi="Arial"/>
          <w:sz w:val="18"/>
          <w:szCs w:val="18"/>
          <w:color w:val="auto"/>
        </w:rPr>
      </w:pPr>
    </w:p>
    <w:p>
      <w:pPr>
        <w:ind w:right="20" w:firstLine="3249"/>
        <w:spacing w:after="0" w:line="277" w:lineRule="auto"/>
        <w:tabs>
          <w:tab w:leader="none" w:pos="3911"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70" w:lineRule="exact"/>
        <w:rPr>
          <w:rFonts w:ascii="Arial" w:cs="Arial" w:eastAsia="Arial" w:hAnsi="Arial"/>
          <w:sz w:val="18"/>
          <w:szCs w:val="18"/>
          <w:color w:val="auto"/>
        </w:rPr>
      </w:pPr>
    </w:p>
    <w:p>
      <w:pPr>
        <w:ind w:left="3920" w:hanging="671"/>
        <w:spacing w:after="0"/>
        <w:tabs>
          <w:tab w:leader="none" w:pos="392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insofar as it consists of property other than cash, be computed at the fair market value thereof at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of such issue, as determined in good faith by the Board of Directors, including at least one Preferred Director; and</w:t>
      </w:r>
    </w:p>
    <w:p>
      <w:pPr>
        <w:spacing w:after="0" w:line="210" w:lineRule="exact"/>
        <w:rPr>
          <w:rFonts w:ascii="Arial" w:cs="Arial" w:eastAsia="Arial" w:hAnsi="Arial"/>
          <w:sz w:val="16"/>
          <w:szCs w:val="16"/>
          <w:color w:val="auto"/>
        </w:rPr>
      </w:pPr>
    </w:p>
    <w:p>
      <w:pPr>
        <w:ind w:left="3940" w:hanging="691"/>
        <w:spacing w:after="0"/>
        <w:tabs>
          <w:tab w:leader="none" w:pos="394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w:t>
      </w:r>
    </w:p>
    <w:p>
      <w:pPr>
        <w:spacing w:after="0" w:line="46" w:lineRule="exact"/>
        <w:rPr>
          <w:rFonts w:ascii="Arial" w:cs="Arial" w:eastAsia="Arial" w:hAnsi="Arial"/>
          <w:sz w:val="16"/>
          <w:szCs w:val="16"/>
          <w:color w:val="auto"/>
        </w:rPr>
      </w:pPr>
    </w:p>
    <w:p>
      <w:pPr>
        <w:ind w:right="900"/>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other assets of the Corporation for consideration which covers both, be the proportion of such consideration so received, computed as provided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as determined in good faith by the Board of Directors, including at least one Preferred Director.</w:t>
      </w:r>
    </w:p>
    <w:p>
      <w:pPr>
        <w:spacing w:after="0" w:line="161" w:lineRule="exact"/>
        <w:rPr>
          <w:rFonts w:ascii="Arial" w:cs="Arial" w:eastAsia="Arial" w:hAnsi="Arial"/>
          <w:sz w:val="16"/>
          <w:szCs w:val="16"/>
          <w:color w:val="auto"/>
        </w:rPr>
      </w:pPr>
    </w:p>
    <w:p>
      <w:pPr>
        <w:ind w:right="280" w:firstLine="2601"/>
        <w:spacing w:after="0" w:line="264" w:lineRule="auto"/>
        <w:tabs>
          <w:tab w:leader="none" w:pos="3248"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181" w:lineRule="exact"/>
        <w:rPr>
          <w:rFonts w:ascii="Arial" w:cs="Arial" w:eastAsia="Arial" w:hAnsi="Arial"/>
          <w:sz w:val="18"/>
          <w:szCs w:val="18"/>
          <w:color w:val="auto"/>
        </w:rPr>
      </w:pPr>
    </w:p>
    <w:p>
      <w:pPr>
        <w:ind w:left="3920" w:hanging="671"/>
        <w:spacing w:after="0"/>
        <w:tabs>
          <w:tab w:leader="none" w:pos="392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w:t>
      </w:r>
    </w:p>
    <w:p>
      <w:pPr>
        <w:spacing w:after="0" w:line="46" w:lineRule="exact"/>
        <w:rPr>
          <w:rFonts w:ascii="Arial" w:cs="Arial" w:eastAsia="Arial" w:hAnsi="Arial"/>
          <w:sz w:val="16"/>
          <w:szCs w:val="16"/>
          <w:color w:val="auto"/>
        </w:rPr>
      </w:pPr>
    </w:p>
    <w:p>
      <w:pPr>
        <w:ind w:right="260"/>
        <w:spacing w:after="0" w:line="261" w:lineRule="auto"/>
        <w:rPr>
          <w:rFonts w:ascii="Arial" w:cs="Arial" w:eastAsia="Arial" w:hAnsi="Arial"/>
          <w:sz w:val="16"/>
          <w:szCs w:val="16"/>
          <w:color w:val="auto"/>
        </w:rPr>
      </w:pPr>
      <w:r>
        <w:rPr>
          <w:rFonts w:ascii="Arial" w:cs="Arial" w:eastAsia="Arial" w:hAnsi="Arial"/>
          <w:sz w:val="18"/>
          <w:szCs w:val="18"/>
          <w:color w:val="auto"/>
        </w:rPr>
        <w:t>Options or Convertible Securities, plus the minimum aggregate amount of additional consideration (as set forth in the instruments relating thereto, without regard to any provision contained therein for a subsequent adjustment of such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2" w:name="page323"/>
    <w:bookmarkEnd w:id="322"/>
    <w:p>
      <w:pPr>
        <w:ind w:right="80"/>
        <w:spacing w:after="0" w:line="342" w:lineRule="auto"/>
        <w:rPr>
          <w:sz w:val="20"/>
          <w:szCs w:val="20"/>
          <w:color w:val="auto"/>
        </w:rPr>
      </w:pPr>
      <w:r>
        <w:rPr>
          <w:rFonts w:ascii="Arial" w:cs="Arial" w:eastAsia="Arial" w:hAnsi="Arial"/>
          <w:sz w:val="16"/>
          <w:szCs w:val="16"/>
          <w:color w:val="auto"/>
        </w:rPr>
        <w:t>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24" w:lineRule="exact"/>
        <w:rPr>
          <w:sz w:val="20"/>
          <w:szCs w:val="20"/>
          <w:color w:val="auto"/>
        </w:rPr>
      </w:pPr>
    </w:p>
    <w:p>
      <w:pPr>
        <w:ind w:right="160" w:firstLine="3249"/>
        <w:spacing w:after="0" w:line="259" w:lineRule="auto"/>
        <w:tabs>
          <w:tab w:leader="none" w:pos="39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7" w:lineRule="exact"/>
        <w:rPr>
          <w:sz w:val="20"/>
          <w:szCs w:val="20"/>
          <w:color w:val="auto"/>
        </w:rPr>
      </w:pPr>
    </w:p>
    <w:p>
      <w:pPr>
        <w:ind w:firstLine="1945"/>
        <w:spacing w:after="0" w:line="257"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a Preferred Stock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xml:space="preserve"> above then, upon the final such issuance, such Preferred Stock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8"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If the Corporation shall at any time or from time to time after the Series B Original Issue Date effect a subdivision of the outstanding Common Stock, the Preferred Stock Conversion Prices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Preferred Stock Conversion Prices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79"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Preferred Stock Conversion Prices in effect immediately before such event shall be decreased as of the time of such issuance or, in the event such a record date shall have been fixed, as of the close of business on such record date, by multiplying the applicable Preferred Stock Conversion Price then in effect by a fraction:</w:t>
      </w:r>
    </w:p>
    <w:p>
      <w:pPr>
        <w:spacing w:after="0" w:line="173" w:lineRule="exact"/>
        <w:rPr>
          <w:sz w:val="20"/>
          <w:szCs w:val="20"/>
          <w:color w:val="auto"/>
        </w:rPr>
      </w:pPr>
    </w:p>
    <w:p>
      <w:pPr>
        <w:ind w:left="3240" w:right="920" w:hanging="639"/>
        <w:spacing w:after="0" w:line="342" w:lineRule="auto"/>
        <w:tabs>
          <w:tab w:leader="none" w:pos="324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numerator of which shall be the total number of shares of Common Stock issued and outstanding immediately prior to the time of such issuance or the close of business on such record date,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3" w:name="page324"/>
    <w:bookmarkEnd w:id="323"/>
    <w:p>
      <w:pPr>
        <w:ind w:left="3240" w:right="240" w:hanging="639"/>
        <w:spacing w:after="0" w:line="286" w:lineRule="auto"/>
        <w:tabs>
          <w:tab w:leader="none" w:pos="324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Notwithstanding the foregoing, (a) if such record date shall have been fixed and such dividend is not fully paid or if such distribution is not fully made on the date fixed therefor, the Preferred Stock Conversion Prices shall be recomputed accordingly as of the close of business on such record date and thereafter the Preferred Stock Conversion Prices shall be adjusted pursuant to this subsection as of the time of actual payment of such dividends or distributions; and</w:t>
      </w:r>
    </w:p>
    <w:p>
      <w:pPr>
        <w:jc w:val="both"/>
        <w:ind w:firstLine="8"/>
        <w:spacing w:after="0" w:line="255" w:lineRule="auto"/>
        <w:tabs>
          <w:tab w:leader="none" w:pos="25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0"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Adjustments for Other Dividends and Distributions</w:t>
      </w:r>
      <w:r>
        <w:rPr>
          <w:rFonts w:ascii="Arial" w:cs="Arial" w:eastAsia="Arial" w:hAnsi="Arial"/>
          <w:sz w:val="18"/>
          <w:szCs w:val="18"/>
          <w:color w:val="auto"/>
        </w:rPr>
        <w:t xml:space="preserve">.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89"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the Series A Preferred Stock and/or the Series B Preferred Stock) is converted into or exchanged for securities, cash or other property (other than a transaction covered by </w:t>
      </w:r>
      <w:r>
        <w:rPr>
          <w:rFonts w:ascii="Arial" w:cs="Arial" w:eastAsia="Arial" w:hAnsi="Arial"/>
          <w:sz w:val="16"/>
          <w:szCs w:val="16"/>
          <w:u w:val="single" w:color="auto"/>
          <w:color w:val="auto"/>
        </w:rPr>
        <w:t>Subsections 4.4</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then, following any such reorganization, recapitalization, reclassification, consolidation or merger, each share of Series A Preferred Stock or Series B Preferred Stock, as applicable, shall thereafter be convertible in lieu of the Common Stock into which it was convertible prior to such event into the kind and amount of securities, cash or other property which a holder of the number of shares of the Common Stock issuable upon conversion of one share of Series A Preferred Stock or Series B Preferred Stock, as applicable, immediately prior to such reorganization, recapitalization, reclassification, consolidation or merger would have been entitled to receive pursuant to such transaction; and, in such case, appropriate adjustment (as determined in good faith by the Board of Directors, including at least one Preferred Director)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the Series A Preferred Stock or the Series B Preferred Stock, as applicable,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applicable Preferred Stock Conversion Price) shall thereafter be applicable, as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4" w:name="page325"/>
    <w:bookmarkEnd w:id="324"/>
    <w:p>
      <w:pPr>
        <w:ind w:right="340"/>
        <w:spacing w:after="0" w:line="277" w:lineRule="auto"/>
        <w:rPr>
          <w:sz w:val="20"/>
          <w:szCs w:val="20"/>
          <w:color w:val="auto"/>
        </w:rPr>
      </w:pPr>
      <w:r>
        <w:rPr>
          <w:rFonts w:ascii="Arial" w:cs="Arial" w:eastAsia="Arial" w:hAnsi="Arial"/>
          <w:sz w:val="18"/>
          <w:szCs w:val="18"/>
          <w:color w:val="auto"/>
        </w:rPr>
        <w:t>nearly as reasonably may be, in relation to any securities or other property thereafter deliverable upon the conversion of the applicable series of Preferred Stock.</w:t>
      </w:r>
    </w:p>
    <w:p>
      <w:pPr>
        <w:spacing w:after="0" w:line="170"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xml:space="preserve">. Upon the occurrence of each adjustment or readjustment of a Preferred Stock Conversion Price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at its expense shall, as promptly as reasonably practicable but in any event not later than fifteen (15) days thereafter, compute such adjustment or readjustment in accordance with the terms hereof and furnish to each holder of the applicable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fifteen (15) days thereafter), furnish or cause to be furnished to such holder a certificate setting forth (i) the Preferred Stock Conversion Prices then in effect, and (ii) the number of shares of Common Stock and the amount, if any, of other securities, cash or property which then would be received upon the conversion of each series of Preferred Stock.</w:t>
      </w:r>
    </w:p>
    <w:p>
      <w:pPr>
        <w:spacing w:after="0" w:line="19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Notice of Record Date</w:t>
      </w:r>
      <w:r>
        <w:rPr>
          <w:rFonts w:ascii="Arial" w:cs="Arial" w:eastAsia="Arial" w:hAnsi="Arial"/>
          <w:sz w:val="16"/>
          <w:szCs w:val="16"/>
          <w:color w:val="auto"/>
        </w:rPr>
        <w:t>. In the event:</w:t>
      </w:r>
    </w:p>
    <w:p>
      <w:pPr>
        <w:spacing w:after="0" w:line="225" w:lineRule="exact"/>
        <w:rPr>
          <w:sz w:val="20"/>
          <w:szCs w:val="20"/>
          <w:color w:val="auto"/>
        </w:rPr>
      </w:pPr>
    </w:p>
    <w:p>
      <w:pPr>
        <w:jc w:val="both"/>
        <w:ind w:right="40" w:firstLine="2601"/>
        <w:spacing w:after="0" w:line="286" w:lineRule="auto"/>
        <w:tabs>
          <w:tab w:leader="none" w:pos="323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65" w:lineRule="exact"/>
        <w:rPr>
          <w:rFonts w:ascii="Arial" w:cs="Arial" w:eastAsia="Arial" w:hAnsi="Arial"/>
          <w:sz w:val="17"/>
          <w:szCs w:val="17"/>
          <w:color w:val="auto"/>
        </w:rPr>
      </w:pPr>
    </w:p>
    <w:p>
      <w:pPr>
        <w:ind w:left="3260" w:hanging="659"/>
        <w:spacing w:after="0"/>
        <w:tabs>
          <w:tab w:leader="none" w:pos="32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or any Deemed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Liquidation Event; or</w:t>
      </w:r>
    </w:p>
    <w:p>
      <w:pPr>
        <w:spacing w:after="0" w:line="210" w:lineRule="exact"/>
        <w:rPr>
          <w:rFonts w:ascii="Arial" w:cs="Arial" w:eastAsia="Arial" w:hAnsi="Arial"/>
          <w:sz w:val="17"/>
          <w:szCs w:val="17"/>
          <w:color w:val="auto"/>
        </w:rPr>
      </w:pPr>
    </w:p>
    <w:p>
      <w:pPr>
        <w:ind w:left="3260" w:hanging="659"/>
        <w:spacing w:after="0"/>
        <w:tabs>
          <w:tab w:leader="none" w:pos="32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winding-up or Deemed Liquidation Event is proposed to take place, and the time, if any is to be fixed, as of which the holders of record of Common Stock (or such other capital stock or securities at the time issuable upon the conversion of each series of Preferred Stock) shall be entitled to exchange their shares of Common Stock (or such other capital stock or securities) for securities or other property deliverable upon such reorganization, reclassification, consolidation, merger, transfer, dissolution, liquidation, winding-up or Deemed Liquidation Event,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5" w:name="page326"/>
    <w:bookmarkEnd w:id="325"/>
    <w:p>
      <w:pPr>
        <w:ind w:left="1300" w:hanging="64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date and time, or the occurrence of an event, specified by vote or written consent of the holders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representing the Required Vote or (b) the closing of the sale of shares of Common Stock to the public in a firm-commitment underwritten public offering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pursuant to an effective registration statement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provided that such offering results in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$45 million of gross proceeds to the Corporation and, following such offering, the Common Stock is listed on the New York Stock Exchange or Nasdaq</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time of such closing or the date and time specified or the time of the event specified in such vote or written consent is referred to herein as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Mandatory Conversion Time</w:t>
      </w:r>
      <w:r>
        <w:rPr>
          <w:rFonts w:ascii="Arial" w:cs="Arial" w:eastAsia="Arial" w:hAnsi="Arial"/>
          <w:sz w:val="17"/>
          <w:szCs w:val="17"/>
          <w:color w:val="auto"/>
        </w:rPr>
        <w:t>”), (i) all outstanding shares of Preferred Stock shall automatically be converted into shares of Common Stock, 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conversion rate in effect immediately prior to the Mandatory Conversion Time and (ii) such shares may not be reissued by the Corporation. Notwithstanding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if the holders representing the Required Vote approve such mandatory conversion pursuant to clause (a) of this Section 5.1 in connection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proposed Deemed Liquidation Event in which the holders of Series B Preferred Stock would receive less than the full Series B Liquidation Amount, then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mandatory conversion pursuant this Section 5.1 shall also require the consent of the holders representing the Series B Required Vote.</w:t>
      </w:r>
    </w:p>
    <w:p>
      <w:pPr>
        <w:spacing w:after="0" w:line="211"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and shall thereafter receive certificates for the number of shares of Common Stock to which such holder is entitled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At the Mandatory Conversion Time, all outstanding shares of Preferred Stock shall be deemed to have been converted into shares of Common Stock, which shall be deemed to be outstanding of record, and all rights with respect to the Preferred Stock so converted, including the rights, if any, to receive notices and vote (other than as a holder of Common Stock), will terminate, except only the rights of the holders thereof, upon surrender of their certificate or certificates (or lost certificate affidavit and agreement) therefor, to receive the items provided for in the last sentence of this </w:t>
      </w:r>
      <w:r>
        <w:rPr>
          <w:rFonts w:ascii="Arial" w:cs="Arial" w:eastAsia="Arial" w:hAnsi="Arial"/>
          <w:sz w:val="16"/>
          <w:szCs w:val="16"/>
          <w:u w:val="single" w:color="auto"/>
          <w:color w:val="auto"/>
        </w:rPr>
        <w:t>Subsection 5.2</w:t>
      </w:r>
      <w:r>
        <w:rPr>
          <w:rFonts w:ascii="Arial" w:cs="Arial" w:eastAsia="Arial" w:hAnsi="Arial"/>
          <w:sz w:val="16"/>
          <w:szCs w:val="16"/>
          <w:color w:val="auto"/>
        </w:rPr>
        <w:t xml:space="preserv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w:t>
      </w:r>
    </w:p>
    <w:p>
      <w:pPr>
        <w:spacing w:after="0" w:line="17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Effect of Mandatory Conversion</w:t>
      </w:r>
      <w:r>
        <w:rPr>
          <w:rFonts w:ascii="Arial" w:cs="Arial" w:eastAsia="Arial" w:hAnsi="Arial"/>
          <w:sz w:val="18"/>
          <w:szCs w:val="18"/>
          <w:color w:val="auto"/>
        </w:rPr>
        <w:t>. All shares of Preferred Stock shall, from and after the Mandatory Conversion Time, no longer be deemed to be outstanding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notwithstanding the failure of the holder or holders thereof to surrender the certificates for such shares on or prior to such time, all rights with respect to such shares shall immediately cease and terminate at the Mandatory Conversion Time, except only the right of the holders thereof to receive shares of Common Stock in exchange therefor and to receive payment of any dividends accrued and declared but unpaid thereon.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3" w:lineRule="exact"/>
        <w:rPr>
          <w:sz w:val="20"/>
          <w:szCs w:val="20"/>
          <w:color w:val="auto"/>
        </w:rPr>
      </w:pPr>
    </w:p>
    <w:p>
      <w:pPr>
        <w:ind w:right="60" w:firstLine="656"/>
        <w:spacing w:after="0" w:line="286" w:lineRule="auto"/>
        <w:tabs>
          <w:tab w:leader="none" w:pos="1296"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Redeemed or Otherwise Acquired Shares</w:t>
      </w:r>
      <w:r>
        <w:rPr>
          <w:rFonts w:ascii="Arial" w:cs="Arial" w:eastAsia="Arial" w:hAnsi="Arial"/>
          <w:sz w:val="17"/>
          <w:szCs w:val="17"/>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65" w:lineRule="exact"/>
        <w:rPr>
          <w:rFonts w:ascii="Arial" w:cs="Arial" w:eastAsia="Arial" w:hAnsi="Arial"/>
          <w:sz w:val="17"/>
          <w:szCs w:val="17"/>
          <w:color w:val="auto"/>
        </w:rPr>
      </w:pPr>
    </w:p>
    <w:p>
      <w:pPr>
        <w:ind w:right="40" w:firstLine="656"/>
        <w:spacing w:after="0" w:line="255" w:lineRule="auto"/>
        <w:tabs>
          <w:tab w:leader="none" w:pos="1296"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of the Series A Preferred Stock set forth herein may be waived on behalf of all holders of Series A Preferred Stock by the affirmative written consent or vote of the holders representing the Series A Required Vote. Any of the rights, powers, preferences and other terms of the Series B Preferred Stock set forth herein may be waived on behalf of all holders of Series B Preferred Stock by the affirmative written consent or vote of the holders representing the Series B Required Vote. Any of the rights, powers, preferences and other terms for the benefit of all the Preferred Stock set forth herein may be waived on behalf of all holders of Preferred Stock by the affirmative written consent or vote of the holders representing the Required Vote.</w:t>
      </w:r>
    </w:p>
    <w:p>
      <w:pPr>
        <w:spacing w:after="0" w:line="193" w:lineRule="exact"/>
        <w:rPr>
          <w:rFonts w:ascii="Arial" w:cs="Arial" w:eastAsia="Arial" w:hAnsi="Arial"/>
          <w:sz w:val="18"/>
          <w:szCs w:val="18"/>
          <w:color w:val="auto"/>
        </w:rPr>
      </w:pPr>
    </w:p>
    <w:p>
      <w:pPr>
        <w:jc w:val="both"/>
        <w:ind w:right="100" w:firstLine="656"/>
        <w:spacing w:after="0" w:line="286" w:lineRule="auto"/>
        <w:tabs>
          <w:tab w:leader="none" w:pos="1296"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62" w:lineRule="exact"/>
        <w:rPr>
          <w:sz w:val="20"/>
          <w:szCs w:val="20"/>
          <w:color w:val="auto"/>
        </w:rPr>
      </w:pPr>
    </w:p>
    <w:p>
      <w:pPr>
        <w:ind w:right="400" w:firstLine="1297"/>
        <w:spacing w:after="0" w:line="347" w:lineRule="auto"/>
        <w:rPr>
          <w:sz w:val="20"/>
          <w:szCs w:val="20"/>
          <w:color w:val="auto"/>
        </w:rPr>
      </w:pPr>
      <w:r>
        <w:rPr>
          <w:rFonts w:ascii="Arial" w:cs="Arial" w:eastAsia="Arial" w:hAnsi="Arial"/>
          <w:sz w:val="16"/>
          <w:szCs w:val="16"/>
          <w:b w:val="1"/>
          <w:bCs w:val="1"/>
          <w:color w:val="auto"/>
        </w:rPr>
        <w:t>FIFTH</w:t>
      </w:r>
      <w:r>
        <w:rPr>
          <w:rFonts w:ascii="Arial" w:cs="Arial" w:eastAsia="Arial" w:hAnsi="Arial"/>
          <w:sz w:val="16"/>
          <w:szCs w:val="16"/>
          <w:color w:val="auto"/>
        </w:rPr>
        <w:t>: Subject to any additional vote required by the Certificate of Incorporation,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 of the Corporation.</w:t>
      </w:r>
    </w:p>
    <w:p>
      <w:pPr>
        <w:spacing w:after="0" w:line="116"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Subject to any additional vote required by the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 Elections of directors need not be by written ballot unless the Bylaws of the Corporation shall so provide.</w:t>
      </w:r>
    </w:p>
    <w:p>
      <w:pPr>
        <w:spacing w:after="0" w:line="225"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Meetings of stockholders may be held within or without the State of Delaware, as the Bylaws of the Corporation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59" w:gutter="0" w:footer="0" w:header="0"/>
        </w:sectPr>
      </w:pPr>
    </w:p>
    <w:bookmarkStart w:id="326" w:name="page327"/>
    <w:bookmarkEnd w:id="326"/>
    <w:p>
      <w:pPr>
        <w:ind w:firstLine="1297"/>
        <w:spacing w:after="0" w:line="303" w:lineRule="auto"/>
        <w:rPr>
          <w:sz w:val="20"/>
          <w:szCs w:val="20"/>
          <w:color w:val="auto"/>
        </w:rPr>
      </w:pPr>
      <w:r>
        <w:rPr>
          <w:rFonts w:ascii="Arial" w:cs="Arial" w:eastAsia="Arial" w:hAnsi="Arial"/>
          <w:sz w:val="16"/>
          <w:szCs w:val="16"/>
          <w:b w:val="1"/>
          <w:bCs w:val="1"/>
          <w:color w:val="auto"/>
        </w:rPr>
        <w:t>NINTH</w:t>
      </w:r>
      <w:r>
        <w:rPr>
          <w:rFonts w:ascii="Arial" w:cs="Arial" w:eastAsia="Arial" w:hAnsi="Arial"/>
          <w:sz w:val="16"/>
          <w:szCs w:val="16"/>
          <w:color w:val="auto"/>
        </w:rPr>
        <w:t>: To the fullest extent permitted by law, a director of the Corporation shall not be personally liable to the Corporation or its</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5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7" w:lineRule="exact"/>
        <w:rPr>
          <w:sz w:val="20"/>
          <w:szCs w:val="20"/>
          <w:color w:val="auto"/>
        </w:rPr>
      </w:pPr>
    </w:p>
    <w:p>
      <w:pPr>
        <w:ind w:right="20" w:firstLine="1297"/>
        <w:spacing w:after="0" w:line="281" w:lineRule="auto"/>
        <w:rPr>
          <w:sz w:val="20"/>
          <w:szCs w:val="20"/>
          <w:color w:val="auto"/>
        </w:rPr>
      </w:pPr>
      <w:r>
        <w:rPr>
          <w:rFonts w:ascii="Arial" w:cs="Arial" w:eastAsia="Arial" w:hAnsi="Arial"/>
          <w:sz w:val="17"/>
          <w:szCs w:val="17"/>
          <w:b w:val="1"/>
          <w:bCs w:val="1"/>
          <w:color w:val="auto"/>
        </w:rPr>
        <w:t>TENTH</w:t>
      </w:r>
      <w:r>
        <w:rPr>
          <w:rFonts w:ascii="Arial" w:cs="Arial" w:eastAsia="Arial" w:hAnsi="Arial"/>
          <w:sz w:val="17"/>
          <w:szCs w:val="17"/>
          <w:color w:val="auto"/>
        </w:rPr>
        <w:t>: To the fullest extent permitted by applicable law, the Corporation is authorized to provide indemnification of (and advancement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69"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66"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b w:val="1"/>
          <w:bCs w:val="1"/>
          <w:color w:val="auto"/>
        </w:rPr>
        <w:t>ELEVENTH</w:t>
      </w:r>
      <w:r>
        <w:rPr>
          <w:rFonts w:ascii="Arial" w:cs="Arial" w:eastAsia="Arial" w:hAnsi="Arial"/>
          <w:sz w:val="17"/>
          <w:szCs w:val="17"/>
          <w:color w:val="auto"/>
        </w:rPr>
        <w:t>: The Corporation renounces, to the fullest extent permitted by law, any interest or expectancy of the Corporation in, or in</w:t>
      </w:r>
      <w:r>
        <w:rPr>
          <w:rFonts w:ascii="Arial" w:cs="Arial" w:eastAsia="Arial" w:hAnsi="Arial"/>
          <w:sz w:val="17"/>
          <w:szCs w:val="17"/>
          <w:b w:val="1"/>
          <w:bCs w:val="1"/>
          <w:color w:val="auto"/>
        </w:rPr>
        <w:t xml:space="preserve"> </w:t>
      </w:r>
      <w:r>
        <w:rPr>
          <w:rFonts w:ascii="Arial" w:cs="Arial" w:eastAsia="Arial" w:hAnsi="Arial"/>
          <w:sz w:val="17"/>
          <w:szCs w:val="17"/>
          <w:color w:val="auto"/>
        </w:rPr>
        <w:t>being offered an opportunity to participate in, any Excluded Opportunity (as defined below).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72" w:lineRule="exact"/>
        <w:rPr>
          <w:sz w:val="20"/>
          <w:szCs w:val="20"/>
          <w:color w:val="auto"/>
        </w:rPr>
      </w:pPr>
    </w:p>
    <w:p>
      <w:pPr>
        <w:ind w:right="80" w:firstLine="1297"/>
        <w:spacing w:after="0" w:line="274" w:lineRule="auto"/>
        <w:rPr>
          <w:sz w:val="20"/>
          <w:szCs w:val="20"/>
          <w:color w:val="auto"/>
        </w:rPr>
      </w:pPr>
      <w:r>
        <w:rPr>
          <w:rFonts w:ascii="Arial" w:cs="Arial" w:eastAsia="Arial" w:hAnsi="Arial"/>
          <w:sz w:val="17"/>
          <w:szCs w:val="17"/>
          <w:b w:val="1"/>
          <w:bCs w:val="1"/>
          <w:color w:val="auto"/>
        </w:rPr>
        <w:t>TWELFTH</w:t>
      </w:r>
      <w:r>
        <w:rPr>
          <w:rFonts w:ascii="Arial" w:cs="Arial" w:eastAsia="Arial" w:hAnsi="Arial"/>
          <w:sz w:val="17"/>
          <w:szCs w:val="17"/>
          <w:color w:val="auto"/>
        </w:rPr>
        <w:t>: Unless the Corporation consents in writing to the selection of an alternative forum, the Court of Chancery in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7" w:name="page328"/>
    <w:bookmarkEnd w:id="327"/>
    <w:p>
      <w:pPr>
        <w:ind w:right="100"/>
        <w:spacing w:after="0" w:line="253" w:lineRule="auto"/>
        <w:rPr>
          <w:sz w:val="20"/>
          <w:szCs w:val="20"/>
          <w:color w:val="auto"/>
        </w:rPr>
      </w:pPr>
      <w:r>
        <w:rPr>
          <w:rFonts w:ascii="Arial" w:cs="Arial" w:eastAsia="Arial" w:hAnsi="Arial"/>
          <w:sz w:val="18"/>
          <w:szCs w:val="18"/>
          <w:color w:val="auto"/>
        </w:rPr>
        <w:t>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97" w:lineRule="exact"/>
        <w:rPr>
          <w:sz w:val="20"/>
          <w:szCs w:val="20"/>
          <w:color w:val="auto"/>
        </w:rPr>
      </w:pPr>
    </w:p>
    <w:p>
      <w:pPr>
        <w:jc w:val="center"/>
        <w:ind w:right="-5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360" w:firstLine="1305"/>
        <w:spacing w:after="0" w:line="277" w:lineRule="auto"/>
        <w:tabs>
          <w:tab w:leader="none" w:pos="1536"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66"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That this Amended and Restated Certificate of Incorporation, which restates and integrates and further amends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Amended and Restated Certificate of Incorporation, has been duly adopted in accordance with Sections 242 and 245 of the General Corporation Law.</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8" w:name="page329"/>
    <w:bookmarkEnd w:id="328"/>
    <w:p>
      <w:pPr>
        <w:ind w:right="720" w:firstLine="648"/>
        <w:spacing w:after="0" w:line="29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August, 2018.</w:t>
      </w:r>
    </w:p>
    <w:p>
      <w:pPr>
        <w:spacing w:after="0" w:line="73"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Gould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Robert Gould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Fulcrum Therapeutics, Inc. (the “</w:t>
      </w:r>
      <w:r>
        <w:rPr>
          <w:rFonts w:ascii="Arial" w:cs="Arial" w:eastAsia="Arial" w:hAnsi="Arial"/>
          <w:sz w:val="16"/>
          <w:szCs w:val="16"/>
          <w:b w:val="1"/>
          <w:bCs w:val="1"/>
          <w:color w:val="auto"/>
        </w:rPr>
        <w:t>Corporation</w:t>
      </w:r>
      <w:r>
        <w:rPr>
          <w:rFonts w:ascii="Arial" w:cs="Arial" w:eastAsia="Arial" w:hAnsi="Arial"/>
          <w:sz w:val="16"/>
          <w:szCs w:val="16"/>
          <w:color w:val="auto"/>
        </w:rPr>
        <w:t>”), a corporation organized and existing under and by virtue of the General Corporation Law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does hereby certify as follows: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Resolutions were duly adopted by the Board of Directors of the Corporation pursuant to Sections 141(f) and 242 of the DGCL setting forth an amendment to the Amended and Restated Certificate of Incorporation of the Corporation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and declaring such amendment to be advisable. The stockholders of the Corporation duly approved said proposed amendment by written consent in accordance with Sections 228 and 242 of the DGCL. The resolutions setting forth the amendments are as follows:</w:t>
      </w:r>
    </w:p>
    <w:p>
      <w:pPr>
        <w:spacing w:after="0" w:line="187" w:lineRule="exact"/>
        <w:rPr>
          <w:sz w:val="20"/>
          <w:szCs w:val="20"/>
          <w:color w:val="auto"/>
        </w:rPr>
      </w:pPr>
    </w:p>
    <w:p>
      <w:pPr>
        <w:ind w:left="1960" w:right="480" w:hanging="1944"/>
        <w:spacing w:after="0" w:line="277" w:lineRule="auto"/>
        <w:tabs>
          <w:tab w:leader="none" w:pos="1940" w:val="left"/>
        </w:tabs>
        <w:rPr>
          <w:sz w:val="20"/>
          <w:szCs w:val="20"/>
          <w:color w:val="auto"/>
        </w:rPr>
      </w:pPr>
      <w:r>
        <w:rPr>
          <w:rFonts w:ascii="Arial" w:cs="Arial" w:eastAsia="Arial" w:hAnsi="Arial"/>
          <w:sz w:val="18"/>
          <w:szCs w:val="18"/>
          <w:u w:val="single" w:color="auto"/>
          <w:color w:val="auto"/>
        </w:rPr>
        <w:t>RESOLVED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That Certificate of Incorporation is hereby amended by deleting the first paragraph of Article FOURTH in its entirety and by substituting the following in lieu thereof:</w:t>
      </w:r>
    </w:p>
    <w:p>
      <w:pPr>
        <w:spacing w:after="0" w:line="166" w:lineRule="exact"/>
        <w:rPr>
          <w:sz w:val="20"/>
          <w:szCs w:val="20"/>
          <w:color w:val="auto"/>
        </w:rPr>
      </w:pPr>
    </w:p>
    <w:p>
      <w:pPr>
        <w:jc w:val="both"/>
        <w:ind w:left="1960" w:right="40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w:t>
      </w:r>
      <w:r>
        <w:rPr>
          <w:rFonts w:ascii="Arial" w:cs="Arial" w:eastAsia="Arial" w:hAnsi="Arial"/>
          <w:sz w:val="18"/>
          <w:szCs w:val="18"/>
          <w:color w:val="auto"/>
        </w:rPr>
        <w:t xml:space="preserve">: </w:t>
      </w:r>
      <w:r>
        <w:rPr>
          <w:rFonts w:ascii="Arial" w:cs="Arial" w:eastAsia="Arial" w:hAnsi="Arial"/>
          <w:sz w:val="17"/>
          <w:szCs w:val="17"/>
          <w:color w:val="auto"/>
        </w:rPr>
        <w:t>The total number of shares of all classes of stock which the Corporation shall have authority to issue is 147,500,000</w:t>
      </w:r>
      <w:r>
        <w:rPr>
          <w:rFonts w:ascii="Arial" w:cs="Arial" w:eastAsia="Arial" w:hAnsi="Arial"/>
          <w:sz w:val="18"/>
          <w:szCs w:val="18"/>
          <w:color w:val="auto"/>
        </w:rPr>
        <w:t xml:space="preserve"> </w:t>
      </w:r>
      <w:r>
        <w:rPr>
          <w:rFonts w:ascii="Arial" w:cs="Arial" w:eastAsia="Arial" w:hAnsi="Arial"/>
          <w:sz w:val="17"/>
          <w:szCs w:val="17"/>
          <w:color w:val="auto"/>
        </w:rPr>
        <w:t>shares of Common Stock, $0.001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and 112,500,000 shares of Preferred Stock, $0.001 par value per share (“</w:t>
      </w:r>
      <w:r>
        <w:rPr>
          <w:rFonts w:ascii="Arial" w:cs="Arial" w:eastAsia="Arial" w:hAnsi="Arial"/>
          <w:sz w:val="17"/>
          <w:szCs w:val="17"/>
          <w:b w:val="1"/>
          <w:bCs w:val="1"/>
          <w:color w:val="auto"/>
        </w:rPr>
        <w:t>Preferred Stock</w:t>
      </w:r>
      <w:r>
        <w:rPr>
          <w:rFonts w:ascii="Arial" w:cs="Arial" w:eastAsia="Arial" w:hAnsi="Arial"/>
          <w:sz w:val="17"/>
          <w:szCs w:val="17"/>
          <w:color w:val="auto"/>
        </w:rPr>
        <w:t>”).”</w:t>
      </w:r>
    </w:p>
    <w:p>
      <w:pPr>
        <w:spacing w:after="0" w:line="178" w:lineRule="exact"/>
        <w:rPr>
          <w:sz w:val="20"/>
          <w:szCs w:val="20"/>
          <w:color w:val="auto"/>
        </w:rPr>
      </w:pPr>
    </w:p>
    <w:p>
      <w:pPr>
        <w:ind w:left="1960" w:right="200" w:hanging="1944"/>
        <w:spacing w:after="0" w:line="277" w:lineRule="auto"/>
        <w:tabs>
          <w:tab w:leader="none" w:pos="1940" w:val="left"/>
        </w:tabs>
        <w:rPr>
          <w:sz w:val="20"/>
          <w:szCs w:val="20"/>
          <w:color w:val="auto"/>
        </w:rPr>
      </w:pPr>
      <w:r>
        <w:rPr>
          <w:rFonts w:ascii="Arial" w:cs="Arial" w:eastAsia="Arial" w:hAnsi="Arial"/>
          <w:sz w:val="18"/>
          <w:szCs w:val="18"/>
          <w:u w:val="single" w:color="auto"/>
          <w:color w:val="auto"/>
        </w:rPr>
        <w:t>RESOLVED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Certificate of Incorporation is hereby further amended by deleting the second paragraph of Part B of Article FOURTH in its entirety and by substituting the following in lieu thereof:</w:t>
      </w:r>
    </w:p>
    <w:p>
      <w:pPr>
        <w:spacing w:after="0" w:line="166" w:lineRule="exact"/>
        <w:rPr>
          <w:sz w:val="20"/>
          <w:szCs w:val="20"/>
          <w:color w:val="auto"/>
        </w:rPr>
      </w:pPr>
    </w:p>
    <w:p>
      <w:pPr>
        <w:ind w:left="1960" w:right="40"/>
        <w:spacing w:after="0" w:line="258" w:lineRule="auto"/>
        <w:rPr>
          <w:sz w:val="20"/>
          <w:szCs w:val="20"/>
          <w:color w:val="auto"/>
        </w:rPr>
      </w:pPr>
      <w:r>
        <w:rPr>
          <w:rFonts w:ascii="Arial" w:cs="Arial" w:eastAsia="Arial" w:hAnsi="Arial"/>
          <w:sz w:val="18"/>
          <w:szCs w:val="18"/>
          <w:color w:val="auto"/>
        </w:rPr>
        <w:t>“60,000,000 shares of the authorized Preferred Stock of the Corporation are hereby designated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and 52,500,000 shares of the authorized Preferred Stock of the Corporation are hereby designation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each such series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0" w:name="page331"/>
    <w:bookmarkEnd w:id="330"/>
    <w:p>
      <w:pPr>
        <w:ind w:firstLine="648"/>
        <w:spacing w:after="0" w:line="29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Fulcrum Therapeutics, Inc. has caused this Certificate of Amendment to the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of the Corporation to be signed and attested by its duly authorized officer, this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2019.</w:t>
      </w:r>
    </w:p>
    <w:p>
      <w:pPr>
        <w:spacing w:after="0" w:line="7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Gould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Gould,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337" w:right="69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926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10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ARTICLE I STOCKHOLDERS</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280" w:type="dxa"/>
            <w:vAlign w:val="bottom"/>
            <w:gridSpan w:val="2"/>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1.1</w:t>
            </w:r>
          </w:p>
        </w:tc>
        <w:tc>
          <w:tcPr>
            <w:tcW w:w="9260" w:type="dxa"/>
            <w:vAlign w:val="bottom"/>
          </w:tcPr>
          <w:p>
            <w:pPr>
              <w:ind w:left="240"/>
              <w:spacing w:after="0"/>
              <w:rPr>
                <w:sz w:val="20"/>
                <w:szCs w:val="20"/>
                <w:color w:val="auto"/>
              </w:rPr>
            </w:pPr>
            <w:r>
              <w:rPr>
                <w:rFonts w:ascii="Arial" w:cs="Arial" w:eastAsia="Arial" w:hAnsi="Arial"/>
                <w:sz w:val="18"/>
                <w:szCs w:val="18"/>
                <w:color w:val="auto"/>
              </w:rPr>
              <w:t>Place of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1.2</w:t>
            </w:r>
          </w:p>
        </w:tc>
        <w:tc>
          <w:tcPr>
            <w:tcW w:w="9260" w:type="dxa"/>
            <w:vAlign w:val="bottom"/>
          </w:tcPr>
          <w:p>
            <w:pPr>
              <w:ind w:left="240"/>
              <w:spacing w:after="0"/>
              <w:rPr>
                <w:sz w:val="20"/>
                <w:szCs w:val="20"/>
                <w:color w:val="auto"/>
              </w:rPr>
            </w:pPr>
            <w:r>
              <w:rPr>
                <w:rFonts w:ascii="Arial" w:cs="Arial" w:eastAsia="Arial" w:hAnsi="Arial"/>
                <w:sz w:val="18"/>
                <w:szCs w:val="18"/>
                <w:color w:val="auto"/>
              </w:rPr>
              <w:t>Annual Meeting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1.3</w:t>
            </w:r>
          </w:p>
        </w:tc>
        <w:tc>
          <w:tcPr>
            <w:tcW w:w="926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1.4</w:t>
            </w:r>
          </w:p>
        </w:tc>
        <w:tc>
          <w:tcPr>
            <w:tcW w:w="9260" w:type="dxa"/>
            <w:vAlign w:val="bottom"/>
          </w:tcPr>
          <w:p>
            <w:pPr>
              <w:ind w:left="240"/>
              <w:spacing w:after="0"/>
              <w:rPr>
                <w:sz w:val="20"/>
                <w:szCs w:val="20"/>
                <w:color w:val="auto"/>
              </w:rPr>
            </w:pPr>
            <w:r>
              <w:rPr>
                <w:rFonts w:ascii="Arial" w:cs="Arial" w:eastAsia="Arial" w:hAnsi="Arial"/>
                <w:sz w:val="18"/>
                <w:szCs w:val="18"/>
                <w:color w:val="auto"/>
              </w:rPr>
              <w:t>Notice of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1.5</w:t>
            </w:r>
          </w:p>
        </w:tc>
        <w:tc>
          <w:tcPr>
            <w:tcW w:w="9260" w:type="dxa"/>
            <w:vAlign w:val="bottom"/>
          </w:tcPr>
          <w:p>
            <w:pPr>
              <w:ind w:left="240"/>
              <w:spacing w:after="0"/>
              <w:rPr>
                <w:sz w:val="20"/>
                <w:szCs w:val="20"/>
                <w:color w:val="auto"/>
              </w:rPr>
            </w:pPr>
            <w:r>
              <w:rPr>
                <w:rFonts w:ascii="Arial" w:cs="Arial" w:eastAsia="Arial" w:hAnsi="Arial"/>
                <w:sz w:val="18"/>
                <w:szCs w:val="18"/>
                <w:color w:val="auto"/>
              </w:rPr>
              <w:t>Voting List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1.6</w:t>
            </w:r>
          </w:p>
        </w:tc>
        <w:tc>
          <w:tcPr>
            <w:tcW w:w="9260" w:type="dxa"/>
            <w:vAlign w:val="bottom"/>
          </w:tcPr>
          <w:p>
            <w:pPr>
              <w:ind w:left="240"/>
              <w:spacing w:after="0"/>
              <w:rPr>
                <w:sz w:val="20"/>
                <w:szCs w:val="20"/>
                <w:color w:val="auto"/>
              </w:rPr>
            </w:pPr>
            <w:r>
              <w:rPr>
                <w:rFonts w:ascii="Arial" w:cs="Arial" w:eastAsia="Arial" w:hAnsi="Arial"/>
                <w:sz w:val="18"/>
                <w:szCs w:val="18"/>
                <w:color w:val="auto"/>
              </w:rPr>
              <w:t>Quorum</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1.7</w:t>
            </w:r>
          </w:p>
        </w:tc>
        <w:tc>
          <w:tcPr>
            <w:tcW w:w="9260" w:type="dxa"/>
            <w:vAlign w:val="bottom"/>
          </w:tcPr>
          <w:p>
            <w:pPr>
              <w:ind w:left="240"/>
              <w:spacing w:after="0"/>
              <w:rPr>
                <w:sz w:val="20"/>
                <w:szCs w:val="20"/>
                <w:color w:val="auto"/>
              </w:rPr>
            </w:pPr>
            <w:r>
              <w:rPr>
                <w:rFonts w:ascii="Arial" w:cs="Arial" w:eastAsia="Arial" w:hAnsi="Arial"/>
                <w:sz w:val="18"/>
                <w:szCs w:val="18"/>
                <w:color w:val="auto"/>
              </w:rPr>
              <w:t>Adjournments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1.8</w:t>
            </w:r>
          </w:p>
        </w:tc>
        <w:tc>
          <w:tcPr>
            <w:tcW w:w="9260" w:type="dxa"/>
            <w:vAlign w:val="bottom"/>
          </w:tcPr>
          <w:p>
            <w:pPr>
              <w:ind w:left="240"/>
              <w:spacing w:after="0"/>
              <w:rPr>
                <w:sz w:val="20"/>
                <w:szCs w:val="20"/>
                <w:color w:val="auto"/>
              </w:rPr>
            </w:pPr>
            <w:r>
              <w:rPr>
                <w:rFonts w:ascii="Arial" w:cs="Arial" w:eastAsia="Arial" w:hAnsi="Arial"/>
                <w:sz w:val="18"/>
                <w:szCs w:val="18"/>
                <w:color w:val="auto"/>
              </w:rPr>
              <w:t>Voting and Proxies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1.9</w:t>
            </w:r>
          </w:p>
        </w:tc>
        <w:tc>
          <w:tcPr>
            <w:tcW w:w="9260" w:type="dxa"/>
            <w:vAlign w:val="bottom"/>
          </w:tcPr>
          <w:p>
            <w:pPr>
              <w:ind w:left="240"/>
              <w:spacing w:after="0"/>
              <w:rPr>
                <w:sz w:val="20"/>
                <w:szCs w:val="20"/>
                <w:color w:val="auto"/>
              </w:rPr>
            </w:pPr>
            <w:r>
              <w:rPr>
                <w:rFonts w:ascii="Arial" w:cs="Arial" w:eastAsia="Arial" w:hAnsi="Arial"/>
                <w:sz w:val="18"/>
                <w:szCs w:val="18"/>
                <w:color w:val="auto"/>
              </w:rPr>
              <w:t>Action at Meeting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1.10</w:t>
            </w:r>
          </w:p>
        </w:tc>
        <w:tc>
          <w:tcPr>
            <w:tcW w:w="9260" w:type="dxa"/>
            <w:vAlign w:val="bottom"/>
          </w:tcPr>
          <w:p>
            <w:pPr>
              <w:ind w:left="240"/>
              <w:spacing w:after="0"/>
              <w:rPr>
                <w:sz w:val="20"/>
                <w:szCs w:val="20"/>
                <w:color w:val="auto"/>
              </w:rPr>
            </w:pPr>
            <w:r>
              <w:rPr>
                <w:rFonts w:ascii="Arial" w:cs="Arial" w:eastAsia="Arial" w:hAnsi="Arial"/>
                <w:sz w:val="18"/>
                <w:szCs w:val="18"/>
                <w:color w:val="auto"/>
              </w:rPr>
              <w:t>Conduct of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1.11</w:t>
            </w:r>
          </w:p>
        </w:tc>
        <w:tc>
          <w:tcPr>
            <w:tcW w:w="9260" w:type="dxa"/>
            <w:vAlign w:val="bottom"/>
          </w:tcPr>
          <w:p>
            <w:pPr>
              <w:ind w:left="240"/>
              <w:spacing w:after="0"/>
              <w:rPr>
                <w:sz w:val="20"/>
                <w:szCs w:val="20"/>
                <w:color w:val="auto"/>
              </w:rPr>
            </w:pPr>
            <w:r>
              <w:rPr>
                <w:rFonts w:ascii="Arial" w:cs="Arial" w:eastAsia="Arial" w:hAnsi="Arial"/>
                <w:sz w:val="18"/>
                <w:szCs w:val="18"/>
                <w:color w:val="auto"/>
              </w:rPr>
              <w:t>Action without Meeting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II DIRECTORS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418"/>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2.1</w:t>
            </w:r>
          </w:p>
        </w:tc>
        <w:tc>
          <w:tcPr>
            <w:tcW w:w="9260" w:type="dxa"/>
            <w:vAlign w:val="bottom"/>
          </w:tcPr>
          <w:p>
            <w:pPr>
              <w:ind w:left="240"/>
              <w:spacing w:after="0"/>
              <w:rPr>
                <w:sz w:val="20"/>
                <w:szCs w:val="20"/>
                <w:color w:val="auto"/>
              </w:rPr>
            </w:pPr>
            <w:r>
              <w:rPr>
                <w:rFonts w:ascii="Arial" w:cs="Arial" w:eastAsia="Arial" w:hAnsi="Arial"/>
                <w:sz w:val="18"/>
                <w:szCs w:val="18"/>
                <w:color w:val="auto"/>
              </w:rPr>
              <w:t>General Powers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2.2</w:t>
            </w:r>
          </w:p>
        </w:tc>
        <w:tc>
          <w:tcPr>
            <w:tcW w:w="9260" w:type="dxa"/>
            <w:vAlign w:val="bottom"/>
          </w:tcPr>
          <w:p>
            <w:pPr>
              <w:ind w:left="240"/>
              <w:spacing w:after="0"/>
              <w:rPr>
                <w:sz w:val="20"/>
                <w:szCs w:val="20"/>
                <w:color w:val="auto"/>
              </w:rPr>
            </w:pPr>
            <w:r>
              <w:rPr>
                <w:rFonts w:ascii="Arial" w:cs="Arial" w:eastAsia="Arial" w:hAnsi="Arial"/>
                <w:sz w:val="18"/>
                <w:szCs w:val="18"/>
                <w:color w:val="auto"/>
              </w:rPr>
              <w:t>Number, Election and Qualification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2.3</w:t>
            </w:r>
          </w:p>
        </w:tc>
        <w:tc>
          <w:tcPr>
            <w:tcW w:w="9260" w:type="dxa"/>
            <w:vAlign w:val="bottom"/>
          </w:tcPr>
          <w:p>
            <w:pPr>
              <w:ind w:left="240"/>
              <w:spacing w:after="0"/>
              <w:rPr>
                <w:sz w:val="20"/>
                <w:szCs w:val="20"/>
                <w:color w:val="auto"/>
              </w:rPr>
            </w:pPr>
            <w:r>
              <w:rPr>
                <w:rFonts w:ascii="Arial" w:cs="Arial" w:eastAsia="Arial" w:hAnsi="Arial"/>
                <w:sz w:val="18"/>
                <w:szCs w:val="18"/>
                <w:color w:val="auto"/>
              </w:rPr>
              <w:t>Chairman of the Board; Vice Chairman of the Board</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2.4</w:t>
            </w:r>
          </w:p>
        </w:tc>
        <w:tc>
          <w:tcPr>
            <w:tcW w:w="9260" w:type="dxa"/>
            <w:vAlign w:val="bottom"/>
          </w:tcPr>
          <w:p>
            <w:pPr>
              <w:ind w:left="240"/>
              <w:spacing w:after="0"/>
              <w:rPr>
                <w:sz w:val="20"/>
                <w:szCs w:val="20"/>
                <w:color w:val="auto"/>
              </w:rPr>
            </w:pPr>
            <w:r>
              <w:rPr>
                <w:rFonts w:ascii="Arial" w:cs="Arial" w:eastAsia="Arial" w:hAnsi="Arial"/>
                <w:sz w:val="18"/>
                <w:szCs w:val="18"/>
                <w:color w:val="auto"/>
              </w:rPr>
              <w:t>Tenure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2.5</w:t>
            </w:r>
          </w:p>
        </w:tc>
        <w:tc>
          <w:tcPr>
            <w:tcW w:w="9260" w:type="dxa"/>
            <w:vAlign w:val="bottom"/>
          </w:tcPr>
          <w:p>
            <w:pPr>
              <w:ind w:left="240"/>
              <w:spacing w:after="0"/>
              <w:rPr>
                <w:sz w:val="20"/>
                <w:szCs w:val="20"/>
                <w:color w:val="auto"/>
              </w:rPr>
            </w:pPr>
            <w:r>
              <w:rPr>
                <w:rFonts w:ascii="Arial" w:cs="Arial" w:eastAsia="Arial" w:hAnsi="Arial"/>
                <w:sz w:val="18"/>
                <w:szCs w:val="18"/>
                <w:color w:val="auto"/>
              </w:rPr>
              <w:t>Quorum</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2.6</w:t>
            </w:r>
          </w:p>
        </w:tc>
        <w:tc>
          <w:tcPr>
            <w:tcW w:w="9260" w:type="dxa"/>
            <w:vAlign w:val="bottom"/>
          </w:tcPr>
          <w:p>
            <w:pPr>
              <w:ind w:left="240"/>
              <w:spacing w:after="0"/>
              <w:rPr>
                <w:sz w:val="20"/>
                <w:szCs w:val="20"/>
                <w:color w:val="auto"/>
              </w:rPr>
            </w:pPr>
            <w:r>
              <w:rPr>
                <w:rFonts w:ascii="Arial" w:cs="Arial" w:eastAsia="Arial" w:hAnsi="Arial"/>
                <w:sz w:val="18"/>
                <w:szCs w:val="18"/>
                <w:color w:val="auto"/>
              </w:rPr>
              <w:t>Action at Meeting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2.7</w:t>
            </w:r>
          </w:p>
        </w:tc>
        <w:tc>
          <w:tcPr>
            <w:tcW w:w="9260" w:type="dxa"/>
            <w:vAlign w:val="bottom"/>
          </w:tcPr>
          <w:p>
            <w:pPr>
              <w:ind w:left="240"/>
              <w:spacing w:after="0"/>
              <w:rPr>
                <w:sz w:val="20"/>
                <w:szCs w:val="20"/>
                <w:color w:val="auto"/>
              </w:rPr>
            </w:pPr>
            <w:r>
              <w:rPr>
                <w:rFonts w:ascii="Arial" w:cs="Arial" w:eastAsia="Arial" w:hAnsi="Arial"/>
                <w:sz w:val="18"/>
                <w:szCs w:val="18"/>
                <w:color w:val="auto"/>
              </w:rPr>
              <w:t>Removal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2.8</w:t>
            </w:r>
          </w:p>
        </w:tc>
        <w:tc>
          <w:tcPr>
            <w:tcW w:w="9260" w:type="dxa"/>
            <w:vAlign w:val="bottom"/>
          </w:tcPr>
          <w:p>
            <w:pPr>
              <w:ind w:left="240"/>
              <w:spacing w:after="0"/>
              <w:rPr>
                <w:sz w:val="20"/>
                <w:szCs w:val="20"/>
                <w:color w:val="auto"/>
              </w:rPr>
            </w:pPr>
            <w:r>
              <w:rPr>
                <w:rFonts w:ascii="Arial" w:cs="Arial" w:eastAsia="Arial" w:hAnsi="Arial"/>
                <w:sz w:val="18"/>
                <w:szCs w:val="18"/>
                <w:color w:val="auto"/>
              </w:rPr>
              <w:t>Vacancies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2.9</w:t>
            </w:r>
          </w:p>
        </w:tc>
        <w:tc>
          <w:tcPr>
            <w:tcW w:w="9260" w:type="dxa"/>
            <w:vAlign w:val="bottom"/>
          </w:tcPr>
          <w:p>
            <w:pPr>
              <w:ind w:left="240"/>
              <w:spacing w:after="0"/>
              <w:rPr>
                <w:sz w:val="20"/>
                <w:szCs w:val="20"/>
                <w:color w:val="auto"/>
              </w:rPr>
            </w:pPr>
            <w:r>
              <w:rPr>
                <w:rFonts w:ascii="Arial" w:cs="Arial" w:eastAsia="Arial" w:hAnsi="Arial"/>
                <w:sz w:val="18"/>
                <w:szCs w:val="18"/>
                <w:color w:val="auto"/>
              </w:rPr>
              <w:t>Resignation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2.10</w:t>
            </w:r>
          </w:p>
        </w:tc>
        <w:tc>
          <w:tcPr>
            <w:tcW w:w="9260" w:type="dxa"/>
            <w:vAlign w:val="bottom"/>
          </w:tcPr>
          <w:p>
            <w:pPr>
              <w:ind w:left="240"/>
              <w:spacing w:after="0"/>
              <w:rPr>
                <w:sz w:val="20"/>
                <w:szCs w:val="20"/>
                <w:color w:val="auto"/>
              </w:rPr>
            </w:pPr>
            <w:r>
              <w:rPr>
                <w:rFonts w:ascii="Arial" w:cs="Arial" w:eastAsia="Arial" w:hAnsi="Arial"/>
                <w:sz w:val="18"/>
                <w:szCs w:val="18"/>
                <w:color w:val="auto"/>
              </w:rPr>
              <w:t>Regular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2.11</w:t>
            </w:r>
          </w:p>
        </w:tc>
        <w:tc>
          <w:tcPr>
            <w:tcW w:w="926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2.12</w:t>
            </w:r>
          </w:p>
        </w:tc>
        <w:tc>
          <w:tcPr>
            <w:tcW w:w="9260" w:type="dxa"/>
            <w:vAlign w:val="bottom"/>
          </w:tcPr>
          <w:p>
            <w:pPr>
              <w:ind w:left="240"/>
              <w:spacing w:after="0"/>
              <w:rPr>
                <w:sz w:val="20"/>
                <w:szCs w:val="20"/>
                <w:color w:val="auto"/>
              </w:rPr>
            </w:pPr>
            <w:r>
              <w:rPr>
                <w:rFonts w:ascii="Arial" w:cs="Arial" w:eastAsia="Arial" w:hAnsi="Arial"/>
                <w:sz w:val="18"/>
                <w:szCs w:val="18"/>
                <w:color w:val="auto"/>
              </w:rPr>
              <w:t>Notice of Special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2.13</w:t>
            </w:r>
          </w:p>
        </w:tc>
        <w:tc>
          <w:tcPr>
            <w:tcW w:w="9260" w:type="dxa"/>
            <w:vAlign w:val="bottom"/>
          </w:tcPr>
          <w:p>
            <w:pPr>
              <w:ind w:left="240"/>
              <w:spacing w:after="0"/>
              <w:rPr>
                <w:sz w:val="20"/>
                <w:szCs w:val="20"/>
                <w:color w:val="auto"/>
              </w:rPr>
            </w:pPr>
            <w:r>
              <w:rPr>
                <w:rFonts w:ascii="Arial" w:cs="Arial" w:eastAsia="Arial" w:hAnsi="Arial"/>
                <w:sz w:val="18"/>
                <w:szCs w:val="18"/>
                <w:color w:val="auto"/>
              </w:rPr>
              <w:t>Meetings by Conference Communications Equipment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2.14</w:t>
            </w:r>
          </w:p>
        </w:tc>
        <w:tc>
          <w:tcPr>
            <w:tcW w:w="9260" w:type="dxa"/>
            <w:vAlign w:val="bottom"/>
          </w:tcPr>
          <w:p>
            <w:pPr>
              <w:ind w:left="240"/>
              <w:spacing w:after="0"/>
              <w:rPr>
                <w:sz w:val="20"/>
                <w:szCs w:val="20"/>
                <w:color w:val="auto"/>
              </w:rPr>
            </w:pPr>
            <w:r>
              <w:rPr>
                <w:rFonts w:ascii="Arial" w:cs="Arial" w:eastAsia="Arial" w:hAnsi="Arial"/>
                <w:sz w:val="18"/>
                <w:szCs w:val="18"/>
                <w:color w:val="auto"/>
              </w:rPr>
              <w:t>Action by Consent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2.15</w:t>
            </w:r>
          </w:p>
        </w:tc>
        <w:tc>
          <w:tcPr>
            <w:tcW w:w="9260" w:type="dxa"/>
            <w:vAlign w:val="bottom"/>
          </w:tcPr>
          <w:p>
            <w:pPr>
              <w:ind w:left="240"/>
              <w:spacing w:after="0"/>
              <w:rPr>
                <w:sz w:val="20"/>
                <w:szCs w:val="20"/>
                <w:color w:val="auto"/>
              </w:rPr>
            </w:pPr>
            <w:r>
              <w:rPr>
                <w:rFonts w:ascii="Arial" w:cs="Arial" w:eastAsia="Arial" w:hAnsi="Arial"/>
                <w:sz w:val="18"/>
                <w:szCs w:val="18"/>
                <w:color w:val="auto"/>
              </w:rPr>
              <w:t>Committees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2.16</w:t>
            </w:r>
          </w:p>
        </w:tc>
        <w:tc>
          <w:tcPr>
            <w:tcW w:w="9260" w:type="dxa"/>
            <w:vAlign w:val="bottom"/>
          </w:tcPr>
          <w:p>
            <w:pPr>
              <w:ind w:left="240"/>
              <w:spacing w:after="0"/>
              <w:rPr>
                <w:sz w:val="20"/>
                <w:szCs w:val="20"/>
                <w:color w:val="auto"/>
              </w:rPr>
            </w:pPr>
            <w:r>
              <w:rPr>
                <w:rFonts w:ascii="Arial" w:cs="Arial" w:eastAsia="Arial" w:hAnsi="Arial"/>
                <w:sz w:val="18"/>
                <w:szCs w:val="18"/>
                <w:color w:val="auto"/>
              </w:rPr>
              <w:t>Compensation of Directors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III OFFICERS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418"/>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3.1</w:t>
            </w:r>
          </w:p>
        </w:tc>
        <w:tc>
          <w:tcPr>
            <w:tcW w:w="9260" w:type="dxa"/>
            <w:vAlign w:val="bottom"/>
          </w:tcPr>
          <w:p>
            <w:pPr>
              <w:ind w:left="240"/>
              <w:spacing w:after="0"/>
              <w:rPr>
                <w:sz w:val="20"/>
                <w:szCs w:val="20"/>
                <w:color w:val="auto"/>
              </w:rPr>
            </w:pPr>
            <w:r>
              <w:rPr>
                <w:rFonts w:ascii="Arial" w:cs="Arial" w:eastAsia="Arial" w:hAnsi="Arial"/>
                <w:sz w:val="18"/>
                <w:szCs w:val="18"/>
                <w:color w:val="auto"/>
              </w:rPr>
              <w:t>Titles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3.2</w:t>
            </w:r>
          </w:p>
        </w:tc>
        <w:tc>
          <w:tcPr>
            <w:tcW w:w="9260" w:type="dxa"/>
            <w:vAlign w:val="bottom"/>
          </w:tcPr>
          <w:p>
            <w:pPr>
              <w:ind w:left="240"/>
              <w:spacing w:after="0"/>
              <w:rPr>
                <w:sz w:val="20"/>
                <w:szCs w:val="20"/>
                <w:color w:val="auto"/>
              </w:rPr>
            </w:pPr>
            <w:r>
              <w:rPr>
                <w:rFonts w:ascii="Arial" w:cs="Arial" w:eastAsia="Arial" w:hAnsi="Arial"/>
                <w:sz w:val="18"/>
                <w:szCs w:val="18"/>
                <w:color w:val="auto"/>
              </w:rPr>
              <w:t>Election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3.3</w:t>
            </w:r>
          </w:p>
        </w:tc>
        <w:tc>
          <w:tcPr>
            <w:tcW w:w="9260" w:type="dxa"/>
            <w:vAlign w:val="bottom"/>
          </w:tcPr>
          <w:p>
            <w:pPr>
              <w:ind w:left="240"/>
              <w:spacing w:after="0"/>
              <w:rPr>
                <w:sz w:val="20"/>
                <w:szCs w:val="20"/>
                <w:color w:val="auto"/>
              </w:rPr>
            </w:pPr>
            <w:r>
              <w:rPr>
                <w:rFonts w:ascii="Arial" w:cs="Arial" w:eastAsia="Arial" w:hAnsi="Arial"/>
                <w:sz w:val="18"/>
                <w:szCs w:val="18"/>
                <w:color w:val="auto"/>
              </w:rPr>
              <w:t>Qualification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3.4</w:t>
            </w:r>
          </w:p>
        </w:tc>
        <w:tc>
          <w:tcPr>
            <w:tcW w:w="9260" w:type="dxa"/>
            <w:vAlign w:val="bottom"/>
          </w:tcPr>
          <w:p>
            <w:pPr>
              <w:ind w:left="240"/>
              <w:spacing w:after="0"/>
              <w:rPr>
                <w:sz w:val="20"/>
                <w:szCs w:val="20"/>
                <w:color w:val="auto"/>
              </w:rPr>
            </w:pPr>
            <w:r>
              <w:rPr>
                <w:rFonts w:ascii="Arial" w:cs="Arial" w:eastAsia="Arial" w:hAnsi="Arial"/>
                <w:sz w:val="18"/>
                <w:szCs w:val="18"/>
                <w:color w:val="auto"/>
              </w:rPr>
              <w:t>Tenure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3.5</w:t>
            </w:r>
          </w:p>
        </w:tc>
        <w:tc>
          <w:tcPr>
            <w:tcW w:w="9260" w:type="dxa"/>
            <w:vAlign w:val="bottom"/>
          </w:tcPr>
          <w:p>
            <w:pPr>
              <w:ind w:left="240"/>
              <w:spacing w:after="0"/>
              <w:rPr>
                <w:sz w:val="20"/>
                <w:szCs w:val="20"/>
                <w:color w:val="auto"/>
              </w:rPr>
            </w:pPr>
            <w:r>
              <w:rPr>
                <w:rFonts w:ascii="Arial" w:cs="Arial" w:eastAsia="Arial" w:hAnsi="Arial"/>
                <w:sz w:val="18"/>
                <w:szCs w:val="18"/>
                <w:color w:val="auto"/>
              </w:rPr>
              <w:t>Resignation and Removal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3.6</w:t>
            </w:r>
          </w:p>
        </w:tc>
        <w:tc>
          <w:tcPr>
            <w:tcW w:w="9260" w:type="dxa"/>
            <w:vAlign w:val="bottom"/>
          </w:tcPr>
          <w:p>
            <w:pPr>
              <w:ind w:left="240"/>
              <w:spacing w:after="0"/>
              <w:rPr>
                <w:sz w:val="20"/>
                <w:szCs w:val="20"/>
                <w:color w:val="auto"/>
              </w:rPr>
            </w:pPr>
            <w:r>
              <w:rPr>
                <w:rFonts w:ascii="Arial" w:cs="Arial" w:eastAsia="Arial" w:hAnsi="Arial"/>
                <w:sz w:val="18"/>
                <w:szCs w:val="18"/>
                <w:color w:val="auto"/>
              </w:rPr>
              <w:t>Vacancies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3.7</w:t>
            </w:r>
          </w:p>
        </w:tc>
        <w:tc>
          <w:tcPr>
            <w:tcW w:w="9260" w:type="dxa"/>
            <w:vAlign w:val="bottom"/>
          </w:tcPr>
          <w:p>
            <w:pPr>
              <w:ind w:left="240"/>
              <w:spacing w:after="0"/>
              <w:rPr>
                <w:sz w:val="20"/>
                <w:szCs w:val="20"/>
                <w:color w:val="auto"/>
              </w:rPr>
            </w:pPr>
            <w:r>
              <w:rPr>
                <w:rFonts w:ascii="Arial" w:cs="Arial" w:eastAsia="Arial" w:hAnsi="Arial"/>
                <w:sz w:val="18"/>
                <w:szCs w:val="18"/>
                <w:color w:val="auto"/>
              </w:rPr>
              <w:t>President; Chief Executive Officer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3.8</w:t>
            </w:r>
          </w:p>
        </w:tc>
        <w:tc>
          <w:tcPr>
            <w:tcW w:w="9260" w:type="dxa"/>
            <w:vAlign w:val="bottom"/>
          </w:tcPr>
          <w:p>
            <w:pPr>
              <w:ind w:left="240"/>
              <w:spacing w:after="0"/>
              <w:rPr>
                <w:sz w:val="20"/>
                <w:szCs w:val="20"/>
                <w:color w:val="auto"/>
              </w:rPr>
            </w:pPr>
            <w:r>
              <w:rPr>
                <w:rFonts w:ascii="Arial" w:cs="Arial" w:eastAsia="Arial" w:hAnsi="Arial"/>
                <w:sz w:val="18"/>
                <w:szCs w:val="18"/>
                <w:color w:val="auto"/>
              </w:rPr>
              <w:t>Vice Presidents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3.9</w:t>
            </w:r>
          </w:p>
        </w:tc>
        <w:tc>
          <w:tcPr>
            <w:tcW w:w="6700" w:type="dxa"/>
            <w:vAlign w:val="bottom"/>
          </w:tcPr>
          <w:p>
            <w:pPr>
              <w:ind w:left="240"/>
              <w:spacing w:after="0"/>
              <w:rPr>
                <w:sz w:val="20"/>
                <w:szCs w:val="20"/>
                <w:color w:val="auto"/>
              </w:rPr>
            </w:pPr>
            <w:r>
              <w:rPr>
                <w:rFonts w:ascii="Arial" w:cs="Arial" w:eastAsia="Arial" w:hAnsi="Arial"/>
                <w:sz w:val="18"/>
                <w:szCs w:val="18"/>
                <w:color w:val="auto"/>
              </w:rPr>
              <w:t>Secretary and Assistant Secretaries</w:t>
            </w:r>
          </w:p>
        </w:tc>
        <w:tc>
          <w:tcPr>
            <w:tcW w:w="3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3.10</w:t>
            </w:r>
          </w:p>
        </w:tc>
        <w:tc>
          <w:tcPr>
            <w:tcW w:w="6700" w:type="dxa"/>
            <w:vAlign w:val="bottom"/>
          </w:tcPr>
          <w:p>
            <w:pPr>
              <w:ind w:left="240"/>
              <w:spacing w:after="0"/>
              <w:rPr>
                <w:sz w:val="20"/>
                <w:szCs w:val="20"/>
                <w:color w:val="auto"/>
              </w:rPr>
            </w:pPr>
            <w:r>
              <w:rPr>
                <w:rFonts w:ascii="Arial" w:cs="Arial" w:eastAsia="Arial" w:hAnsi="Arial"/>
                <w:sz w:val="18"/>
                <w:szCs w:val="18"/>
                <w:color w:val="auto"/>
              </w:rPr>
              <w:t>Treasurer and Assistant Treasurers</w:t>
            </w:r>
          </w:p>
        </w:tc>
        <w:tc>
          <w:tcPr>
            <w:tcW w:w="3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3.11</w:t>
            </w:r>
          </w:p>
        </w:tc>
        <w:tc>
          <w:tcPr>
            <w:tcW w:w="6700" w:type="dxa"/>
            <w:vAlign w:val="bottom"/>
          </w:tcPr>
          <w:p>
            <w:pPr>
              <w:ind w:left="240"/>
              <w:spacing w:after="0"/>
              <w:rPr>
                <w:sz w:val="20"/>
                <w:szCs w:val="20"/>
                <w:color w:val="auto"/>
              </w:rPr>
            </w:pPr>
            <w:r>
              <w:rPr>
                <w:rFonts w:ascii="Arial" w:cs="Arial" w:eastAsia="Arial" w:hAnsi="Arial"/>
                <w:sz w:val="18"/>
                <w:szCs w:val="18"/>
                <w:color w:val="auto"/>
              </w:rPr>
              <w:t>Salaries</w:t>
            </w:r>
          </w:p>
        </w:tc>
        <w:tc>
          <w:tcPr>
            <w:tcW w:w="3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3.12</w:t>
            </w:r>
          </w:p>
        </w:tc>
        <w:tc>
          <w:tcPr>
            <w:tcW w:w="6700" w:type="dxa"/>
            <w:vAlign w:val="bottom"/>
          </w:tcPr>
          <w:p>
            <w:pPr>
              <w:ind w:left="240"/>
              <w:spacing w:after="0"/>
              <w:rPr>
                <w:sz w:val="20"/>
                <w:szCs w:val="20"/>
                <w:color w:val="auto"/>
              </w:rPr>
            </w:pPr>
            <w:r>
              <w:rPr>
                <w:rFonts w:ascii="Arial" w:cs="Arial" w:eastAsia="Arial" w:hAnsi="Arial"/>
                <w:sz w:val="18"/>
                <w:szCs w:val="18"/>
                <w:color w:val="auto"/>
              </w:rPr>
              <w:t>Delegation of Authority</w:t>
            </w:r>
          </w:p>
        </w:tc>
        <w:tc>
          <w:tcPr>
            <w:tcW w:w="3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ARTICLE IV CAPITAL STOCK</w:t>
            </w:r>
          </w:p>
        </w:tc>
        <w:tc>
          <w:tcPr>
            <w:tcW w:w="37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18"/>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4.1</w:t>
            </w:r>
          </w:p>
        </w:tc>
        <w:tc>
          <w:tcPr>
            <w:tcW w:w="6700" w:type="dxa"/>
            <w:vAlign w:val="bottom"/>
          </w:tcPr>
          <w:p>
            <w:pPr>
              <w:ind w:left="240"/>
              <w:spacing w:after="0"/>
              <w:rPr>
                <w:sz w:val="20"/>
                <w:szCs w:val="20"/>
                <w:color w:val="auto"/>
              </w:rPr>
            </w:pPr>
            <w:r>
              <w:rPr>
                <w:rFonts w:ascii="Arial" w:cs="Arial" w:eastAsia="Arial" w:hAnsi="Arial"/>
                <w:sz w:val="18"/>
                <w:szCs w:val="18"/>
                <w:color w:val="auto"/>
              </w:rPr>
              <w:t>Issuance of Stock</w:t>
            </w:r>
          </w:p>
        </w:tc>
        <w:tc>
          <w:tcPr>
            <w:tcW w:w="3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4.2</w:t>
            </w:r>
          </w:p>
        </w:tc>
        <w:tc>
          <w:tcPr>
            <w:tcW w:w="6700" w:type="dxa"/>
            <w:vAlign w:val="bottom"/>
          </w:tcPr>
          <w:p>
            <w:pPr>
              <w:ind w:left="240"/>
              <w:spacing w:after="0"/>
              <w:rPr>
                <w:sz w:val="20"/>
                <w:szCs w:val="20"/>
                <w:color w:val="auto"/>
              </w:rPr>
            </w:pPr>
            <w:r>
              <w:rPr>
                <w:rFonts w:ascii="Arial" w:cs="Arial" w:eastAsia="Arial" w:hAnsi="Arial"/>
                <w:sz w:val="18"/>
                <w:szCs w:val="18"/>
                <w:color w:val="auto"/>
              </w:rPr>
              <w:t>Stock Certificates; Uncertificated Shares</w:t>
            </w:r>
          </w:p>
        </w:tc>
        <w:tc>
          <w:tcPr>
            <w:tcW w:w="3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4.3</w:t>
            </w:r>
          </w:p>
        </w:tc>
        <w:tc>
          <w:tcPr>
            <w:tcW w:w="6700" w:type="dxa"/>
            <w:vAlign w:val="bottom"/>
          </w:tcPr>
          <w:p>
            <w:pPr>
              <w:ind w:left="240"/>
              <w:spacing w:after="0"/>
              <w:rPr>
                <w:sz w:val="20"/>
                <w:szCs w:val="20"/>
                <w:color w:val="auto"/>
              </w:rPr>
            </w:pPr>
            <w:r>
              <w:rPr>
                <w:rFonts w:ascii="Arial" w:cs="Arial" w:eastAsia="Arial" w:hAnsi="Arial"/>
                <w:sz w:val="18"/>
                <w:szCs w:val="18"/>
                <w:color w:val="auto"/>
              </w:rPr>
              <w:t>Transfers</w:t>
            </w:r>
          </w:p>
        </w:tc>
        <w:tc>
          <w:tcPr>
            <w:tcW w:w="3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4.4</w:t>
            </w:r>
          </w:p>
        </w:tc>
        <w:tc>
          <w:tcPr>
            <w:tcW w:w="6700" w:type="dxa"/>
            <w:vAlign w:val="bottom"/>
          </w:tcPr>
          <w:p>
            <w:pPr>
              <w:ind w:left="240"/>
              <w:spacing w:after="0"/>
              <w:rPr>
                <w:sz w:val="20"/>
                <w:szCs w:val="20"/>
                <w:color w:val="auto"/>
              </w:rPr>
            </w:pPr>
            <w:r>
              <w:rPr>
                <w:rFonts w:ascii="Arial" w:cs="Arial" w:eastAsia="Arial" w:hAnsi="Arial"/>
                <w:sz w:val="18"/>
                <w:szCs w:val="18"/>
                <w:color w:val="auto"/>
              </w:rPr>
              <w:t>Lost, Stolen or Destroyed Certificates</w:t>
            </w:r>
          </w:p>
        </w:tc>
        <w:tc>
          <w:tcPr>
            <w:tcW w:w="3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4.5</w:t>
            </w:r>
          </w:p>
        </w:tc>
        <w:tc>
          <w:tcPr>
            <w:tcW w:w="6700" w:type="dxa"/>
            <w:vAlign w:val="bottom"/>
          </w:tcPr>
          <w:p>
            <w:pPr>
              <w:ind w:left="240"/>
              <w:spacing w:after="0"/>
              <w:rPr>
                <w:sz w:val="20"/>
                <w:szCs w:val="20"/>
                <w:color w:val="auto"/>
              </w:rPr>
            </w:pPr>
            <w:r>
              <w:rPr>
                <w:rFonts w:ascii="Arial" w:cs="Arial" w:eastAsia="Arial" w:hAnsi="Arial"/>
                <w:sz w:val="18"/>
                <w:szCs w:val="18"/>
                <w:color w:val="auto"/>
              </w:rPr>
              <w:t>Record Date</w:t>
            </w:r>
          </w:p>
        </w:tc>
        <w:tc>
          <w:tcPr>
            <w:tcW w:w="3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4.6</w:t>
            </w:r>
          </w:p>
        </w:tc>
        <w:tc>
          <w:tcPr>
            <w:tcW w:w="6700" w:type="dxa"/>
            <w:vAlign w:val="bottom"/>
          </w:tcPr>
          <w:p>
            <w:pPr>
              <w:ind w:left="240"/>
              <w:spacing w:after="0"/>
              <w:rPr>
                <w:sz w:val="20"/>
                <w:szCs w:val="20"/>
                <w:color w:val="auto"/>
              </w:rPr>
            </w:pPr>
            <w:r>
              <w:rPr>
                <w:rFonts w:ascii="Arial" w:cs="Arial" w:eastAsia="Arial" w:hAnsi="Arial"/>
                <w:sz w:val="18"/>
                <w:szCs w:val="18"/>
                <w:color w:val="auto"/>
              </w:rPr>
              <w:t>Regulations</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ARTICLE V GENERAL PROVISIONS</w:t>
            </w:r>
          </w:p>
        </w:tc>
        <w:tc>
          <w:tcPr>
            <w:tcW w:w="37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18"/>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5.1</w:t>
            </w:r>
          </w:p>
        </w:tc>
        <w:tc>
          <w:tcPr>
            <w:tcW w:w="670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5.2</w:t>
            </w:r>
          </w:p>
        </w:tc>
        <w:tc>
          <w:tcPr>
            <w:tcW w:w="6700" w:type="dxa"/>
            <w:vAlign w:val="bottom"/>
          </w:tcPr>
          <w:p>
            <w:pPr>
              <w:ind w:left="240"/>
              <w:spacing w:after="0"/>
              <w:rPr>
                <w:sz w:val="20"/>
                <w:szCs w:val="20"/>
                <w:color w:val="auto"/>
              </w:rPr>
            </w:pPr>
            <w:r>
              <w:rPr>
                <w:rFonts w:ascii="Arial" w:cs="Arial" w:eastAsia="Arial" w:hAnsi="Arial"/>
                <w:sz w:val="18"/>
                <w:szCs w:val="18"/>
                <w:color w:val="auto"/>
              </w:rPr>
              <w:t>Corporate Seal</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5.3</w:t>
            </w:r>
          </w:p>
        </w:tc>
        <w:tc>
          <w:tcPr>
            <w:tcW w:w="6700" w:type="dxa"/>
            <w:vAlign w:val="bottom"/>
          </w:tcPr>
          <w:p>
            <w:pPr>
              <w:ind w:left="240"/>
              <w:spacing w:after="0"/>
              <w:rPr>
                <w:sz w:val="20"/>
                <w:szCs w:val="20"/>
                <w:color w:val="auto"/>
              </w:rPr>
            </w:pPr>
            <w:r>
              <w:rPr>
                <w:rFonts w:ascii="Arial" w:cs="Arial" w:eastAsia="Arial" w:hAnsi="Arial"/>
                <w:sz w:val="18"/>
                <w:szCs w:val="18"/>
                <w:color w:val="auto"/>
              </w:rPr>
              <w:t>Waiver of Notice</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5.4</w:t>
            </w:r>
          </w:p>
        </w:tc>
        <w:tc>
          <w:tcPr>
            <w:tcW w:w="6700" w:type="dxa"/>
            <w:vAlign w:val="bottom"/>
          </w:tcPr>
          <w:p>
            <w:pPr>
              <w:ind w:left="240"/>
              <w:spacing w:after="0"/>
              <w:rPr>
                <w:sz w:val="20"/>
                <w:szCs w:val="20"/>
                <w:color w:val="auto"/>
              </w:rPr>
            </w:pPr>
            <w:r>
              <w:rPr>
                <w:rFonts w:ascii="Arial" w:cs="Arial" w:eastAsia="Arial" w:hAnsi="Arial"/>
                <w:sz w:val="18"/>
                <w:szCs w:val="18"/>
                <w:color w:val="auto"/>
              </w:rPr>
              <w:t>Voting of Securities</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5.5</w:t>
            </w:r>
          </w:p>
        </w:tc>
        <w:tc>
          <w:tcPr>
            <w:tcW w:w="6700" w:type="dxa"/>
            <w:vAlign w:val="bottom"/>
          </w:tcPr>
          <w:p>
            <w:pPr>
              <w:ind w:left="240"/>
              <w:spacing w:after="0"/>
              <w:rPr>
                <w:sz w:val="20"/>
                <w:szCs w:val="20"/>
                <w:color w:val="auto"/>
              </w:rPr>
            </w:pPr>
            <w:r>
              <w:rPr>
                <w:rFonts w:ascii="Arial" w:cs="Arial" w:eastAsia="Arial" w:hAnsi="Arial"/>
                <w:sz w:val="18"/>
                <w:szCs w:val="18"/>
                <w:color w:val="auto"/>
              </w:rPr>
              <w:t>Evidence of Authority</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5.6</w:t>
            </w:r>
          </w:p>
        </w:tc>
        <w:tc>
          <w:tcPr>
            <w:tcW w:w="6700" w:type="dxa"/>
            <w:vAlign w:val="bottom"/>
          </w:tcPr>
          <w:p>
            <w:pPr>
              <w:ind w:left="240"/>
              <w:spacing w:after="0"/>
              <w:rPr>
                <w:sz w:val="20"/>
                <w:szCs w:val="20"/>
                <w:color w:val="auto"/>
              </w:rPr>
            </w:pPr>
            <w:r>
              <w:rPr>
                <w:rFonts w:ascii="Arial" w:cs="Arial" w:eastAsia="Arial" w:hAnsi="Arial"/>
                <w:sz w:val="18"/>
                <w:szCs w:val="18"/>
                <w:color w:val="auto"/>
              </w:rPr>
              <w:t>Certificate of Incorporation</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5.7</w:t>
            </w:r>
          </w:p>
        </w:tc>
        <w:tc>
          <w:tcPr>
            <w:tcW w:w="670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5.8</w:t>
            </w:r>
          </w:p>
        </w:tc>
        <w:tc>
          <w:tcPr>
            <w:tcW w:w="6700" w:type="dxa"/>
            <w:vAlign w:val="bottom"/>
          </w:tcPr>
          <w:p>
            <w:pPr>
              <w:ind w:left="240"/>
              <w:spacing w:after="0"/>
              <w:rPr>
                <w:sz w:val="20"/>
                <w:szCs w:val="20"/>
                <w:color w:val="auto"/>
              </w:rPr>
            </w:pPr>
            <w:r>
              <w:rPr>
                <w:rFonts w:ascii="Arial" w:cs="Arial" w:eastAsia="Arial" w:hAnsi="Arial"/>
                <w:sz w:val="18"/>
                <w:szCs w:val="18"/>
                <w:color w:val="auto"/>
              </w:rPr>
              <w:t>Pronouns</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ARTICLE VI AMENDMENTS</w:t>
            </w:r>
          </w:p>
        </w:tc>
        <w:tc>
          <w:tcPr>
            <w:tcW w:w="370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18"/>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6.1</w:t>
            </w:r>
          </w:p>
        </w:tc>
        <w:tc>
          <w:tcPr>
            <w:tcW w:w="6700" w:type="dxa"/>
            <w:vAlign w:val="bottom"/>
          </w:tcPr>
          <w:p>
            <w:pPr>
              <w:ind w:left="240"/>
              <w:spacing w:after="0"/>
              <w:rPr>
                <w:sz w:val="20"/>
                <w:szCs w:val="20"/>
                <w:color w:val="auto"/>
              </w:rPr>
            </w:pPr>
            <w:r>
              <w:rPr>
                <w:rFonts w:ascii="Arial" w:cs="Arial" w:eastAsia="Arial" w:hAnsi="Arial"/>
                <w:sz w:val="18"/>
                <w:szCs w:val="18"/>
                <w:color w:val="auto"/>
              </w:rPr>
              <w:t>By the Board of Directors</w:t>
            </w:r>
          </w:p>
        </w:tc>
        <w:tc>
          <w:tcPr>
            <w:tcW w:w="3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6.2</w:t>
            </w:r>
          </w:p>
        </w:tc>
        <w:tc>
          <w:tcPr>
            <w:tcW w:w="6700" w:type="dxa"/>
            <w:vAlign w:val="bottom"/>
          </w:tcPr>
          <w:p>
            <w:pPr>
              <w:ind w:left="240"/>
              <w:spacing w:after="0"/>
              <w:rPr>
                <w:sz w:val="20"/>
                <w:szCs w:val="20"/>
                <w:color w:val="auto"/>
              </w:rPr>
            </w:pPr>
            <w:r>
              <w:rPr>
                <w:rFonts w:ascii="Arial" w:cs="Arial" w:eastAsia="Arial" w:hAnsi="Arial"/>
                <w:sz w:val="18"/>
                <w:szCs w:val="18"/>
                <w:color w:val="auto"/>
              </w:rPr>
              <w:t>By the Stockholders</w:t>
            </w:r>
          </w:p>
        </w:tc>
        <w:tc>
          <w:tcPr>
            <w:tcW w:w="37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4" w:name="page335"/>
    <w:bookmarkEnd w:id="334"/>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Place of Meetings</w:t>
      </w:r>
      <w:r>
        <w:rPr>
          <w:rFonts w:ascii="Arial" w:cs="Arial" w:eastAsia="Arial" w:hAnsi="Arial"/>
          <w:sz w:val="17"/>
          <w:szCs w:val="17"/>
          <w:color w:val="auto"/>
        </w:rPr>
        <w:t>. All meetings of stockholders shall be held at such place as may be designated from time to time by the Board of Directors, the Chairman of the Board, the Chief Executive Officer or the President or, if not so designated, at the principal office of the corporation. The Board of Directors may, in its sole discretion, determine that a meeting shall not be held at any place, but may instead be held solely by means of remote communication in a manner consistent with the General Corporation Law of the State of Delaware.</w:t>
      </w:r>
    </w:p>
    <w:p>
      <w:pPr>
        <w:spacing w:after="0" w:line="171"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for the election of directors and for the transaction of such other business as may properly be brought before the meeting shall be held on a date and at a time designated by the Board of Directors, the Chairman of the Board, the Chief Executive Officer or the President (which date shall not be a legal holiday in the place where the meeting is to be held).</w:t>
      </w:r>
    </w:p>
    <w:p>
      <w:pPr>
        <w:spacing w:after="0" w:line="166"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for any purpose or purposes may be called at any time by only the Board of Directors, the Chairman of the Board, the Chief Executive Officer or the President, and may not be called by any other person or persons.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law,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Voting List</w:t>
      </w:r>
      <w:r>
        <w:rPr>
          <w:rFonts w:ascii="Arial" w:cs="Arial" w:eastAsia="Arial" w:hAnsi="Arial"/>
          <w:sz w:val="17"/>
          <w:szCs w:val="17"/>
          <w:color w:val="auto"/>
        </w:rPr>
        <w:t>. The Secretary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35" w:name="page336"/>
    <w:bookmarkEnd w:id="335"/>
    <w:p>
      <w:pPr>
        <w:ind w:right="180"/>
        <w:spacing w:after="0" w:line="276" w:lineRule="auto"/>
        <w:rPr>
          <w:sz w:val="20"/>
          <w:szCs w:val="20"/>
          <w:color w:val="auto"/>
        </w:rPr>
      </w:pPr>
      <w:r>
        <w:rPr>
          <w:rFonts w:ascii="Arial" w:cs="Arial" w:eastAsia="Arial" w:hAnsi="Arial"/>
          <w:sz w:val="17"/>
          <w:szCs w:val="17"/>
          <w:color w:val="auto"/>
        </w:rPr>
        <w:t>be held at a physical location (and not solely by means of remote communication),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The list shall presumptively determine the identity of the stockholders entitled to vote at the meeting and the number of shares held by each of them.</w:t>
      </w:r>
    </w:p>
    <w:p>
      <w:pPr>
        <w:spacing w:after="0" w:line="17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Adjournments</w:t>
      </w:r>
      <w:r>
        <w:rPr>
          <w:rFonts w:ascii="Arial" w:cs="Arial" w:eastAsia="Arial" w:hAnsi="Arial"/>
          <w:sz w:val="18"/>
          <w:szCs w:val="18"/>
          <w:color w:val="auto"/>
        </w:rPr>
        <w:t>. Any meeting of stockholders may be adjourned from time to time to any other time and to any other place at which a meeting of stockholders may be held under these Bylaws by the chairman of the meeting or by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18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Voting and Proxies</w:t>
      </w:r>
      <w:r>
        <w:rPr>
          <w:rFonts w:ascii="Arial" w:cs="Arial" w:eastAsia="Arial" w:hAnsi="Arial"/>
          <w:sz w:val="17"/>
          <w:szCs w:val="17"/>
          <w:color w:val="auto"/>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or to express consent or dissent to corporate action without a meeting, may vote or express such consent or dissent in person (including by means of remote communications, if any, by which stockholders may be deemed to be present in person and vote at such meeting) or may authorize another person or persons to vote or act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or acted upon after three years from the date of its execution, unless the proxy expressly provides for a longer period.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6" w:name="page337"/>
    <w:bookmarkEnd w:id="336"/>
    <w:p>
      <w:pPr>
        <w:ind w:right="20" w:firstLine="648"/>
        <w:spacing w:after="0" w:line="272"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Action at Meeting</w:t>
      </w:r>
      <w:r>
        <w:rPr>
          <w:rFonts w:ascii="Arial" w:cs="Arial" w:eastAsia="Arial" w:hAnsi="Arial"/>
          <w:sz w:val="17"/>
          <w:szCs w:val="17"/>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Conduct of Meetings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7" w:lineRule="auto"/>
        <w:tabs>
          <w:tab w:leader="none" w:pos="1942"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Chairman of Meeting</w:t>
      </w:r>
      <w:r>
        <w:rPr>
          <w:rFonts w:ascii="Arial" w:cs="Arial" w:eastAsia="Arial" w:hAnsi="Arial"/>
          <w:sz w:val="16"/>
          <w:szCs w:val="16"/>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158" w:lineRule="exact"/>
        <w:rPr>
          <w:rFonts w:ascii="Arial" w:cs="Arial" w:eastAsia="Arial" w:hAnsi="Arial"/>
          <w:sz w:val="16"/>
          <w:szCs w:val="16"/>
          <w:color w:val="auto"/>
        </w:rPr>
      </w:pPr>
    </w:p>
    <w:p>
      <w:pPr>
        <w:jc w:val="both"/>
        <w:ind w:right="20" w:firstLine="1305"/>
        <w:spacing w:after="0" w:line="288" w:lineRule="auto"/>
        <w:tabs>
          <w:tab w:leader="none" w:pos="1952"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Rules, Regulations and Procedures</w:t>
      </w:r>
      <w:r>
        <w:rPr>
          <w:rFonts w:ascii="Arial" w:cs="Arial" w:eastAsia="Arial" w:hAnsi="Arial"/>
          <w:sz w:val="16"/>
          <w:szCs w:val="16"/>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w:t>
      </w:r>
    </w:p>
    <w:p>
      <w:pPr>
        <w:spacing w:after="0" w:line="268" w:lineRule="auto"/>
        <w:rPr>
          <w:rFonts w:ascii="Arial" w:cs="Arial" w:eastAsia="Arial" w:hAnsi="Arial"/>
          <w:sz w:val="16"/>
          <w:szCs w:val="16"/>
          <w:color w:val="auto"/>
        </w:rPr>
      </w:pPr>
      <w:r>
        <w:rPr>
          <w:rFonts w:ascii="Arial" w:cs="Arial" w:eastAsia="Arial" w:hAnsi="Arial"/>
          <w:sz w:val="17"/>
          <w:szCs w:val="17"/>
          <w:color w:val="auto"/>
        </w:rPr>
        <w:t>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7" w:name="page338"/>
    <w:bookmarkEnd w:id="337"/>
    <w:p>
      <w:pPr>
        <w:ind w:left="640"/>
        <w:spacing w:after="0"/>
        <w:tabs>
          <w:tab w:leader="none" w:pos="12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Action without Meeting</w:t>
      </w:r>
      <w:r>
        <w:rPr>
          <w:rFonts w:ascii="Arial" w:cs="Arial" w:eastAsia="Arial" w:hAnsi="Arial"/>
          <w:sz w:val="17"/>
          <w:szCs w:val="17"/>
          <w:color w:val="auto"/>
        </w:rPr>
        <w:t>.</w:t>
      </w:r>
    </w:p>
    <w:p>
      <w:pPr>
        <w:spacing w:after="0" w:line="225" w:lineRule="exact"/>
        <w:rPr>
          <w:sz w:val="20"/>
          <w:szCs w:val="20"/>
          <w:color w:val="auto"/>
        </w:rPr>
      </w:pPr>
    </w:p>
    <w:p>
      <w:pPr>
        <w:ind w:left="-20" w:firstLine="1305"/>
        <w:spacing w:after="0" w:line="255" w:lineRule="auto"/>
        <w:tabs>
          <w:tab w:leader="none" w:pos="1922"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Taking of Action by Consent</w:t>
      </w:r>
      <w:r>
        <w:rPr>
          <w:rFonts w:ascii="Arial" w:cs="Arial" w:eastAsia="Arial" w:hAnsi="Arial"/>
          <w:sz w:val="18"/>
          <w:szCs w:val="18"/>
          <w:color w:val="auto"/>
        </w:rPr>
        <w:t>. Any action required or permitted to be taken at any annual or special meeting of stockholders of the corporation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on such action were present and voted. Except as otherwise provided by the Certificate of Incorporation, stockholders may act by written consent to elect directors; provided, however,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w:t>
      </w:r>
    </w:p>
    <w:p>
      <w:pPr>
        <w:spacing w:after="0" w:line="189" w:lineRule="exact"/>
        <w:rPr>
          <w:rFonts w:ascii="Arial" w:cs="Arial" w:eastAsia="Arial" w:hAnsi="Arial"/>
          <w:sz w:val="18"/>
          <w:szCs w:val="18"/>
          <w:color w:val="auto"/>
        </w:rPr>
      </w:pPr>
    </w:p>
    <w:p>
      <w:pPr>
        <w:ind w:left="-20" w:right="40" w:firstLine="1305"/>
        <w:spacing w:after="0" w:line="268" w:lineRule="auto"/>
        <w:tabs>
          <w:tab w:leader="none" w:pos="1932"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Electronic Transmission of Consents</w:t>
      </w:r>
      <w:r>
        <w:rPr>
          <w:rFonts w:ascii="Arial" w:cs="Arial" w:eastAsia="Arial" w:hAnsi="Arial"/>
          <w:sz w:val="17"/>
          <w:szCs w:val="17"/>
          <w:color w:val="auto"/>
        </w:rPr>
        <w:t>.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0" w:lineRule="exact"/>
        <w:rPr>
          <w:rFonts w:ascii="Arial" w:cs="Arial" w:eastAsia="Arial" w:hAnsi="Arial"/>
          <w:sz w:val="17"/>
          <w:szCs w:val="17"/>
          <w:color w:val="auto"/>
        </w:rPr>
      </w:pPr>
    </w:p>
    <w:p>
      <w:pPr>
        <w:jc w:val="both"/>
        <w:ind w:left="-20" w:firstLine="1305"/>
        <w:spacing w:after="0" w:line="259" w:lineRule="auto"/>
        <w:tabs>
          <w:tab w:leader="none" w:pos="193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Notice of Taking of Corporate Action</w:t>
      </w:r>
      <w:r>
        <w:rPr>
          <w:rFonts w:ascii="Arial" w:cs="Arial" w:eastAsia="Arial" w:hAnsi="Arial"/>
          <w:sz w:val="18"/>
          <w:szCs w:val="18"/>
          <w:color w:val="auto"/>
        </w:rPr>
        <w:t>. Prompt notice of the taking of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338" w:name="page339"/>
    <w:bookmarkEnd w:id="338"/>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Number, Election and Qualification</w:t>
      </w:r>
      <w:r>
        <w:rPr>
          <w:rFonts w:ascii="Arial" w:cs="Arial" w:eastAsia="Arial" w:hAnsi="Arial"/>
          <w:sz w:val="18"/>
          <w:szCs w:val="18"/>
          <w:color w:val="auto"/>
        </w:rPr>
        <w:t>. Subject to the rights of holders of any series of Preferred Stock to elect directors, the number of directors of the corporation shall be established from time to time by the stockholders or the Board of Directors. The directors shall be elected at the annual meeting of stockholders by such stockholders as have the right to vote on such election. Election of directors need not be by written ballot. Directors need not be stockholders of the corporation.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Chairman of the Board; Vice Chairman of the Board</w:t>
      </w:r>
      <w:r>
        <w:rPr>
          <w:rFonts w:ascii="Arial" w:cs="Arial" w:eastAsia="Arial" w:hAnsi="Arial"/>
          <w:sz w:val="17"/>
          <w:szCs w:val="17"/>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Tenure</w:t>
      </w:r>
      <w:r>
        <w:rPr>
          <w:rFonts w:ascii="Arial" w:cs="Arial" w:eastAsia="Arial" w:hAnsi="Arial"/>
          <w:sz w:val="18"/>
          <w:szCs w:val="18"/>
          <w:color w:val="auto"/>
        </w:rPr>
        <w:t>. Each director shall hold office until the next annual meeting of stockholders and until a successor is elected and qualified, or until such director’s earlier death, resignation or removal.</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fixed pursuant to Section 2.2 of these Bylaws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8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Action at Meeting</w:t>
      </w:r>
      <w:r>
        <w:rPr>
          <w:rFonts w:ascii="Arial" w:cs="Arial" w:eastAsia="Arial" w:hAnsi="Arial"/>
          <w:sz w:val="18"/>
          <w:szCs w:val="18"/>
          <w:color w:val="auto"/>
        </w:rPr>
        <w:t>. Every act or decision done or made by a majority of the directors present at a meeting of the Board of Directors duly held at which a quorum is present shall be regarded as the act of the Board of Directors, unless a greater number is required by law or by the Certificate of Incorporation.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the General Corporation Law of the State of Delaware, any one or more or all of the directors of the corporation may be removed, with or without cause, by the holders of a majority of the shares then entitled to vote at an election of directors, except that the directors elected by the holders of a particular class or series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color w:val="auto"/>
        </w:rPr>
        <w:t>of stock may be removed without cause only by vote of the holders of a majority of the outstanding shares of such class or series.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17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8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14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Notice of Special Meetings</w:t>
      </w:r>
      <w:r>
        <w:rPr>
          <w:rFonts w:ascii="Arial" w:cs="Arial" w:eastAsia="Arial" w:hAnsi="Arial"/>
          <w:sz w:val="17"/>
          <w:szCs w:val="17"/>
          <w:color w:val="auto"/>
        </w:rPr>
        <w:t>. Notice of the date, place, if any, and time of any special meeting of directors shall be given to each director by the Secretary or by the officer or one of the directors calling the meeting. Notice shall be duly given to each director (a) in person or by telephone at least 24 hours in advance of the meeting, (b) by sending written notice by reputable overnight courier, telecopy, facsimile or electronic transmission, or delivering written notice by hand, to such director’s last known business, home or electronic transmission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Meetings by Conference Communications Equipment</w:t>
      </w:r>
      <w:r>
        <w:rPr>
          <w:rFonts w:ascii="Arial" w:cs="Arial" w:eastAsia="Arial" w:hAnsi="Arial"/>
          <w:sz w:val="18"/>
          <w:szCs w:val="18"/>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40" w:name="page341"/>
    <w:bookmarkEnd w:id="340"/>
    <w:p>
      <w:pPr>
        <w:ind w:right="60" w:firstLine="648"/>
        <w:spacing w:after="0" w:line="302"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5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Titles</w:t>
      </w:r>
      <w:r>
        <w:rPr>
          <w:rFonts w:ascii="Arial" w:cs="Arial" w:eastAsia="Arial" w:hAnsi="Arial"/>
          <w:sz w:val="18"/>
          <w:szCs w:val="18"/>
          <w:color w:val="auto"/>
        </w:rPr>
        <w:t>.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w:t>
      </w:r>
      <w:r>
        <w:rPr>
          <w:rFonts w:ascii="Arial" w:cs="Arial" w:eastAsia="Arial" w:hAnsi="Arial"/>
          <w:sz w:val="16"/>
          <w:szCs w:val="16"/>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Any two or more offices may be held by the same person.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President; Chief Executive Officer</w:t>
      </w:r>
      <w:r>
        <w:rPr>
          <w:rFonts w:ascii="Arial" w:cs="Arial" w:eastAsia="Arial" w:hAnsi="Arial"/>
          <w:sz w:val="16"/>
          <w:szCs w:val="16"/>
          <w:color w:val="auto"/>
        </w:rPr>
        <w:t>.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shall perform such duties and possess such powers as the Board of Directors or the Chief Executive Officer may from time to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775" w:gutter="0" w:footer="0" w:header="0"/>
        </w:sectPr>
      </w:pPr>
    </w:p>
    <w:bookmarkStart w:id="341" w:name="page342"/>
    <w:bookmarkEnd w:id="341"/>
    <w:p>
      <w:pPr>
        <w:ind w:right="140"/>
        <w:spacing w:after="0" w:line="277" w:lineRule="auto"/>
        <w:rPr>
          <w:sz w:val="20"/>
          <w:szCs w:val="20"/>
          <w:color w:val="auto"/>
        </w:rPr>
      </w:pPr>
      <w:r>
        <w:rPr>
          <w:rFonts w:ascii="Arial" w:cs="Arial" w:eastAsia="Arial" w:hAnsi="Arial"/>
          <w:sz w:val="18"/>
          <w:szCs w:val="18"/>
          <w:color w:val="auto"/>
        </w:rPr>
        <w:t>prescribe. The Board of Directors may assign to any Vice President the title of Executive Vice President, Senior Vice President or any other title selected by the Board of Directors.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5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chairman of the meeting shall designate a temporary secretary to keep a record of the meeting.</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9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 or agent, notwithstanding any provision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2" w:name="page343"/>
    <w:bookmarkEnd w:id="342"/>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Stock Certificates; Uncertificated Shares</w:t>
      </w:r>
      <w:r>
        <w:rPr>
          <w:rFonts w:ascii="Arial" w:cs="Arial" w:eastAsia="Arial" w:hAnsi="Arial"/>
          <w:sz w:val="18"/>
          <w:szCs w:val="18"/>
          <w:color w:val="auto"/>
        </w:rPr>
        <w:t>. The shares of the corporation shall be represented by certificates, provided that the Board of Directors may provide by resolution or resolutions that some or all of any or all classes or series of the corporation’s stock shall be uncertificated shares.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3" w:name="page344"/>
    <w:bookmarkEnd w:id="343"/>
    <w:p>
      <w:pPr>
        <w:ind w:firstLine="648"/>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Transfers</w:t>
      </w:r>
      <w:r>
        <w:rPr>
          <w:rFonts w:ascii="Arial" w:cs="Arial" w:eastAsia="Arial" w:hAnsi="Arial"/>
          <w:sz w:val="17"/>
          <w:szCs w:val="17"/>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and posting of such bond as the Board of Directors may require for the protection of the corporation or any transfer agent or registrar.</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Record Date</w:t>
      </w:r>
      <w:r>
        <w:rPr>
          <w:rFonts w:ascii="Arial" w:cs="Arial" w:eastAsia="Arial" w:hAnsi="Arial"/>
          <w:sz w:val="17"/>
          <w:szCs w:val="17"/>
          <w:color w:val="auto"/>
        </w:rPr>
        <w:t>. The Board of Directors may fix in advance a date as a record date for the determination of the stockholders entitled to notice of or to vote at any meeting of stockholders or to express consent (or dissent) to corporate action without a meeting, or entitled to receive payment of any dividend or other distribution or allotment of any rights in respect of any change, conversion or exchange of stock, or for the purpose of any other lawful action. Such record date shall not precede the date on which the resolution fixing the record date is adopted, and such record date shall not be more than 60 nor less than 10 days before the date of such meeting, nor more than 10 days after the date of adoption of a record date for a consent without a meeting, nor more than 60 days prior to any other action to which such record date relates.</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entitled to express consent to corporate action without a meeting, when no prior action by the Board of Directors is necessary, shall be the day on which the first consent is properly delivered to the corporation. If no record date is fixed, the record date for determining stockholders for any other purpose shall be at the close of business on the day on which the Board of Directors adopts the resolution relating to such purpose.</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4" w:name="page345"/>
    <w:bookmarkEnd w:id="344"/>
    <w:p>
      <w:pPr>
        <w:ind w:right="740" w:firstLine="648"/>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Regulations</w:t>
      </w:r>
      <w:r>
        <w:rPr>
          <w:rFonts w:ascii="Arial" w:cs="Arial" w:eastAsia="Arial" w:hAnsi="Arial"/>
          <w:sz w:val="18"/>
          <w:szCs w:val="18"/>
          <w:color w:val="auto"/>
        </w:rPr>
        <w:t>. The issue, transfer, conversion and registration of shares of stock of the corporation shall be governed by such other regulations as the Board of Directors may establish.</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designated by the Board of Directors, the fiscal year of the corporation shall begin on the first day of January of each year and end on the last day of December in each year.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be in such form as shall be approved by the Board of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Voting of Securities</w:t>
      </w:r>
      <w:r>
        <w:rPr>
          <w:rFonts w:ascii="Arial" w:cs="Arial" w:eastAsia="Arial" w:hAnsi="Arial"/>
          <w:sz w:val="18"/>
          <w:szCs w:val="18"/>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8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345" w:name="page346"/>
    <w:bookmarkEnd w:id="345"/>
    <w:p>
      <w:pPr>
        <w:jc w:val="center"/>
        <w:ind w:right="-17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By the Board of Directors</w:t>
      </w:r>
      <w:r>
        <w:rPr>
          <w:rFonts w:ascii="Arial" w:cs="Arial" w:eastAsia="Arial" w:hAnsi="Arial"/>
          <w:sz w:val="18"/>
          <w:szCs w:val="18"/>
          <w:color w:val="auto"/>
        </w:rPr>
        <w:t>. These Bylaws may be altered, amended or repealed, in whole or in part, or new bylaws may be adopted by the Board of Directors.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By the Stockholders</w:t>
      </w:r>
      <w:r>
        <w:rPr>
          <w:rFonts w:ascii="Arial" w:cs="Arial" w:eastAsia="Arial" w:hAnsi="Arial"/>
          <w:sz w:val="18"/>
          <w:szCs w:val="18"/>
          <w:color w:val="auto"/>
        </w:rPr>
        <w:t>.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(originally incorporated on August 18,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Fulcrum Therapeutics, Inc.</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SECOND: The address of the Corporation’s registered office in the State of Delaware is Corporation Trust Center, 1209 Orange Street, in the City of Wilmington, County of New Castle, 19801. The name of its registered agent at that address is The Corporation Trust Company.</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by the Corporation is to engage in any lawful act or activity for which corporations may be organized under the General Corporation Law of the State of Delaware.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FOURTH: The total number of shares of all classes of stock that the Corporation shall have authority to issue is 205,000,000 shares, consisting of</w:t>
      </w:r>
    </w:p>
    <w:p>
      <w:pPr>
        <w:spacing w:after="0" w:line="46" w:lineRule="exact"/>
        <w:rPr>
          <w:sz w:val="20"/>
          <w:szCs w:val="20"/>
          <w:color w:val="auto"/>
        </w:rPr>
      </w:pPr>
    </w:p>
    <w:p>
      <w:pPr>
        <w:ind w:right="180" w:firstLine="8"/>
        <w:spacing w:after="0" w:line="261" w:lineRule="auto"/>
        <w:tabs>
          <w:tab w:leader="none" w:pos="21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200,000,000 shares of Common Stock, $0.001 par value per share (“Common Stock”), and (ii) 5,000,000 shares of Preferred Stock, $0.001 par value per share (“Preferred Stock”).</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720" w:hanging="712"/>
        <w:spacing w:after="0"/>
        <w:tabs>
          <w:tab w:leader="none" w:pos="72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656"/>
        <w:spacing w:after="0" w:line="342" w:lineRule="auto"/>
        <w:tabs>
          <w:tab w:leader="none" w:pos="1368"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spacing w:after="0" w:line="123" w:lineRule="exact"/>
        <w:rPr>
          <w:rFonts w:ascii="Arial" w:cs="Arial" w:eastAsia="Arial" w:hAnsi="Arial"/>
          <w:sz w:val="16"/>
          <w:szCs w:val="16"/>
          <w:color w:val="auto"/>
        </w:rPr>
      </w:pPr>
    </w:p>
    <w:p>
      <w:pPr>
        <w:ind w:right="120" w:firstLine="656"/>
        <w:spacing w:after="0" w:line="255" w:lineRule="auto"/>
        <w:tabs>
          <w:tab w:leader="none" w:pos="1368"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xml:space="preserve">. The holders of the Common Stock shall have voting rights at all meetings of stockholders, each such holder being entitled to one vote for each share thereof held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General Corporation Law of the State of Delaware. There shall be no cumulative voting.</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number of authorized shares of Common Stock may be increased or decreased (but not below the number of shares thereof then outstanding) by the affirmative vote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7" w:name="page348"/>
    <w:bookmarkEnd w:id="347"/>
    <w:p>
      <w:pPr>
        <w:ind w:right="180"/>
        <w:spacing w:after="0" w:line="277" w:lineRule="auto"/>
        <w:rPr>
          <w:sz w:val="20"/>
          <w:szCs w:val="20"/>
          <w:color w:val="auto"/>
        </w:rPr>
      </w:pPr>
      <w:r>
        <w:rPr>
          <w:rFonts w:ascii="Arial" w:cs="Arial" w:eastAsia="Arial" w:hAnsi="Arial"/>
          <w:sz w:val="18"/>
          <w:szCs w:val="18"/>
          <w:color w:val="auto"/>
        </w:rPr>
        <w:t>of a majority of the stock of the Corporation entitled to vote, irrespective of the provisions of Section 242(b)(2) of the General Corporation Law of the State of Delaware.</w:t>
      </w:r>
    </w:p>
    <w:p>
      <w:pPr>
        <w:spacing w:after="0" w:line="170" w:lineRule="exact"/>
        <w:rPr>
          <w:sz w:val="20"/>
          <w:szCs w:val="20"/>
          <w:color w:val="auto"/>
        </w:rPr>
      </w:pPr>
    </w:p>
    <w:p>
      <w:pPr>
        <w:ind w:right="100" w:firstLine="656"/>
        <w:spacing w:after="0" w:line="277" w:lineRule="auto"/>
        <w:tabs>
          <w:tab w:leader="none" w:pos="1368"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may be declared and paid on the Common Stock from funds lawfully available therefor if, as and when determined by the Board of Directors and subject to any preferential dividend or other rights of any then outstanding Preferred Stock.</w:t>
      </w:r>
    </w:p>
    <w:p>
      <w:pPr>
        <w:spacing w:after="0" w:line="170" w:lineRule="exact"/>
        <w:rPr>
          <w:rFonts w:ascii="Arial" w:cs="Arial" w:eastAsia="Arial" w:hAnsi="Arial"/>
          <w:sz w:val="18"/>
          <w:szCs w:val="18"/>
          <w:color w:val="auto"/>
        </w:rPr>
      </w:pPr>
    </w:p>
    <w:p>
      <w:pPr>
        <w:ind w:firstLine="656"/>
        <w:spacing w:after="0" w:line="264" w:lineRule="auto"/>
        <w:tabs>
          <w:tab w:leader="none" w:pos="1368"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Upon the dissolution, liquidation or winding up of the Corporation, whether voluntary or involuntary, holders of Common Stock will be entitled to receive all assets of the Corporation available for distribution to its stockholders, subject to any preferential or other rights of any then outstanding Preferred Stock.</w:t>
      </w:r>
    </w:p>
    <w:p>
      <w:pPr>
        <w:spacing w:after="0" w:line="181" w:lineRule="exact"/>
        <w:rPr>
          <w:sz w:val="20"/>
          <w:szCs w:val="20"/>
          <w:color w:val="auto"/>
        </w:rPr>
      </w:pPr>
    </w:p>
    <w:p>
      <w:pPr>
        <w:ind w:left="720" w:hanging="712"/>
        <w:spacing w:after="0"/>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 Any shares of Preferred Stock that may be redeemed, purchased or acquired by the Corporation may be reissued except as otherwise provided by law.</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dividend rights, conversion rights, redemption privileges and liquidation preferences, as shall be stated and expressed in such resolutions, all to the full extent now or hereafter permitted by the General Corporation Law of the State of Delaware. Without limiting the generality of the foregoing, the resolutions providing for issuance of any series of Preferred Stock may provide that such series shall be superior or rank equally or be junior to any other series of Preferred Stock to the extent permitted by law.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78"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The number of authorized shares of Preferred Stock may be increased or decreased (but not below the number of shares then outstanding) by the affirmative vote of the holders of a majority of the voting power of the capital stock of the Corporation entitled to vote thereon, voting as a single class, irrespective of the provisions of Section 242(b)(2) of the General Corporation Law of the State of Delaware.</w:t>
      </w:r>
    </w:p>
    <w:p>
      <w:pPr>
        <w:spacing w:after="0" w:line="166"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8" w:name="page349"/>
    <w:bookmarkEnd w:id="348"/>
    <w:p>
      <w:pPr>
        <w:ind w:firstLine="648"/>
        <w:spacing w:after="0" w:line="270" w:lineRule="auto"/>
        <w:rPr>
          <w:sz w:val="20"/>
          <w:szCs w:val="20"/>
          <w:color w:val="auto"/>
        </w:rPr>
      </w:pPr>
      <w:r>
        <w:rPr>
          <w:rFonts w:ascii="Arial" w:cs="Arial" w:eastAsia="Arial" w:hAnsi="Arial"/>
          <w:sz w:val="17"/>
          <w:szCs w:val="17"/>
          <w:color w:val="auto"/>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seventy-five percent (75%) of the votes that all the stockholders would be entitled to cast in an election of directors or class of directors.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SIXTH.</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EIGHTH: The Corporation shall provide indemnification and advancement of expenses as follows:</w:t>
      </w:r>
    </w:p>
    <w:p>
      <w:pPr>
        <w:spacing w:after="0" w:line="225" w:lineRule="exact"/>
        <w:rPr>
          <w:sz w:val="20"/>
          <w:szCs w:val="20"/>
          <w:color w:val="auto"/>
        </w:rPr>
      </w:pPr>
    </w:p>
    <w:p>
      <w:pPr>
        <w:ind w:right="40" w:firstLine="656"/>
        <w:spacing w:after="0" w:line="288" w:lineRule="auto"/>
        <w:tabs>
          <w:tab w:leader="none" w:pos="1368"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9" w:name="page350"/>
    <w:bookmarkEnd w:id="349"/>
    <w:p>
      <w:pPr>
        <w:jc w:val="both"/>
        <w:ind w:right="80"/>
        <w:spacing w:after="0" w:line="259" w:lineRule="auto"/>
        <w:rPr>
          <w:sz w:val="20"/>
          <w:szCs w:val="20"/>
          <w:color w:val="auto"/>
        </w:rPr>
      </w:pPr>
      <w:r>
        <w:rPr>
          <w:rFonts w:ascii="Arial" w:cs="Arial" w:eastAsia="Arial" w:hAnsi="Arial"/>
          <w:sz w:val="18"/>
          <w:szCs w:val="18"/>
          <w:color w:val="auto"/>
        </w:rPr>
        <w:t xml:space="preserve">her conduct was unlawful. The termination of any action, suit or proceeding by judgment, order, settlement, conviction or upon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187" w:lineRule="exact"/>
        <w:rPr>
          <w:sz w:val="20"/>
          <w:szCs w:val="20"/>
          <w:color w:val="auto"/>
        </w:rPr>
      </w:pPr>
    </w:p>
    <w:p>
      <w:pPr>
        <w:ind w:firstLine="656"/>
        <w:spacing w:after="0" w:line="287" w:lineRule="auto"/>
        <w:tabs>
          <w:tab w:leader="none" w:pos="1368"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Actions or Suits by or in the Right of the Corporation</w:t>
      </w:r>
      <w:r>
        <w:rPr>
          <w:rFonts w:ascii="Arial" w:cs="Arial" w:eastAsia="Arial" w:hAnsi="Arial"/>
          <w:sz w:val="16"/>
          <w:szCs w:val="16"/>
          <w:color w:val="auto"/>
        </w:rPr>
        <w:t>.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w:t>
      </w:r>
    </w:p>
    <w:p>
      <w:pPr>
        <w:spacing w:after="0" w:line="168" w:lineRule="exact"/>
        <w:rPr>
          <w:rFonts w:ascii="Arial" w:cs="Arial" w:eastAsia="Arial" w:hAnsi="Arial"/>
          <w:sz w:val="16"/>
          <w:szCs w:val="16"/>
          <w:color w:val="auto"/>
        </w:rPr>
      </w:pPr>
    </w:p>
    <w:p>
      <w:pPr>
        <w:ind w:right="300" w:firstLine="656"/>
        <w:spacing w:after="0" w:line="274" w:lineRule="auto"/>
        <w:tabs>
          <w:tab w:leader="none" w:pos="1368"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Successful Party</w:t>
      </w:r>
      <w:r>
        <w:rPr>
          <w:rFonts w:ascii="Arial" w:cs="Arial" w:eastAsia="Arial" w:hAnsi="Arial"/>
          <w:sz w:val="17"/>
          <w:szCs w:val="17"/>
          <w:color w:val="auto"/>
        </w:rPr>
        <w:t>. Notwithstanding any other provisions of this Article EIGHTH, to the extent that an Indemnitee has been successful, on the merits or otherwise, in defense of any action, suit or proceeding referred to in Sections 1 and 2 of this</w:t>
      </w:r>
    </w:p>
    <w:p>
      <w:pPr>
        <w:ind w:right="20"/>
        <w:spacing w:after="0" w:line="288" w:lineRule="auto"/>
        <w:rPr>
          <w:rFonts w:ascii="Arial" w:cs="Arial" w:eastAsia="Arial" w:hAnsi="Arial"/>
          <w:sz w:val="17"/>
          <w:szCs w:val="17"/>
          <w:color w:val="auto"/>
        </w:rPr>
      </w:pPr>
      <w:r>
        <w:rPr>
          <w:rFonts w:ascii="Arial" w:cs="Arial" w:eastAsia="Arial" w:hAnsi="Arial"/>
          <w:sz w:val="16"/>
          <w:szCs w:val="16"/>
          <w:color w:val="auto"/>
        </w:rPr>
        <w:t xml:space="preserve">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by Indemnitee, (iv) an adjudication that Indemnitee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p>
    <w:p>
      <w:pPr>
        <w:spacing w:after="0" w:line="168" w:lineRule="exact"/>
        <w:rPr>
          <w:rFonts w:ascii="Arial" w:cs="Arial" w:eastAsia="Arial" w:hAnsi="Arial"/>
          <w:sz w:val="17"/>
          <w:szCs w:val="17"/>
          <w:color w:val="auto"/>
        </w:rPr>
      </w:pPr>
    </w:p>
    <w:p>
      <w:pPr>
        <w:jc w:val="both"/>
        <w:ind w:right="60" w:firstLine="656"/>
        <w:spacing w:after="0" w:line="259" w:lineRule="auto"/>
        <w:tabs>
          <w:tab w:leader="none" w:pos="1368"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Claim</w:t>
      </w:r>
      <w:r>
        <w:rPr>
          <w:rFonts w:ascii="Arial" w:cs="Arial" w:eastAsia="Arial" w:hAnsi="Arial"/>
          <w:sz w:val="18"/>
          <w:szCs w:val="18"/>
          <w:color w:val="auto"/>
        </w:rPr>
        <w:t>. 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350" w:name="page351"/>
    <w:bookmarkEnd w:id="350"/>
    <w:p>
      <w:pPr>
        <w:spacing w:after="0" w:line="268" w:lineRule="auto"/>
        <w:rPr>
          <w:sz w:val="20"/>
          <w:szCs w:val="20"/>
          <w:color w:val="auto"/>
        </w:rPr>
      </w:pPr>
      <w:r>
        <w:rPr>
          <w:rFonts w:ascii="Arial" w:cs="Arial" w:eastAsia="Arial" w:hAnsi="Arial"/>
          <w:sz w:val="17"/>
          <w:szCs w:val="17"/>
          <w:color w:val="auto"/>
        </w:rPr>
        <w:t>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above. The Corporation shall not be required to indemnify Indemnitee under this 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83" w:lineRule="exact"/>
        <w:rPr>
          <w:sz w:val="20"/>
          <w:szCs w:val="20"/>
          <w:color w:val="auto"/>
        </w:rPr>
      </w:pPr>
    </w:p>
    <w:p>
      <w:pPr>
        <w:ind w:right="80" w:firstLine="656"/>
        <w:spacing w:after="0" w:line="253" w:lineRule="auto"/>
        <w:tabs>
          <w:tab w:leader="none" w:pos="1368"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Subject to the provisions of Section 6 of this Article EIGHTH, in the event of any threatened or pending action, suit, proceeding or investigation of which the Corporation receives notice under this Article EIGHTH, any expenses (including attorneys’ fees) incurred by or on behalf of Indemnitee in defending an action, suit, proceeding or investigation or any appeal therefrom shall be paid by the Corporation in advance of the final disposition of such matter;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EIGHTH;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advancement of expenses shall be made under this Article EIGHTH if it is determined (in the manner described in Section 6) that (i) Indemnitee did not act in good faith and in a manner he or she reasonably believed to be in, or not opposed to, the best interests of the Corporation, or (ii) with respect to any criminal action or proceeding, Indemnitee had reasonable cause to believe his or her conduct was unlawful. Such undertaking shall be accepted without reference to the financial ability of Indemnitee to make such repayment.</w:t>
      </w:r>
    </w:p>
    <w:p>
      <w:pPr>
        <w:spacing w:after="0" w:line="192" w:lineRule="exact"/>
        <w:rPr>
          <w:rFonts w:ascii="Arial" w:cs="Arial" w:eastAsia="Arial" w:hAnsi="Arial"/>
          <w:sz w:val="18"/>
          <w:szCs w:val="18"/>
          <w:color w:val="auto"/>
        </w:rPr>
      </w:pPr>
    </w:p>
    <w:p>
      <w:pPr>
        <w:ind w:right="80" w:firstLine="656"/>
        <w:spacing w:after="0" w:line="264" w:lineRule="auto"/>
        <w:tabs>
          <w:tab w:leader="none" w:pos="1368"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Procedure for Indemnification and Advancement of Expenses</w:t>
      </w:r>
      <w:r>
        <w:rPr>
          <w:rFonts w:ascii="Arial" w:cs="Arial" w:eastAsia="Arial" w:hAnsi="Arial"/>
          <w:sz w:val="18"/>
          <w:szCs w:val="18"/>
          <w:color w:val="auto"/>
        </w:rPr>
        <w:t>. In order to obtain indemnification or advancement of expenses pursuant to Section 1, 2, 3 or 5 of this Article EIGHTH, an Indemnitee shall submit to the Corporation a written request. Any such advancement of expenses shall be made promptly, and in any event within 60 days after receipt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1" w:name="page352"/>
    <w:bookmarkEnd w:id="351"/>
    <w:p>
      <w:pPr>
        <w:ind w:right="40"/>
        <w:spacing w:after="0" w:line="269" w:lineRule="auto"/>
        <w:rPr>
          <w:sz w:val="20"/>
          <w:szCs w:val="20"/>
          <w:color w:val="auto"/>
        </w:rPr>
      </w:pPr>
      <w:r>
        <w:rPr>
          <w:rFonts w:ascii="Arial" w:cs="Arial" w:eastAsia="Arial" w:hAnsi="Arial"/>
          <w:sz w:val="17"/>
          <w:szCs w:val="17"/>
          <w:color w:val="auto"/>
        </w:rPr>
        <w:t>by the Corporation of the written request of Indemnitee, unless (i) the Corporation has assumed the defense pursuant to Section 4 of this Article EIGHTH (and none of the circumstances described in Section 4 of this Article EIGHTH that would nonetheless entitle the Indemnitee to indemnification for the fees and expenses of separate counsel have occurred) or (ii) the Corporation determines within such 60-day period that Indemnitee did not meet the applicable standard of conduct set forth in Section 1, 2 or 5 of this Article EIGHTH, as the case may be. Any such indemnification, unless ordered by a court, shall be made with respect to requests under Section 1 or 2 of this Article EIGHTH only as authorized in the specific case upon a determination by the Corporation that the indemnification of Indemnitee is proper because Indemnitee has met the applicable standard of conduct set forth in Section 1 or 2, as the case may be. Such determination shall be made in each instance (a) by a majority vote of the directors of the Corporation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183" w:lineRule="exact"/>
        <w:rPr>
          <w:sz w:val="20"/>
          <w:szCs w:val="20"/>
          <w:color w:val="auto"/>
        </w:rPr>
      </w:pPr>
    </w:p>
    <w:p>
      <w:pPr>
        <w:ind w:right="40" w:firstLine="656"/>
        <w:spacing w:after="0" w:line="269" w:lineRule="auto"/>
        <w:tabs>
          <w:tab w:leader="none" w:pos="1368"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Subject to Article TWELFTH, the right to indemnification or advancement of expenses as granted by this Article EIGHTH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 any suit brought by Indemnitee to enforce a right to indemnification or advancement of expenses, or brought by the Corporation to recover an advancement of expenses pursuant to the terms of an undertaking, the Corporation shall have the burden of proving that Indemnitee is not entitled to be indemnified, or to such advancement of expenses, under this Article EIGHTH. Indemnitee’s expenses (including attorneys’ fees) reasonably incurred in connection with successfully establishing Indemnitee’s right to indemnification or advancement of expenses, in whole or in part, in any such proceeding shall also be indemnified by the Corporation to the fullest extent permitted by applicable law. Notwithstanding the foregoing, in any suit brought by Indemnitee to enforce a right to indemnification or advancement of expenses hereunder it shall be a defense that the Indemnitee has not met any applicable standard for indemnification set forth in the General Corporation Law of the State of Delaware.</w:t>
      </w:r>
    </w:p>
    <w:p>
      <w:pPr>
        <w:spacing w:after="0" w:line="179" w:lineRule="exact"/>
        <w:rPr>
          <w:rFonts w:ascii="Arial" w:cs="Arial" w:eastAsia="Arial" w:hAnsi="Arial"/>
          <w:sz w:val="17"/>
          <w:szCs w:val="17"/>
          <w:color w:val="auto"/>
        </w:rPr>
      </w:pPr>
    </w:p>
    <w:p>
      <w:pPr>
        <w:ind w:right="20" w:firstLine="656"/>
        <w:spacing w:after="0" w:line="288" w:lineRule="auto"/>
        <w:tabs>
          <w:tab w:leader="none" w:pos="1368"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Notwithstanding anything to the contrary in this Article EIGHTH, except as set forth in Section 7 of this Article EIGHTH, the Corporation shall not indemnify, or advance expenses to, an Indemnitee pursuant to this Article EIGHTH in connection with a proceeding (or part thereof) initiated by such Indemnitee unless the initiation thereof was approved by the Board of Directors. Notwithstanding anything to the contrary in this</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Article EIGHTH, the Corporation shall not indemnify or advance expenses to an Indemnitee to the extent such Indemnitee is reimbursed from the proceeds of insurance, and in the event the Corporation makes any indemnification or advancement payments to an Indemnitee and such Indemnitee is subsequently reimbursed from the proceeds of insurance, such Indemnitee shall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promptly refund indemnification or advancement payments to the Corporation to the extent of such insurance reimbursement.</w:t>
      </w:r>
    </w:p>
    <w:p>
      <w:pPr>
        <w:spacing w:after="0" w:line="225" w:lineRule="exact"/>
        <w:rPr>
          <w:sz w:val="20"/>
          <w:szCs w:val="20"/>
          <w:color w:val="auto"/>
        </w:rPr>
      </w:pPr>
    </w:p>
    <w:p>
      <w:pPr>
        <w:ind w:right="80" w:firstLine="656"/>
        <w:spacing w:after="0" w:line="279" w:lineRule="auto"/>
        <w:tabs>
          <w:tab w:leader="none" w:pos="1368"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Subsequent Amendment</w:t>
      </w:r>
      <w:r>
        <w:rPr>
          <w:rFonts w:ascii="Arial" w:cs="Arial" w:eastAsia="Arial" w:hAnsi="Arial"/>
          <w:sz w:val="17"/>
          <w:szCs w:val="17"/>
          <w:color w:val="auto"/>
        </w:rPr>
        <w:t>. No amendment, termination or repeal of this Article EIGHTH or of the relevant provisions of the General Corporation Law of the State of Delaware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171" w:lineRule="exact"/>
        <w:rPr>
          <w:rFonts w:ascii="Arial" w:cs="Arial" w:eastAsia="Arial" w:hAnsi="Arial"/>
          <w:sz w:val="17"/>
          <w:szCs w:val="17"/>
          <w:color w:val="auto"/>
        </w:rPr>
      </w:pPr>
    </w:p>
    <w:p>
      <w:pPr>
        <w:ind w:firstLine="656"/>
        <w:spacing w:after="0" w:line="270" w:lineRule="auto"/>
        <w:tabs>
          <w:tab w:leader="none" w:pos="1323"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Other Rights</w:t>
      </w:r>
      <w:r>
        <w:rPr>
          <w:rFonts w:ascii="Arial" w:cs="Arial" w:eastAsia="Arial" w:hAnsi="Arial"/>
          <w:sz w:val="17"/>
          <w:szCs w:val="17"/>
          <w:color w:val="auto"/>
        </w:rPr>
        <w:t>.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EIGHTH shall be deemed to prohibit, and the Corporation is specifically authorized to enter into, agreements with officers and directors providing indemnification and advancement rights and procedures different from those set forth in this Article EIGHTH. In addition, the Corporation may, to the extent authorized from time to time by its Board of Directors, grant indemnification and advancement rights to other employees or agents of the Corporation or other persons serving the Corporation and such rights may be equivalent to, or greater or less than, those set forth in this Article EIGHTH.</w:t>
      </w:r>
    </w:p>
    <w:p>
      <w:pPr>
        <w:spacing w:after="0" w:line="181" w:lineRule="exact"/>
        <w:rPr>
          <w:rFonts w:ascii="Arial" w:cs="Arial" w:eastAsia="Arial" w:hAnsi="Arial"/>
          <w:sz w:val="17"/>
          <w:szCs w:val="17"/>
          <w:color w:val="auto"/>
        </w:rPr>
      </w:pPr>
    </w:p>
    <w:p>
      <w:pPr>
        <w:ind w:right="20" w:firstLine="656"/>
        <w:spacing w:after="0" w:line="293" w:lineRule="auto"/>
        <w:tabs>
          <w:tab w:leader="none" w:pos="1317"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Partial Indemnification</w:t>
      </w:r>
      <w:r>
        <w:rPr>
          <w:rFonts w:ascii="Arial" w:cs="Arial" w:eastAsia="Arial" w:hAnsi="Arial"/>
          <w:sz w:val="16"/>
          <w:szCs w:val="16"/>
          <w:color w:val="auto"/>
        </w:rPr>
        <w:t>. If an Indemnitee is entitled under any provision of this Article EIGHTH to indemnification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spacing w:after="0" w:line="164" w:lineRule="exact"/>
        <w:rPr>
          <w:rFonts w:ascii="Arial" w:cs="Arial" w:eastAsia="Arial" w:hAnsi="Arial"/>
          <w:sz w:val="16"/>
          <w:szCs w:val="16"/>
          <w:color w:val="auto"/>
        </w:rPr>
      </w:pPr>
    </w:p>
    <w:p>
      <w:pPr>
        <w:ind w:right="40" w:firstLine="656"/>
        <w:spacing w:after="0" w:line="279" w:lineRule="auto"/>
        <w:tabs>
          <w:tab w:leader="none" w:pos="1323"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 of the State of Delaware.</w:t>
      </w:r>
    </w:p>
    <w:p>
      <w:pPr>
        <w:spacing w:after="0" w:line="171" w:lineRule="exact"/>
        <w:rPr>
          <w:rFonts w:ascii="Arial" w:cs="Arial" w:eastAsia="Arial" w:hAnsi="Arial"/>
          <w:sz w:val="17"/>
          <w:szCs w:val="17"/>
          <w:color w:val="auto"/>
        </w:rPr>
      </w:pPr>
    </w:p>
    <w:p>
      <w:pPr>
        <w:ind w:right="220" w:firstLine="656"/>
        <w:spacing w:after="0" w:line="277" w:lineRule="auto"/>
        <w:tabs>
          <w:tab w:leader="none" w:pos="1323"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Savings Clause</w:t>
      </w:r>
      <w:r>
        <w:rPr>
          <w:rFonts w:ascii="Arial" w:cs="Arial" w:eastAsia="Arial" w:hAnsi="Arial"/>
          <w:sz w:val="18"/>
          <w:szCs w:val="18"/>
          <w:color w:val="auto"/>
        </w:rPr>
        <w:t>. If this Article EIGHTH or any portion hereof shall be invalidated on any ground by any court of competent jurisdiction, then the Corporation shall nevertheless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2" w:name="page353"/>
    <w:bookmarkEnd w:id="352"/>
    <w:p>
      <w:pPr>
        <w:spacing w:after="0" w:line="279" w:lineRule="auto"/>
        <w:rPr>
          <w:sz w:val="20"/>
          <w:szCs w:val="20"/>
          <w:color w:val="auto"/>
        </w:rPr>
      </w:pPr>
      <w:r>
        <w:rPr>
          <w:rFonts w:ascii="Arial" w:cs="Arial" w:eastAsia="Arial" w:hAnsi="Arial"/>
          <w:sz w:val="17"/>
          <w:szCs w:val="17"/>
          <w:color w:val="auto"/>
        </w:rPr>
        <w:t>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w:t>
      </w:r>
    </w:p>
    <w:p>
      <w:pPr>
        <w:spacing w:after="0" w:line="171" w:lineRule="exact"/>
        <w:rPr>
          <w:sz w:val="20"/>
          <w:szCs w:val="20"/>
          <w:color w:val="auto"/>
        </w:rPr>
      </w:pPr>
    </w:p>
    <w:p>
      <w:pPr>
        <w:ind w:right="120" w:firstLine="656"/>
        <w:spacing w:after="0" w:line="277" w:lineRule="auto"/>
        <w:tabs>
          <w:tab w:leader="none" w:pos="132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Terms used herein and defined in Section 145(h) and Section 145(i) of the General Corporation Law of the State of Delaware shall have the respective meanings assigned to such terms in such Section 145(h) and Section 145(i).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NINTH: This Article NINTH is inserted for the management of the business and for the conduct of the affairs of the Corporation.</w:t>
      </w:r>
    </w:p>
    <w:p>
      <w:pPr>
        <w:spacing w:after="0" w:line="225" w:lineRule="exact"/>
        <w:rPr>
          <w:sz w:val="20"/>
          <w:szCs w:val="20"/>
          <w:color w:val="auto"/>
        </w:rPr>
      </w:pPr>
    </w:p>
    <w:p>
      <w:pPr>
        <w:ind w:left="1380" w:hanging="724"/>
        <w:spacing w:after="0"/>
        <w:tabs>
          <w:tab w:leader="none" w:pos="138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by or under the direction of the Board of Directors.</w:t>
      </w:r>
    </w:p>
    <w:p>
      <w:pPr>
        <w:spacing w:after="0" w:line="236" w:lineRule="exact"/>
        <w:rPr>
          <w:rFonts w:ascii="Arial" w:cs="Arial" w:eastAsia="Arial" w:hAnsi="Arial"/>
          <w:sz w:val="17"/>
          <w:szCs w:val="17"/>
          <w:color w:val="auto"/>
        </w:rPr>
      </w:pPr>
    </w:p>
    <w:p>
      <w:pPr>
        <w:jc w:val="both"/>
        <w:ind w:right="100" w:firstLine="656"/>
        <w:spacing w:after="0" w:line="264" w:lineRule="auto"/>
        <w:tabs>
          <w:tab w:leader="none" w:pos="1368"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Number of Directors; Election of Directors</w:t>
      </w:r>
      <w:r>
        <w:rPr>
          <w:rFonts w:ascii="Arial" w:cs="Arial" w:eastAsia="Arial" w:hAnsi="Arial"/>
          <w:sz w:val="18"/>
          <w:szCs w:val="18"/>
          <w:color w:val="auto"/>
        </w:rPr>
        <w:t>.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w:t>
      </w:r>
    </w:p>
    <w:p>
      <w:pPr>
        <w:spacing w:after="0" w:line="181" w:lineRule="exact"/>
        <w:rPr>
          <w:rFonts w:ascii="Arial" w:cs="Arial" w:eastAsia="Arial" w:hAnsi="Arial"/>
          <w:sz w:val="18"/>
          <w:szCs w:val="18"/>
          <w:color w:val="auto"/>
        </w:rPr>
      </w:pPr>
    </w:p>
    <w:p>
      <w:pPr>
        <w:jc w:val="both"/>
        <w:ind w:right="80" w:firstLine="656"/>
        <w:spacing w:after="0" w:line="259" w:lineRule="auto"/>
        <w:tabs>
          <w:tab w:leader="none" w:pos="1368"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rights of holders of any series of Preferred Stock to elect directors, the Board of Directors shall be and is divided into three classes, designated Class I, Class II and Class III. Each class shall consist, as nearly as may be possible, of one-third of the total number of directors constituting the entire Board of Directors. The Board of Directors is authorized to assign members of the Board of Directors already in office to Class I, Class II or Class III at the time such classification becomes effective.</w:t>
      </w:r>
    </w:p>
    <w:p>
      <w:pPr>
        <w:spacing w:after="0" w:line="186" w:lineRule="exact"/>
        <w:rPr>
          <w:rFonts w:ascii="Arial" w:cs="Arial" w:eastAsia="Arial" w:hAnsi="Arial"/>
          <w:sz w:val="18"/>
          <w:szCs w:val="18"/>
          <w:color w:val="auto"/>
        </w:rPr>
      </w:pPr>
    </w:p>
    <w:p>
      <w:pPr>
        <w:ind w:firstLine="656"/>
        <w:spacing w:after="0" w:line="254" w:lineRule="auto"/>
        <w:tabs>
          <w:tab w:leader="none" w:pos="1368"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Terms of Office</w:t>
      </w:r>
      <w:r>
        <w:rPr>
          <w:rFonts w:ascii="Arial" w:cs="Arial" w:eastAsia="Arial" w:hAnsi="Arial"/>
          <w:sz w:val="18"/>
          <w:szCs w:val="18"/>
          <w:color w:val="auto"/>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director initially assigned to Class I shall serve for a term expiring at the Corporation’s first annual meeting of stockholders held after the effectiveness of this Restated Certificate of Incorporation; each director initially assigned to Class II shall serve for a term expiring at the Corporation’s second annual meeting of stockholders held after the effectiveness of this Restated Certificate of Incorporation; and each director initially assigned to Class III shall serve for a term expiring at the Corporation’s third annual meeting of stockholders held after the effectiveness of this Restated Certificate of Incorporation;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term of each director shall continue until the election and qualification of his or her successor and be subject to his or her earlier death, resignation or removal.</w:t>
      </w:r>
    </w:p>
    <w:p>
      <w:pPr>
        <w:spacing w:after="0" w:line="192" w:lineRule="exact"/>
        <w:rPr>
          <w:rFonts w:ascii="Arial" w:cs="Arial" w:eastAsia="Arial" w:hAnsi="Arial"/>
          <w:sz w:val="18"/>
          <w:szCs w:val="18"/>
          <w:color w:val="auto"/>
        </w:rPr>
      </w:pPr>
    </w:p>
    <w:p>
      <w:pPr>
        <w:ind w:right="100" w:firstLine="656"/>
        <w:spacing w:after="0" w:line="264" w:lineRule="auto"/>
        <w:tabs>
          <w:tab w:leader="none" w:pos="1368"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fixed pursuant to Section 2 of this Article NINTH shall constitute a quorum of the Board of Directors. If at any meeting of the Board of Directors there shall be less than such a quorum, a majority of the directors present may adjourn the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t>from time to time without further notice other than announcement at the meeting, until a quorum shall be present.</w:t>
      </w:r>
    </w:p>
    <w:p>
      <w:pPr>
        <w:spacing w:after="0" w:line="225" w:lineRule="exact"/>
        <w:rPr>
          <w:sz w:val="20"/>
          <w:szCs w:val="20"/>
          <w:color w:val="auto"/>
        </w:rPr>
      </w:pPr>
    </w:p>
    <w:p>
      <w:pPr>
        <w:ind w:right="120" w:firstLine="656"/>
        <w:spacing w:after="0" w:line="342" w:lineRule="auto"/>
        <w:tabs>
          <w:tab w:leader="none" w:pos="1368"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Action at Meeting</w:t>
      </w:r>
      <w:r>
        <w:rPr>
          <w:rFonts w:ascii="Arial" w:cs="Arial" w:eastAsia="Arial" w:hAnsi="Arial"/>
          <w:sz w:val="16"/>
          <w:szCs w:val="16"/>
          <w:color w:val="auto"/>
        </w:rPr>
        <w:t>.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spacing w:after="0" w:line="123" w:lineRule="exact"/>
        <w:rPr>
          <w:rFonts w:ascii="Arial" w:cs="Arial" w:eastAsia="Arial" w:hAnsi="Arial"/>
          <w:sz w:val="16"/>
          <w:szCs w:val="16"/>
          <w:color w:val="auto"/>
        </w:rPr>
      </w:pPr>
    </w:p>
    <w:p>
      <w:pPr>
        <w:ind w:firstLine="656"/>
        <w:spacing w:after="0" w:line="264" w:lineRule="auto"/>
        <w:tabs>
          <w:tab w:leader="none" w:pos="1368"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directors of the Corporation may be removed only for cause and only by the affirmative vote of the holders of at least seventy-five percent (75%) of the votes that all the stockholders would be entitled to cast in an election of directors or class of directors.</w:t>
      </w:r>
    </w:p>
    <w:p>
      <w:pPr>
        <w:spacing w:after="0" w:line="181" w:lineRule="exact"/>
        <w:rPr>
          <w:rFonts w:ascii="Arial" w:cs="Arial" w:eastAsia="Arial" w:hAnsi="Arial"/>
          <w:sz w:val="18"/>
          <w:szCs w:val="18"/>
          <w:color w:val="auto"/>
        </w:rPr>
      </w:pPr>
    </w:p>
    <w:p>
      <w:pPr>
        <w:ind w:right="140" w:firstLine="656"/>
        <w:spacing w:after="0" w:line="257" w:lineRule="auto"/>
        <w:tabs>
          <w:tab w:leader="none" w:pos="1368"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Subject to the rights of holders of any series of Preferred Stock, any vacancies or newly-created directorships on the Board of Directors, however occurring, shall be filled only by vote of a majority of the directors then in office, although less than a quorum, or by a sole remaining director and shall not be filled by the stockholders. A director elected to fill a vacancy or to fill a position resulting from a newly-created directorship shall hold office until the next election of the class for which such director shall have been chosen, subject to the election and qualification of a successor and to such director’s earlier death, resignation or removal.</w:t>
      </w:r>
    </w:p>
    <w:p>
      <w:pPr>
        <w:spacing w:after="0" w:line="188" w:lineRule="exact"/>
        <w:rPr>
          <w:rFonts w:ascii="Arial" w:cs="Arial" w:eastAsia="Arial" w:hAnsi="Arial"/>
          <w:sz w:val="18"/>
          <w:szCs w:val="18"/>
          <w:color w:val="auto"/>
        </w:rPr>
      </w:pPr>
    </w:p>
    <w:p>
      <w:pPr>
        <w:ind w:firstLine="656"/>
        <w:spacing w:after="0" w:line="308" w:lineRule="auto"/>
        <w:tabs>
          <w:tab w:leader="none" w:pos="1368"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Stockholder Nominations and Introduction of Business, Etc</w:t>
      </w:r>
      <w:r>
        <w:rPr>
          <w:rFonts w:ascii="Arial" w:cs="Arial" w:eastAsia="Arial" w:hAnsi="Arial"/>
          <w:sz w:val="17"/>
          <w:szCs w:val="17"/>
          <w:color w:val="auto"/>
        </w:rPr>
        <w:t>. Advance notice of stockholder nominations for election of directors and other business to be brought by stockholders before a meeting of stockholders shall be given in the manner provided by the Bylaws of the Corporation.</w:t>
      </w:r>
    </w:p>
    <w:p>
      <w:pPr>
        <w:spacing w:after="0" w:line="146" w:lineRule="exact"/>
        <w:rPr>
          <w:rFonts w:ascii="Arial" w:cs="Arial" w:eastAsia="Arial" w:hAnsi="Arial"/>
          <w:sz w:val="17"/>
          <w:szCs w:val="17"/>
          <w:color w:val="auto"/>
        </w:rPr>
      </w:pPr>
    </w:p>
    <w:p>
      <w:pPr>
        <w:ind w:right="100" w:firstLine="656"/>
        <w:spacing w:after="0" w:line="259" w:lineRule="auto"/>
        <w:tabs>
          <w:tab w:leader="none" w:pos="1323"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Amendments to Article</w:t>
      </w:r>
      <w:r>
        <w:rPr>
          <w:rFonts w:ascii="Arial" w:cs="Arial" w:eastAsia="Arial" w:hAnsi="Arial"/>
          <w:sz w:val="18"/>
          <w:szCs w:val="18"/>
          <w:color w:val="auto"/>
        </w:rPr>
        <w:t>.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NINTH.</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TENTH: Stockholders of the Corporation may not take any action by written consent in lieu of a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TENTH.</w:t>
      </w:r>
    </w:p>
    <w:p>
      <w:pPr>
        <w:spacing w:after="0" w:line="17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ELEVENTH: Special meetings of stockholders for any purpose or purposes may be called at any time only by the Board of Directors, and may not be called by any other person or persons. Business transacted at any special meeting of stockholders shall be limited to matters relating to the purpose or purposes stated in the notice of meeting. Notwithstanding any other provisions of law, this Certificate of Incorporation or the Bylaws of the Corporation,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4" w:name="page355"/>
    <w:bookmarkEnd w:id="354"/>
    <w:p>
      <w:pPr>
        <w:ind w:right="240"/>
        <w:spacing w:after="0" w:line="264" w:lineRule="auto"/>
        <w:rPr>
          <w:sz w:val="20"/>
          <w:szCs w:val="20"/>
          <w:color w:val="auto"/>
        </w:rPr>
      </w:pPr>
      <w:r>
        <w:rPr>
          <w:rFonts w:ascii="Arial" w:cs="Arial" w:eastAsia="Arial" w:hAnsi="Arial"/>
          <w:sz w:val="18"/>
          <w:szCs w:val="18"/>
          <w:color w:val="auto"/>
        </w:rPr>
        <w:t>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ELEVENTH.</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TWELFTH: Unless the Corporation consents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officer, other employee or stockholder of the Corporation to the Corporation or the Corporation’s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this Certificate of Incorporation or the Bylaws of the Corporation (in each case, as they may be amended from time to time) or governed by the internal affairs doctrine; provided that this sentence shall not apply to suits brought to enforce any duty or liability created by the Securities Act of 1933 or the rules and regulations thereunder or the Securities Exchange Act of 1934 or the rules and regulations thereunder or any claim for which the federal courts have exclusive jurisdiction.</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shares of capital stock of the Corporation shall be deemed to have notice of and consented to the provisions of this Article TWELFTH.</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55" w:name="page356"/>
    <w:bookmarkEnd w:id="355"/>
    <w:p>
      <w:pPr>
        <w:ind w:right="260" w:firstLine="648"/>
        <w:spacing w:after="0" w:line="291" w:lineRule="auto"/>
        <w:rPr>
          <w:sz w:val="20"/>
          <w:szCs w:val="20"/>
          <w:color w:val="auto"/>
        </w:rPr>
      </w:pPr>
      <w:r>
        <w:rPr>
          <w:rFonts w:ascii="Arial" w:cs="Arial" w:eastAsia="Arial" w:hAnsi="Arial"/>
          <w:sz w:val="16"/>
          <w:szCs w:val="16"/>
          <w:color w:val="auto"/>
        </w:rPr>
        <w:t>IN WITNESS WHEREOF, this Restated Certificate of Incorporation, which restates, integrates and amends the certificate of incorporation of the Corporation, and which has been duly adopted in accordance with Sections 228, 242 and 245 of the General Corporation Law of the State of Delaware, has</w:t>
      </w: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w w:val="99"/>
              </w:rPr>
              <w:t>been executed by its duly authorized officer this    day of</w:t>
            </w:r>
          </w:p>
        </w:tc>
        <w:tc>
          <w:tcPr>
            <w:tcW w:w="1800" w:type="dxa"/>
            <w:vAlign w:val="bottom"/>
          </w:tcPr>
          <w:p>
            <w:pPr>
              <w:jc w:val="right"/>
              <w:ind w:right="970"/>
              <w:spacing w:after="0"/>
              <w:rPr>
                <w:sz w:val="20"/>
                <w:szCs w:val="20"/>
                <w:color w:val="auto"/>
              </w:rPr>
            </w:pPr>
            <w:r>
              <w:rPr>
                <w:rFonts w:ascii="Arial" w:cs="Arial" w:eastAsia="Arial" w:hAnsi="Arial"/>
                <w:sz w:val="18"/>
                <w:szCs w:val="18"/>
                <w:color w:val="auto"/>
              </w:rPr>
              <w:t>, 2019.</w:t>
            </w: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4480" w:type="dxa"/>
            <w:vAlign w:val="bottom"/>
          </w:tcPr>
          <w:p>
            <w:pPr>
              <w:spacing w:after="0"/>
              <w:rPr>
                <w:sz w:val="24"/>
                <w:szCs w:val="24"/>
                <w:color w:val="auto"/>
              </w:rPr>
            </w:pPr>
          </w:p>
        </w:tc>
        <w:tc>
          <w:tcPr>
            <w:tcW w:w="6940" w:type="dxa"/>
            <w:vAlign w:val="bottom"/>
            <w:gridSpan w:val="2"/>
          </w:tcPr>
          <w:p>
            <w:pPr>
              <w:ind w:left="1240"/>
              <w:spacing w:after="0"/>
              <w:rPr>
                <w:sz w:val="20"/>
                <w:szCs w:val="20"/>
                <w:color w:val="auto"/>
              </w:rPr>
            </w:pPr>
            <w:r>
              <w:rPr>
                <w:rFonts w:ascii="Arial" w:cs="Arial" w:eastAsia="Arial" w:hAnsi="Arial"/>
                <w:sz w:val="18"/>
                <w:szCs w:val="18"/>
                <w:color w:val="auto"/>
              </w:rPr>
              <w:t>FULCRUM THERAPEUTICS, INC.</w:t>
            </w:r>
          </w:p>
        </w:tc>
        <w:tc>
          <w:tcPr>
            <w:tcW w:w="40" w:type="dxa"/>
            <w:vAlign w:val="bottom"/>
          </w:tcPr>
          <w:p>
            <w:pPr>
              <w:spacing w:after="0"/>
              <w:rPr>
                <w:sz w:val="24"/>
                <w:szCs w:val="24"/>
                <w:color w:val="auto"/>
              </w:rPr>
            </w:pPr>
          </w:p>
        </w:tc>
      </w:tr>
      <w:tr>
        <w:trPr>
          <w:trHeight w:val="432"/>
        </w:trPr>
        <w:tc>
          <w:tcPr>
            <w:tcW w:w="4480" w:type="dxa"/>
            <w:vAlign w:val="bottom"/>
          </w:tcPr>
          <w:p>
            <w:pPr>
              <w:spacing w:after="0"/>
              <w:rPr>
                <w:sz w:val="24"/>
                <w:szCs w:val="24"/>
                <w:color w:val="auto"/>
              </w:rPr>
            </w:pPr>
          </w:p>
        </w:tc>
        <w:tc>
          <w:tcPr>
            <w:tcW w:w="6940" w:type="dxa"/>
            <w:vAlign w:val="bottom"/>
            <w:gridSpan w:val="2"/>
          </w:tcPr>
          <w:p>
            <w:pPr>
              <w:ind w:left="12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195"/>
        </w:trPr>
        <w:tc>
          <w:tcPr>
            <w:tcW w:w="4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J. Gould</w:t>
            </w:r>
          </w:p>
        </w:tc>
        <w:tc>
          <w:tcPr>
            <w:tcW w:w="40" w:type="dxa"/>
            <w:vAlign w:val="bottom"/>
          </w:tcPr>
          <w:p>
            <w:pPr>
              <w:spacing w:after="0"/>
              <w:rPr>
                <w:sz w:val="16"/>
                <w:szCs w:val="16"/>
                <w:color w:val="auto"/>
              </w:rPr>
            </w:pPr>
          </w:p>
        </w:tc>
      </w:tr>
      <w:tr>
        <w:trPr>
          <w:trHeight w:val="230"/>
        </w:trPr>
        <w:tc>
          <w:tcPr>
            <w:tcW w:w="4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c>
          <w:tcPr>
            <w:tcW w:w="40" w:type="dxa"/>
            <w:vAlign w:val="bottom"/>
          </w:tcPr>
          <w:p>
            <w:pPr>
              <w:spacing w:after="0"/>
              <w:rPr>
                <w:sz w:val="20"/>
                <w:szCs w:val="20"/>
                <w:color w:val="auto"/>
              </w:rPr>
            </w:pPr>
          </w:p>
        </w:tc>
      </w:tr>
      <w:tr>
        <w:trPr>
          <w:trHeight w:val="432"/>
        </w:trPr>
        <w:tc>
          <w:tcPr>
            <w:tcW w:w="4480" w:type="dxa"/>
            <w:vAlign w:val="bottom"/>
          </w:tcPr>
          <w:p>
            <w:pPr>
              <w:spacing w:after="0"/>
              <w:rPr>
                <w:sz w:val="24"/>
                <w:szCs w:val="24"/>
                <w:color w:val="auto"/>
              </w:rPr>
            </w:pP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48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color w:val="auto"/>
        </w:rPr>
        <w:t>Exhibit 3.4</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AMENDED AND RESTATED BYLAWS</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FULCRUM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9400" w:type="dxa"/>
            <w:vAlign w:val="bottom"/>
          </w:tcPr>
          <w:p>
            <w:pPr>
              <w:ind w:left="3620"/>
              <w:spacing w:after="0"/>
              <w:rPr>
                <w:sz w:val="20"/>
                <w:szCs w:val="20"/>
                <w:color w:val="auto"/>
              </w:rPr>
            </w:pPr>
            <w:r>
              <w:rPr>
                <w:rFonts w:ascii="Arial" w:cs="Arial" w:eastAsia="Arial" w:hAnsi="Arial"/>
                <w:sz w:val="18"/>
                <w:szCs w:val="18"/>
                <w:color w:val="auto"/>
              </w:rPr>
              <w:t>TABLE OF CONTENTS</w:t>
            </w:r>
          </w:p>
        </w:tc>
        <w:tc>
          <w:tcPr>
            <w:tcW w:w="840" w:type="dxa"/>
            <w:vAlign w:val="bottom"/>
          </w:tcPr>
          <w:p>
            <w:pPr>
              <w:spacing w:after="0"/>
              <w:rPr>
                <w:sz w:val="20"/>
                <w:szCs w:val="20"/>
                <w:color w:val="auto"/>
              </w:rPr>
            </w:pPr>
          </w:p>
        </w:tc>
      </w:tr>
      <w:tr>
        <w:trPr>
          <w:trHeight w:val="365"/>
        </w:trPr>
        <w:tc>
          <w:tcPr>
            <w:tcW w:w="118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ARTICLE I</w:t>
            </w:r>
          </w:p>
        </w:tc>
        <w:tc>
          <w:tcPr>
            <w:tcW w:w="9400" w:type="dxa"/>
            <w:vAlign w:val="bottom"/>
          </w:tcPr>
          <w:p>
            <w:pPr>
              <w:ind w:left="440"/>
              <w:spacing w:after="0"/>
              <w:rPr>
                <w:sz w:val="20"/>
                <w:szCs w:val="20"/>
                <w:color w:val="auto"/>
              </w:rPr>
            </w:pPr>
            <w:r>
              <w:rPr>
                <w:rFonts w:ascii="Arial" w:cs="Arial" w:eastAsia="Arial" w:hAnsi="Arial"/>
                <w:sz w:val="18"/>
                <w:szCs w:val="18"/>
                <w:color w:val="auto"/>
              </w:rPr>
              <w:t>STOCKHOLDERS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80" w:type="dxa"/>
            <w:vAlign w:val="bottom"/>
          </w:tcPr>
          <w:p>
            <w:pPr>
              <w:ind w:left="540"/>
              <w:spacing w:after="0"/>
              <w:rPr>
                <w:sz w:val="20"/>
                <w:szCs w:val="20"/>
                <w:color w:val="auto"/>
              </w:rPr>
            </w:pPr>
            <w:r>
              <w:rPr>
                <w:rFonts w:ascii="Arial" w:cs="Arial" w:eastAsia="Arial" w:hAnsi="Arial"/>
                <w:sz w:val="18"/>
                <w:szCs w:val="18"/>
                <w:color w:val="auto"/>
              </w:rPr>
              <w:t>1.1</w:t>
            </w:r>
          </w:p>
        </w:tc>
        <w:tc>
          <w:tcPr>
            <w:tcW w:w="9400" w:type="dxa"/>
            <w:vAlign w:val="bottom"/>
          </w:tcPr>
          <w:p>
            <w:pPr>
              <w:ind w:left="260"/>
              <w:spacing w:after="0"/>
              <w:rPr>
                <w:sz w:val="20"/>
                <w:szCs w:val="20"/>
                <w:color w:val="auto"/>
              </w:rPr>
            </w:pPr>
            <w:r>
              <w:rPr>
                <w:rFonts w:ascii="Arial" w:cs="Arial" w:eastAsia="Arial" w:hAnsi="Arial"/>
                <w:sz w:val="18"/>
                <w:szCs w:val="18"/>
                <w:color w:val="auto"/>
              </w:rPr>
              <w:t>Place of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1.2</w:t>
            </w:r>
          </w:p>
        </w:tc>
        <w:tc>
          <w:tcPr>
            <w:tcW w:w="9400" w:type="dxa"/>
            <w:vAlign w:val="bottom"/>
          </w:tcPr>
          <w:p>
            <w:pPr>
              <w:ind w:left="260"/>
              <w:spacing w:after="0"/>
              <w:rPr>
                <w:sz w:val="20"/>
                <w:szCs w:val="20"/>
                <w:color w:val="auto"/>
              </w:rPr>
            </w:pPr>
            <w:r>
              <w:rPr>
                <w:rFonts w:ascii="Arial" w:cs="Arial" w:eastAsia="Arial" w:hAnsi="Arial"/>
                <w:sz w:val="18"/>
                <w:szCs w:val="18"/>
                <w:color w:val="auto"/>
              </w:rPr>
              <w:t>Annual Meeting</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1.3</w:t>
            </w:r>
          </w:p>
        </w:tc>
        <w:tc>
          <w:tcPr>
            <w:tcW w:w="9400" w:type="dxa"/>
            <w:vAlign w:val="bottom"/>
          </w:tcPr>
          <w:p>
            <w:pPr>
              <w:ind w:left="260"/>
              <w:spacing w:after="0"/>
              <w:rPr>
                <w:sz w:val="20"/>
                <w:szCs w:val="20"/>
                <w:color w:val="auto"/>
              </w:rPr>
            </w:pPr>
            <w:r>
              <w:rPr>
                <w:rFonts w:ascii="Arial" w:cs="Arial" w:eastAsia="Arial" w:hAnsi="Arial"/>
                <w:sz w:val="18"/>
                <w:szCs w:val="18"/>
                <w:color w:val="auto"/>
              </w:rPr>
              <w:t>Special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1.4</w:t>
            </w:r>
          </w:p>
        </w:tc>
        <w:tc>
          <w:tcPr>
            <w:tcW w:w="9400" w:type="dxa"/>
            <w:vAlign w:val="bottom"/>
          </w:tcPr>
          <w:p>
            <w:pPr>
              <w:ind w:left="260"/>
              <w:spacing w:after="0"/>
              <w:rPr>
                <w:sz w:val="20"/>
                <w:szCs w:val="20"/>
                <w:color w:val="auto"/>
              </w:rPr>
            </w:pPr>
            <w:r>
              <w:rPr>
                <w:rFonts w:ascii="Arial" w:cs="Arial" w:eastAsia="Arial" w:hAnsi="Arial"/>
                <w:sz w:val="18"/>
                <w:szCs w:val="18"/>
                <w:color w:val="auto"/>
              </w:rPr>
              <w:t>Record Date for Stockholder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1.5</w:t>
            </w:r>
          </w:p>
        </w:tc>
        <w:tc>
          <w:tcPr>
            <w:tcW w:w="9400" w:type="dxa"/>
            <w:vAlign w:val="bottom"/>
          </w:tcPr>
          <w:p>
            <w:pPr>
              <w:ind w:left="260"/>
              <w:spacing w:after="0"/>
              <w:rPr>
                <w:sz w:val="20"/>
                <w:szCs w:val="20"/>
                <w:color w:val="auto"/>
              </w:rPr>
            </w:pPr>
            <w:r>
              <w:rPr>
                <w:rFonts w:ascii="Arial" w:cs="Arial" w:eastAsia="Arial" w:hAnsi="Arial"/>
                <w:sz w:val="18"/>
                <w:szCs w:val="18"/>
                <w:color w:val="auto"/>
              </w:rPr>
              <w:t>Notice of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1.6</w:t>
            </w:r>
          </w:p>
        </w:tc>
        <w:tc>
          <w:tcPr>
            <w:tcW w:w="9400" w:type="dxa"/>
            <w:vAlign w:val="bottom"/>
          </w:tcPr>
          <w:p>
            <w:pPr>
              <w:ind w:left="260"/>
              <w:spacing w:after="0"/>
              <w:rPr>
                <w:sz w:val="20"/>
                <w:szCs w:val="20"/>
                <w:color w:val="auto"/>
              </w:rPr>
            </w:pPr>
            <w:r>
              <w:rPr>
                <w:rFonts w:ascii="Arial" w:cs="Arial" w:eastAsia="Arial" w:hAnsi="Arial"/>
                <w:sz w:val="18"/>
                <w:szCs w:val="18"/>
                <w:color w:val="auto"/>
              </w:rPr>
              <w:t>Voting List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1.7</w:t>
            </w:r>
          </w:p>
        </w:tc>
        <w:tc>
          <w:tcPr>
            <w:tcW w:w="9400" w:type="dxa"/>
            <w:vAlign w:val="bottom"/>
          </w:tcPr>
          <w:p>
            <w:pPr>
              <w:ind w:left="260"/>
              <w:spacing w:after="0"/>
              <w:rPr>
                <w:sz w:val="20"/>
                <w:szCs w:val="20"/>
                <w:color w:val="auto"/>
              </w:rPr>
            </w:pPr>
            <w:r>
              <w:rPr>
                <w:rFonts w:ascii="Arial" w:cs="Arial" w:eastAsia="Arial" w:hAnsi="Arial"/>
                <w:sz w:val="18"/>
                <w:szCs w:val="18"/>
                <w:color w:val="auto"/>
              </w:rPr>
              <w:t>Quorum</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1.8</w:t>
            </w:r>
          </w:p>
        </w:tc>
        <w:tc>
          <w:tcPr>
            <w:tcW w:w="9400" w:type="dxa"/>
            <w:vAlign w:val="bottom"/>
          </w:tcPr>
          <w:p>
            <w:pPr>
              <w:ind w:left="260"/>
              <w:spacing w:after="0"/>
              <w:rPr>
                <w:sz w:val="20"/>
                <w:szCs w:val="20"/>
                <w:color w:val="auto"/>
              </w:rPr>
            </w:pPr>
            <w:r>
              <w:rPr>
                <w:rFonts w:ascii="Arial" w:cs="Arial" w:eastAsia="Arial" w:hAnsi="Arial"/>
                <w:sz w:val="18"/>
                <w:szCs w:val="18"/>
                <w:color w:val="auto"/>
              </w:rPr>
              <w:t>Adjournments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1.9</w:t>
            </w:r>
          </w:p>
        </w:tc>
        <w:tc>
          <w:tcPr>
            <w:tcW w:w="9400" w:type="dxa"/>
            <w:vAlign w:val="bottom"/>
          </w:tcPr>
          <w:p>
            <w:pPr>
              <w:ind w:left="260"/>
              <w:spacing w:after="0"/>
              <w:rPr>
                <w:sz w:val="20"/>
                <w:szCs w:val="20"/>
                <w:color w:val="auto"/>
              </w:rPr>
            </w:pPr>
            <w:r>
              <w:rPr>
                <w:rFonts w:ascii="Arial" w:cs="Arial" w:eastAsia="Arial" w:hAnsi="Arial"/>
                <w:sz w:val="18"/>
                <w:szCs w:val="18"/>
                <w:color w:val="auto"/>
              </w:rPr>
              <w:t>Voting and Proxies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1.10</w:t>
            </w:r>
          </w:p>
        </w:tc>
        <w:tc>
          <w:tcPr>
            <w:tcW w:w="9400" w:type="dxa"/>
            <w:vAlign w:val="bottom"/>
          </w:tcPr>
          <w:p>
            <w:pPr>
              <w:ind w:left="260"/>
              <w:spacing w:after="0"/>
              <w:rPr>
                <w:sz w:val="20"/>
                <w:szCs w:val="20"/>
                <w:color w:val="auto"/>
              </w:rPr>
            </w:pPr>
            <w:r>
              <w:rPr>
                <w:rFonts w:ascii="Arial" w:cs="Arial" w:eastAsia="Arial" w:hAnsi="Arial"/>
                <w:sz w:val="18"/>
                <w:szCs w:val="18"/>
                <w:color w:val="auto"/>
              </w:rPr>
              <w:t>Action at Meeting</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1.11</w:t>
            </w:r>
          </w:p>
        </w:tc>
        <w:tc>
          <w:tcPr>
            <w:tcW w:w="9400" w:type="dxa"/>
            <w:vAlign w:val="bottom"/>
          </w:tcPr>
          <w:p>
            <w:pPr>
              <w:ind w:left="260"/>
              <w:spacing w:after="0"/>
              <w:rPr>
                <w:sz w:val="20"/>
                <w:szCs w:val="20"/>
                <w:color w:val="auto"/>
              </w:rPr>
            </w:pPr>
            <w:r>
              <w:rPr>
                <w:rFonts w:ascii="Arial" w:cs="Arial" w:eastAsia="Arial" w:hAnsi="Arial"/>
                <w:sz w:val="18"/>
                <w:szCs w:val="18"/>
                <w:color w:val="auto"/>
              </w:rPr>
              <w:t>Nomination of Directors</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1.12</w:t>
            </w:r>
          </w:p>
        </w:tc>
        <w:tc>
          <w:tcPr>
            <w:tcW w:w="9400" w:type="dxa"/>
            <w:vAlign w:val="bottom"/>
          </w:tcPr>
          <w:p>
            <w:pPr>
              <w:ind w:left="260"/>
              <w:spacing w:after="0"/>
              <w:rPr>
                <w:sz w:val="20"/>
                <w:szCs w:val="20"/>
                <w:color w:val="auto"/>
              </w:rPr>
            </w:pPr>
            <w:r>
              <w:rPr>
                <w:rFonts w:ascii="Arial" w:cs="Arial" w:eastAsia="Arial" w:hAnsi="Arial"/>
                <w:sz w:val="18"/>
                <w:szCs w:val="18"/>
                <w:color w:val="auto"/>
              </w:rPr>
              <w:t>Notice of Business at Annual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1.13</w:t>
            </w:r>
          </w:p>
        </w:tc>
        <w:tc>
          <w:tcPr>
            <w:tcW w:w="9400" w:type="dxa"/>
            <w:vAlign w:val="bottom"/>
          </w:tcPr>
          <w:p>
            <w:pPr>
              <w:ind w:left="260"/>
              <w:spacing w:after="0"/>
              <w:rPr>
                <w:sz w:val="20"/>
                <w:szCs w:val="20"/>
                <w:color w:val="auto"/>
              </w:rPr>
            </w:pPr>
            <w:r>
              <w:rPr>
                <w:rFonts w:ascii="Arial" w:cs="Arial" w:eastAsia="Arial" w:hAnsi="Arial"/>
                <w:sz w:val="18"/>
                <w:szCs w:val="18"/>
                <w:color w:val="auto"/>
              </w:rPr>
              <w:t>Conduct of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180" w:type="dxa"/>
            <w:vAlign w:val="bottom"/>
          </w:tcPr>
          <w:p>
            <w:pPr>
              <w:ind w:left="540"/>
              <w:spacing w:after="0"/>
              <w:rPr>
                <w:sz w:val="20"/>
                <w:szCs w:val="20"/>
                <w:color w:val="auto"/>
              </w:rPr>
            </w:pPr>
            <w:r>
              <w:rPr>
                <w:rFonts w:ascii="Arial" w:cs="Arial" w:eastAsia="Arial" w:hAnsi="Arial"/>
                <w:sz w:val="18"/>
                <w:szCs w:val="18"/>
                <w:color w:val="auto"/>
              </w:rPr>
              <w:t>1.14</w:t>
            </w:r>
          </w:p>
        </w:tc>
        <w:tc>
          <w:tcPr>
            <w:tcW w:w="9400" w:type="dxa"/>
            <w:vAlign w:val="bottom"/>
          </w:tcPr>
          <w:p>
            <w:pPr>
              <w:ind w:left="260"/>
              <w:spacing w:after="0"/>
              <w:rPr>
                <w:sz w:val="20"/>
                <w:szCs w:val="20"/>
                <w:color w:val="auto"/>
              </w:rPr>
            </w:pPr>
            <w:r>
              <w:rPr>
                <w:rFonts w:ascii="Arial" w:cs="Arial" w:eastAsia="Arial" w:hAnsi="Arial"/>
                <w:sz w:val="18"/>
                <w:szCs w:val="18"/>
                <w:color w:val="auto"/>
              </w:rPr>
              <w:t>No Action by Consent in Lieu of a Meeting</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ARTICLE II</w:t>
            </w:r>
          </w:p>
        </w:tc>
        <w:tc>
          <w:tcPr>
            <w:tcW w:w="9400" w:type="dxa"/>
            <w:vAlign w:val="bottom"/>
          </w:tcPr>
          <w:p>
            <w:pPr>
              <w:ind w:left="440"/>
              <w:spacing w:after="0"/>
              <w:rPr>
                <w:sz w:val="20"/>
                <w:szCs w:val="20"/>
                <w:color w:val="auto"/>
              </w:rPr>
            </w:pPr>
            <w:r>
              <w:rPr>
                <w:rFonts w:ascii="Arial" w:cs="Arial" w:eastAsia="Arial" w:hAnsi="Arial"/>
                <w:sz w:val="18"/>
                <w:szCs w:val="18"/>
                <w:color w:val="auto"/>
              </w:rPr>
              <w:t>DIRECTORS</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180" w:type="dxa"/>
            <w:vAlign w:val="bottom"/>
          </w:tcPr>
          <w:p>
            <w:pPr>
              <w:ind w:left="540"/>
              <w:spacing w:after="0"/>
              <w:rPr>
                <w:sz w:val="20"/>
                <w:szCs w:val="20"/>
                <w:color w:val="auto"/>
              </w:rPr>
            </w:pPr>
            <w:r>
              <w:rPr>
                <w:rFonts w:ascii="Arial" w:cs="Arial" w:eastAsia="Arial" w:hAnsi="Arial"/>
                <w:sz w:val="18"/>
                <w:szCs w:val="18"/>
                <w:color w:val="auto"/>
              </w:rPr>
              <w:t>2.1</w:t>
            </w:r>
          </w:p>
        </w:tc>
        <w:tc>
          <w:tcPr>
            <w:tcW w:w="9400" w:type="dxa"/>
            <w:vAlign w:val="bottom"/>
          </w:tcPr>
          <w:p>
            <w:pPr>
              <w:ind w:left="260"/>
              <w:spacing w:after="0"/>
              <w:rPr>
                <w:sz w:val="20"/>
                <w:szCs w:val="20"/>
                <w:color w:val="auto"/>
              </w:rPr>
            </w:pPr>
            <w:r>
              <w:rPr>
                <w:rFonts w:ascii="Arial" w:cs="Arial" w:eastAsia="Arial" w:hAnsi="Arial"/>
                <w:sz w:val="18"/>
                <w:szCs w:val="18"/>
                <w:color w:val="auto"/>
              </w:rPr>
              <w:t>General Powers</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2.2</w:t>
            </w:r>
          </w:p>
        </w:tc>
        <w:tc>
          <w:tcPr>
            <w:tcW w:w="9400" w:type="dxa"/>
            <w:vAlign w:val="bottom"/>
          </w:tcPr>
          <w:p>
            <w:pPr>
              <w:ind w:left="260"/>
              <w:spacing w:after="0"/>
              <w:rPr>
                <w:sz w:val="20"/>
                <w:szCs w:val="20"/>
                <w:color w:val="auto"/>
              </w:rPr>
            </w:pPr>
            <w:r>
              <w:rPr>
                <w:rFonts w:ascii="Arial" w:cs="Arial" w:eastAsia="Arial" w:hAnsi="Arial"/>
                <w:sz w:val="18"/>
                <w:szCs w:val="18"/>
                <w:color w:val="auto"/>
              </w:rPr>
              <w:t>Number, Election and Qualification</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2.3</w:t>
            </w:r>
          </w:p>
        </w:tc>
        <w:tc>
          <w:tcPr>
            <w:tcW w:w="9400" w:type="dxa"/>
            <w:vAlign w:val="bottom"/>
          </w:tcPr>
          <w:p>
            <w:pPr>
              <w:ind w:left="260"/>
              <w:spacing w:after="0"/>
              <w:rPr>
                <w:sz w:val="20"/>
                <w:szCs w:val="20"/>
                <w:color w:val="auto"/>
              </w:rPr>
            </w:pPr>
            <w:r>
              <w:rPr>
                <w:rFonts w:ascii="Arial" w:cs="Arial" w:eastAsia="Arial" w:hAnsi="Arial"/>
                <w:sz w:val="18"/>
                <w:szCs w:val="18"/>
                <w:color w:val="auto"/>
              </w:rPr>
              <w:t>Chairman of the Board; Vice Chairman of the Board</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2.4</w:t>
            </w:r>
          </w:p>
        </w:tc>
        <w:tc>
          <w:tcPr>
            <w:tcW w:w="9400" w:type="dxa"/>
            <w:vAlign w:val="bottom"/>
          </w:tcPr>
          <w:p>
            <w:pPr>
              <w:ind w:left="260"/>
              <w:spacing w:after="0"/>
              <w:rPr>
                <w:sz w:val="20"/>
                <w:szCs w:val="20"/>
                <w:color w:val="auto"/>
              </w:rPr>
            </w:pPr>
            <w:r>
              <w:rPr>
                <w:rFonts w:ascii="Arial" w:cs="Arial" w:eastAsia="Arial" w:hAnsi="Arial"/>
                <w:sz w:val="18"/>
                <w:szCs w:val="18"/>
                <w:color w:val="auto"/>
              </w:rPr>
              <w:t>Terms of Office</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2.5</w:t>
            </w:r>
          </w:p>
        </w:tc>
        <w:tc>
          <w:tcPr>
            <w:tcW w:w="9400" w:type="dxa"/>
            <w:vAlign w:val="bottom"/>
          </w:tcPr>
          <w:p>
            <w:pPr>
              <w:ind w:left="260"/>
              <w:spacing w:after="0"/>
              <w:rPr>
                <w:sz w:val="20"/>
                <w:szCs w:val="20"/>
                <w:color w:val="auto"/>
              </w:rPr>
            </w:pPr>
            <w:r>
              <w:rPr>
                <w:rFonts w:ascii="Arial" w:cs="Arial" w:eastAsia="Arial" w:hAnsi="Arial"/>
                <w:sz w:val="18"/>
                <w:szCs w:val="18"/>
                <w:color w:val="auto"/>
              </w:rPr>
              <w:t>Quorum</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2.6</w:t>
            </w:r>
          </w:p>
        </w:tc>
        <w:tc>
          <w:tcPr>
            <w:tcW w:w="9400" w:type="dxa"/>
            <w:vAlign w:val="bottom"/>
          </w:tcPr>
          <w:p>
            <w:pPr>
              <w:ind w:left="260"/>
              <w:spacing w:after="0"/>
              <w:rPr>
                <w:sz w:val="20"/>
                <w:szCs w:val="20"/>
                <w:color w:val="auto"/>
              </w:rPr>
            </w:pPr>
            <w:r>
              <w:rPr>
                <w:rFonts w:ascii="Arial" w:cs="Arial" w:eastAsia="Arial" w:hAnsi="Arial"/>
                <w:sz w:val="18"/>
                <w:szCs w:val="18"/>
                <w:color w:val="auto"/>
              </w:rPr>
              <w:t>Action at Meeting</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2.7</w:t>
            </w:r>
          </w:p>
        </w:tc>
        <w:tc>
          <w:tcPr>
            <w:tcW w:w="9400" w:type="dxa"/>
            <w:vAlign w:val="bottom"/>
          </w:tcPr>
          <w:p>
            <w:pPr>
              <w:ind w:left="260"/>
              <w:spacing w:after="0"/>
              <w:rPr>
                <w:sz w:val="20"/>
                <w:szCs w:val="20"/>
                <w:color w:val="auto"/>
              </w:rPr>
            </w:pPr>
            <w:r>
              <w:rPr>
                <w:rFonts w:ascii="Arial" w:cs="Arial" w:eastAsia="Arial" w:hAnsi="Arial"/>
                <w:sz w:val="18"/>
                <w:szCs w:val="18"/>
                <w:color w:val="auto"/>
              </w:rPr>
              <w:t>Removal</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2.8</w:t>
            </w:r>
          </w:p>
        </w:tc>
        <w:tc>
          <w:tcPr>
            <w:tcW w:w="9400" w:type="dxa"/>
            <w:vAlign w:val="bottom"/>
          </w:tcPr>
          <w:p>
            <w:pPr>
              <w:ind w:left="260"/>
              <w:spacing w:after="0"/>
              <w:rPr>
                <w:sz w:val="20"/>
                <w:szCs w:val="20"/>
                <w:color w:val="auto"/>
              </w:rPr>
            </w:pPr>
            <w:r>
              <w:rPr>
                <w:rFonts w:ascii="Arial" w:cs="Arial" w:eastAsia="Arial" w:hAnsi="Arial"/>
                <w:sz w:val="18"/>
                <w:szCs w:val="18"/>
                <w:color w:val="auto"/>
              </w:rPr>
              <w:t>Vacancies</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2.9</w:t>
            </w:r>
          </w:p>
        </w:tc>
        <w:tc>
          <w:tcPr>
            <w:tcW w:w="9400" w:type="dxa"/>
            <w:vAlign w:val="bottom"/>
          </w:tcPr>
          <w:p>
            <w:pPr>
              <w:ind w:left="260"/>
              <w:spacing w:after="0"/>
              <w:rPr>
                <w:sz w:val="20"/>
                <w:szCs w:val="20"/>
                <w:color w:val="auto"/>
              </w:rPr>
            </w:pPr>
            <w:r>
              <w:rPr>
                <w:rFonts w:ascii="Arial" w:cs="Arial" w:eastAsia="Arial" w:hAnsi="Arial"/>
                <w:sz w:val="18"/>
                <w:szCs w:val="18"/>
                <w:color w:val="auto"/>
              </w:rPr>
              <w:t>Resignation</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2.10</w:t>
            </w:r>
          </w:p>
        </w:tc>
        <w:tc>
          <w:tcPr>
            <w:tcW w:w="9400" w:type="dxa"/>
            <w:vAlign w:val="bottom"/>
          </w:tcPr>
          <w:p>
            <w:pPr>
              <w:ind w:left="260"/>
              <w:spacing w:after="0"/>
              <w:rPr>
                <w:sz w:val="20"/>
                <w:szCs w:val="20"/>
                <w:color w:val="auto"/>
              </w:rPr>
            </w:pPr>
            <w:r>
              <w:rPr>
                <w:rFonts w:ascii="Arial" w:cs="Arial" w:eastAsia="Arial" w:hAnsi="Arial"/>
                <w:sz w:val="18"/>
                <w:szCs w:val="18"/>
                <w:color w:val="auto"/>
              </w:rPr>
              <w:t>Regular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2.11</w:t>
            </w:r>
          </w:p>
        </w:tc>
        <w:tc>
          <w:tcPr>
            <w:tcW w:w="9400" w:type="dxa"/>
            <w:vAlign w:val="bottom"/>
          </w:tcPr>
          <w:p>
            <w:pPr>
              <w:ind w:left="260"/>
              <w:spacing w:after="0"/>
              <w:rPr>
                <w:sz w:val="20"/>
                <w:szCs w:val="20"/>
                <w:color w:val="auto"/>
              </w:rPr>
            </w:pPr>
            <w:r>
              <w:rPr>
                <w:rFonts w:ascii="Arial" w:cs="Arial" w:eastAsia="Arial" w:hAnsi="Arial"/>
                <w:sz w:val="18"/>
                <w:szCs w:val="18"/>
                <w:color w:val="auto"/>
              </w:rPr>
              <w:t>Special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80" w:type="dxa"/>
            <w:vAlign w:val="bottom"/>
          </w:tcPr>
          <w:p>
            <w:pPr>
              <w:ind w:left="540"/>
              <w:spacing w:after="0"/>
              <w:rPr>
                <w:sz w:val="20"/>
                <w:szCs w:val="20"/>
                <w:color w:val="auto"/>
              </w:rPr>
            </w:pPr>
            <w:r>
              <w:rPr>
                <w:rFonts w:ascii="Arial" w:cs="Arial" w:eastAsia="Arial" w:hAnsi="Arial"/>
                <w:sz w:val="18"/>
                <w:szCs w:val="18"/>
                <w:color w:val="auto"/>
              </w:rPr>
              <w:t>2.12</w:t>
            </w:r>
          </w:p>
        </w:tc>
        <w:tc>
          <w:tcPr>
            <w:tcW w:w="9400" w:type="dxa"/>
            <w:vAlign w:val="bottom"/>
          </w:tcPr>
          <w:p>
            <w:pPr>
              <w:ind w:left="260"/>
              <w:spacing w:after="0"/>
              <w:rPr>
                <w:sz w:val="20"/>
                <w:szCs w:val="20"/>
                <w:color w:val="auto"/>
              </w:rPr>
            </w:pPr>
            <w:r>
              <w:rPr>
                <w:rFonts w:ascii="Arial" w:cs="Arial" w:eastAsia="Arial" w:hAnsi="Arial"/>
                <w:sz w:val="18"/>
                <w:szCs w:val="18"/>
                <w:color w:val="auto"/>
              </w:rPr>
              <w:t>Notice of Special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2.13</w:t>
            </w:r>
          </w:p>
        </w:tc>
        <w:tc>
          <w:tcPr>
            <w:tcW w:w="7300" w:type="dxa"/>
            <w:vAlign w:val="bottom"/>
          </w:tcPr>
          <w:p>
            <w:pPr>
              <w:ind w:left="220"/>
              <w:spacing w:after="0"/>
              <w:rPr>
                <w:sz w:val="20"/>
                <w:szCs w:val="20"/>
                <w:color w:val="auto"/>
              </w:rPr>
            </w:pPr>
            <w:r>
              <w:rPr>
                <w:rFonts w:ascii="Arial" w:cs="Arial" w:eastAsia="Arial" w:hAnsi="Arial"/>
                <w:sz w:val="18"/>
                <w:szCs w:val="18"/>
                <w:color w:val="auto"/>
              </w:rPr>
              <w:t>Meetings by Conference Communications Equipment</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2.14</w:t>
            </w:r>
          </w:p>
        </w:tc>
        <w:tc>
          <w:tcPr>
            <w:tcW w:w="7300" w:type="dxa"/>
            <w:vAlign w:val="bottom"/>
          </w:tcPr>
          <w:p>
            <w:pPr>
              <w:ind w:left="220"/>
              <w:spacing w:after="0"/>
              <w:rPr>
                <w:sz w:val="20"/>
                <w:szCs w:val="20"/>
                <w:color w:val="auto"/>
              </w:rPr>
            </w:pPr>
            <w:r>
              <w:rPr>
                <w:rFonts w:ascii="Arial" w:cs="Arial" w:eastAsia="Arial" w:hAnsi="Arial"/>
                <w:sz w:val="18"/>
                <w:szCs w:val="18"/>
                <w:color w:val="auto"/>
              </w:rPr>
              <w:t>Action by Consent</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2.15</w:t>
            </w:r>
          </w:p>
        </w:tc>
        <w:tc>
          <w:tcPr>
            <w:tcW w:w="7300" w:type="dxa"/>
            <w:vAlign w:val="bottom"/>
          </w:tcPr>
          <w:p>
            <w:pPr>
              <w:ind w:left="220"/>
              <w:spacing w:after="0"/>
              <w:rPr>
                <w:sz w:val="20"/>
                <w:szCs w:val="20"/>
                <w:color w:val="auto"/>
              </w:rPr>
            </w:pPr>
            <w:r>
              <w:rPr>
                <w:rFonts w:ascii="Arial" w:cs="Arial" w:eastAsia="Arial" w:hAnsi="Arial"/>
                <w:sz w:val="18"/>
                <w:szCs w:val="18"/>
                <w:color w:val="auto"/>
              </w:rPr>
              <w:t>Committees</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2.16</w:t>
            </w:r>
          </w:p>
        </w:tc>
        <w:tc>
          <w:tcPr>
            <w:tcW w:w="7300" w:type="dxa"/>
            <w:vAlign w:val="bottom"/>
          </w:tcPr>
          <w:p>
            <w:pPr>
              <w:ind w:left="220"/>
              <w:spacing w:after="0"/>
              <w:rPr>
                <w:sz w:val="20"/>
                <w:szCs w:val="20"/>
                <w:color w:val="auto"/>
              </w:rPr>
            </w:pPr>
            <w:r>
              <w:rPr>
                <w:rFonts w:ascii="Arial" w:cs="Arial" w:eastAsia="Arial" w:hAnsi="Arial"/>
                <w:sz w:val="18"/>
                <w:szCs w:val="18"/>
                <w:color w:val="auto"/>
              </w:rPr>
              <w:t>Compensation of Directors</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III</w:t>
            </w:r>
          </w:p>
        </w:tc>
        <w:tc>
          <w:tcPr>
            <w:tcW w:w="7300" w:type="dxa"/>
            <w:vAlign w:val="bottom"/>
          </w:tcPr>
          <w:p>
            <w:pPr>
              <w:ind w:left="400"/>
              <w:spacing w:after="0"/>
              <w:rPr>
                <w:sz w:val="20"/>
                <w:szCs w:val="20"/>
                <w:color w:val="auto"/>
              </w:rPr>
            </w:pPr>
            <w:r>
              <w:rPr>
                <w:rFonts w:ascii="Arial" w:cs="Arial" w:eastAsia="Arial" w:hAnsi="Arial"/>
                <w:sz w:val="18"/>
                <w:szCs w:val="18"/>
                <w:color w:val="auto"/>
              </w:rPr>
              <w:t>OFFICERS</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3.1</w:t>
            </w:r>
          </w:p>
        </w:tc>
        <w:tc>
          <w:tcPr>
            <w:tcW w:w="7300" w:type="dxa"/>
            <w:vAlign w:val="bottom"/>
          </w:tcPr>
          <w:p>
            <w:pPr>
              <w:ind w:left="220"/>
              <w:spacing w:after="0"/>
              <w:rPr>
                <w:sz w:val="20"/>
                <w:szCs w:val="20"/>
                <w:color w:val="auto"/>
              </w:rPr>
            </w:pPr>
            <w:r>
              <w:rPr>
                <w:rFonts w:ascii="Arial" w:cs="Arial" w:eastAsia="Arial" w:hAnsi="Arial"/>
                <w:sz w:val="18"/>
                <w:szCs w:val="18"/>
                <w:color w:val="auto"/>
              </w:rPr>
              <w:t>Titles</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3.2</w:t>
            </w:r>
          </w:p>
        </w:tc>
        <w:tc>
          <w:tcPr>
            <w:tcW w:w="7300" w:type="dxa"/>
            <w:vAlign w:val="bottom"/>
          </w:tcPr>
          <w:p>
            <w:pPr>
              <w:ind w:left="220"/>
              <w:spacing w:after="0"/>
              <w:rPr>
                <w:sz w:val="20"/>
                <w:szCs w:val="20"/>
                <w:color w:val="auto"/>
              </w:rPr>
            </w:pPr>
            <w:r>
              <w:rPr>
                <w:rFonts w:ascii="Arial" w:cs="Arial" w:eastAsia="Arial" w:hAnsi="Arial"/>
                <w:sz w:val="18"/>
                <w:szCs w:val="18"/>
                <w:color w:val="auto"/>
              </w:rPr>
              <w:t>Election</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3.3</w:t>
            </w:r>
          </w:p>
        </w:tc>
        <w:tc>
          <w:tcPr>
            <w:tcW w:w="7300" w:type="dxa"/>
            <w:vAlign w:val="bottom"/>
          </w:tcPr>
          <w:p>
            <w:pPr>
              <w:ind w:left="220"/>
              <w:spacing w:after="0"/>
              <w:rPr>
                <w:sz w:val="20"/>
                <w:szCs w:val="20"/>
                <w:color w:val="auto"/>
              </w:rPr>
            </w:pPr>
            <w:r>
              <w:rPr>
                <w:rFonts w:ascii="Arial" w:cs="Arial" w:eastAsia="Arial" w:hAnsi="Arial"/>
                <w:sz w:val="18"/>
                <w:szCs w:val="18"/>
                <w:color w:val="auto"/>
              </w:rPr>
              <w:t>Qualification</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3.4</w:t>
            </w:r>
          </w:p>
        </w:tc>
        <w:tc>
          <w:tcPr>
            <w:tcW w:w="7300" w:type="dxa"/>
            <w:vAlign w:val="bottom"/>
          </w:tcPr>
          <w:p>
            <w:pPr>
              <w:ind w:left="220"/>
              <w:spacing w:after="0"/>
              <w:rPr>
                <w:sz w:val="20"/>
                <w:szCs w:val="20"/>
                <w:color w:val="auto"/>
              </w:rPr>
            </w:pPr>
            <w:r>
              <w:rPr>
                <w:rFonts w:ascii="Arial" w:cs="Arial" w:eastAsia="Arial" w:hAnsi="Arial"/>
                <w:sz w:val="18"/>
                <w:szCs w:val="18"/>
                <w:color w:val="auto"/>
              </w:rPr>
              <w:t>Tenure</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3.5</w:t>
            </w:r>
          </w:p>
        </w:tc>
        <w:tc>
          <w:tcPr>
            <w:tcW w:w="7300" w:type="dxa"/>
            <w:vAlign w:val="bottom"/>
          </w:tcPr>
          <w:p>
            <w:pPr>
              <w:ind w:left="220"/>
              <w:spacing w:after="0"/>
              <w:rPr>
                <w:sz w:val="20"/>
                <w:szCs w:val="20"/>
                <w:color w:val="auto"/>
              </w:rPr>
            </w:pPr>
            <w:r>
              <w:rPr>
                <w:rFonts w:ascii="Arial" w:cs="Arial" w:eastAsia="Arial" w:hAnsi="Arial"/>
                <w:sz w:val="18"/>
                <w:szCs w:val="18"/>
                <w:color w:val="auto"/>
              </w:rPr>
              <w:t>Resignation and Removal</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3.6</w:t>
            </w:r>
          </w:p>
        </w:tc>
        <w:tc>
          <w:tcPr>
            <w:tcW w:w="7300" w:type="dxa"/>
            <w:vAlign w:val="bottom"/>
          </w:tcPr>
          <w:p>
            <w:pPr>
              <w:ind w:left="220"/>
              <w:spacing w:after="0"/>
              <w:rPr>
                <w:sz w:val="20"/>
                <w:szCs w:val="20"/>
                <w:color w:val="auto"/>
              </w:rPr>
            </w:pPr>
            <w:r>
              <w:rPr>
                <w:rFonts w:ascii="Arial" w:cs="Arial" w:eastAsia="Arial" w:hAnsi="Arial"/>
                <w:sz w:val="18"/>
                <w:szCs w:val="18"/>
                <w:color w:val="auto"/>
              </w:rPr>
              <w:t>Vacancies</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3.7</w:t>
            </w:r>
          </w:p>
        </w:tc>
        <w:tc>
          <w:tcPr>
            <w:tcW w:w="7300" w:type="dxa"/>
            <w:vAlign w:val="bottom"/>
          </w:tcPr>
          <w:p>
            <w:pPr>
              <w:ind w:left="220"/>
              <w:spacing w:after="0"/>
              <w:rPr>
                <w:sz w:val="20"/>
                <w:szCs w:val="20"/>
                <w:color w:val="auto"/>
              </w:rPr>
            </w:pPr>
            <w:r>
              <w:rPr>
                <w:rFonts w:ascii="Arial" w:cs="Arial" w:eastAsia="Arial" w:hAnsi="Arial"/>
                <w:sz w:val="18"/>
                <w:szCs w:val="18"/>
                <w:color w:val="auto"/>
              </w:rPr>
              <w:t>President; Chief Executive Officer</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3.8</w:t>
            </w:r>
          </w:p>
        </w:tc>
        <w:tc>
          <w:tcPr>
            <w:tcW w:w="7300" w:type="dxa"/>
            <w:vAlign w:val="bottom"/>
          </w:tcPr>
          <w:p>
            <w:pPr>
              <w:ind w:left="220"/>
              <w:spacing w:after="0"/>
              <w:rPr>
                <w:sz w:val="20"/>
                <w:szCs w:val="20"/>
                <w:color w:val="auto"/>
              </w:rPr>
            </w:pPr>
            <w:r>
              <w:rPr>
                <w:rFonts w:ascii="Arial" w:cs="Arial" w:eastAsia="Arial" w:hAnsi="Arial"/>
                <w:sz w:val="18"/>
                <w:szCs w:val="18"/>
                <w:color w:val="auto"/>
              </w:rPr>
              <w:t>Vice Presidents</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3.9</w:t>
            </w:r>
          </w:p>
        </w:tc>
        <w:tc>
          <w:tcPr>
            <w:tcW w:w="7300" w:type="dxa"/>
            <w:vAlign w:val="bottom"/>
          </w:tcPr>
          <w:p>
            <w:pPr>
              <w:ind w:left="220"/>
              <w:spacing w:after="0"/>
              <w:rPr>
                <w:sz w:val="20"/>
                <w:szCs w:val="20"/>
                <w:color w:val="auto"/>
              </w:rPr>
            </w:pPr>
            <w:r>
              <w:rPr>
                <w:rFonts w:ascii="Arial" w:cs="Arial" w:eastAsia="Arial" w:hAnsi="Arial"/>
                <w:sz w:val="18"/>
                <w:szCs w:val="18"/>
                <w:color w:val="auto"/>
              </w:rPr>
              <w:t>Secretary and Assistant Secretaries</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3.10</w:t>
            </w:r>
          </w:p>
        </w:tc>
        <w:tc>
          <w:tcPr>
            <w:tcW w:w="7300" w:type="dxa"/>
            <w:vAlign w:val="bottom"/>
          </w:tcPr>
          <w:p>
            <w:pPr>
              <w:ind w:left="220"/>
              <w:spacing w:after="0"/>
              <w:rPr>
                <w:sz w:val="20"/>
                <w:szCs w:val="20"/>
                <w:color w:val="auto"/>
              </w:rPr>
            </w:pPr>
            <w:r>
              <w:rPr>
                <w:rFonts w:ascii="Arial" w:cs="Arial" w:eastAsia="Arial" w:hAnsi="Arial"/>
                <w:sz w:val="18"/>
                <w:szCs w:val="18"/>
                <w:color w:val="auto"/>
              </w:rPr>
              <w:t>Treasurer and Assistant Treasurers</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3.11</w:t>
            </w:r>
          </w:p>
        </w:tc>
        <w:tc>
          <w:tcPr>
            <w:tcW w:w="7300" w:type="dxa"/>
            <w:vAlign w:val="bottom"/>
          </w:tcPr>
          <w:p>
            <w:pPr>
              <w:ind w:left="220"/>
              <w:spacing w:after="0"/>
              <w:rPr>
                <w:sz w:val="20"/>
                <w:szCs w:val="20"/>
                <w:color w:val="auto"/>
              </w:rPr>
            </w:pPr>
            <w:r>
              <w:rPr>
                <w:rFonts w:ascii="Arial" w:cs="Arial" w:eastAsia="Arial" w:hAnsi="Arial"/>
                <w:sz w:val="18"/>
                <w:szCs w:val="18"/>
                <w:color w:val="auto"/>
              </w:rPr>
              <w:t>Salaries</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3.12</w:t>
            </w:r>
          </w:p>
        </w:tc>
        <w:tc>
          <w:tcPr>
            <w:tcW w:w="7300" w:type="dxa"/>
            <w:vAlign w:val="bottom"/>
          </w:tcPr>
          <w:p>
            <w:pPr>
              <w:ind w:left="220"/>
              <w:spacing w:after="0"/>
              <w:rPr>
                <w:sz w:val="20"/>
                <w:szCs w:val="20"/>
                <w:color w:val="auto"/>
              </w:rPr>
            </w:pPr>
            <w:r>
              <w:rPr>
                <w:rFonts w:ascii="Arial" w:cs="Arial" w:eastAsia="Arial" w:hAnsi="Arial"/>
                <w:sz w:val="18"/>
                <w:szCs w:val="18"/>
                <w:color w:val="auto"/>
              </w:rPr>
              <w:t>Delegation of Authority</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IV</w:t>
            </w:r>
          </w:p>
        </w:tc>
        <w:tc>
          <w:tcPr>
            <w:tcW w:w="7300" w:type="dxa"/>
            <w:vAlign w:val="bottom"/>
          </w:tcPr>
          <w:p>
            <w:pPr>
              <w:ind w:left="400"/>
              <w:spacing w:after="0"/>
              <w:rPr>
                <w:sz w:val="20"/>
                <w:szCs w:val="20"/>
                <w:color w:val="auto"/>
              </w:rPr>
            </w:pPr>
            <w:r>
              <w:rPr>
                <w:rFonts w:ascii="Arial" w:cs="Arial" w:eastAsia="Arial" w:hAnsi="Arial"/>
                <w:sz w:val="18"/>
                <w:szCs w:val="18"/>
                <w:color w:val="auto"/>
              </w:rPr>
              <w:t>CAPITAL STOCK</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4.1</w:t>
            </w:r>
          </w:p>
        </w:tc>
        <w:tc>
          <w:tcPr>
            <w:tcW w:w="7300" w:type="dxa"/>
            <w:vAlign w:val="bottom"/>
          </w:tcPr>
          <w:p>
            <w:pPr>
              <w:ind w:left="220"/>
              <w:spacing w:after="0"/>
              <w:rPr>
                <w:sz w:val="20"/>
                <w:szCs w:val="20"/>
                <w:color w:val="auto"/>
              </w:rPr>
            </w:pPr>
            <w:r>
              <w:rPr>
                <w:rFonts w:ascii="Arial" w:cs="Arial" w:eastAsia="Arial" w:hAnsi="Arial"/>
                <w:sz w:val="18"/>
                <w:szCs w:val="18"/>
                <w:color w:val="auto"/>
              </w:rPr>
              <w:t>Issuance of Stock</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4.2</w:t>
            </w:r>
          </w:p>
        </w:tc>
        <w:tc>
          <w:tcPr>
            <w:tcW w:w="7300" w:type="dxa"/>
            <w:vAlign w:val="bottom"/>
          </w:tcPr>
          <w:p>
            <w:pPr>
              <w:ind w:left="220"/>
              <w:spacing w:after="0"/>
              <w:rPr>
                <w:sz w:val="20"/>
                <w:szCs w:val="20"/>
                <w:color w:val="auto"/>
              </w:rPr>
            </w:pPr>
            <w:r>
              <w:rPr>
                <w:rFonts w:ascii="Arial" w:cs="Arial" w:eastAsia="Arial" w:hAnsi="Arial"/>
                <w:sz w:val="18"/>
                <w:szCs w:val="18"/>
                <w:color w:val="auto"/>
              </w:rPr>
              <w:t>Stock Certificates; Uncertificated Shares</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4.3</w:t>
            </w:r>
          </w:p>
        </w:tc>
        <w:tc>
          <w:tcPr>
            <w:tcW w:w="7300" w:type="dxa"/>
            <w:vAlign w:val="bottom"/>
          </w:tcPr>
          <w:p>
            <w:pPr>
              <w:ind w:left="220"/>
              <w:spacing w:after="0"/>
              <w:rPr>
                <w:sz w:val="20"/>
                <w:szCs w:val="20"/>
                <w:color w:val="auto"/>
              </w:rPr>
            </w:pPr>
            <w:r>
              <w:rPr>
                <w:rFonts w:ascii="Arial" w:cs="Arial" w:eastAsia="Arial" w:hAnsi="Arial"/>
                <w:sz w:val="18"/>
                <w:szCs w:val="18"/>
                <w:color w:val="auto"/>
              </w:rPr>
              <w:t>Transfers</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4.4</w:t>
            </w:r>
          </w:p>
        </w:tc>
        <w:tc>
          <w:tcPr>
            <w:tcW w:w="7300" w:type="dxa"/>
            <w:vAlign w:val="bottom"/>
          </w:tcPr>
          <w:p>
            <w:pPr>
              <w:ind w:left="220"/>
              <w:spacing w:after="0"/>
              <w:rPr>
                <w:sz w:val="20"/>
                <w:szCs w:val="20"/>
                <w:color w:val="auto"/>
              </w:rPr>
            </w:pPr>
            <w:r>
              <w:rPr>
                <w:rFonts w:ascii="Arial" w:cs="Arial" w:eastAsia="Arial" w:hAnsi="Arial"/>
                <w:sz w:val="18"/>
                <w:szCs w:val="18"/>
                <w:color w:val="auto"/>
              </w:rPr>
              <w:t>Lost, Stolen or Destroyed Certificates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4.5</w:t>
            </w:r>
          </w:p>
        </w:tc>
        <w:tc>
          <w:tcPr>
            <w:tcW w:w="7300" w:type="dxa"/>
            <w:vAlign w:val="bottom"/>
          </w:tcPr>
          <w:p>
            <w:pPr>
              <w:ind w:left="220"/>
              <w:spacing w:after="0"/>
              <w:rPr>
                <w:sz w:val="20"/>
                <w:szCs w:val="20"/>
                <w:color w:val="auto"/>
              </w:rPr>
            </w:pPr>
            <w:r>
              <w:rPr>
                <w:rFonts w:ascii="Arial" w:cs="Arial" w:eastAsia="Arial" w:hAnsi="Arial"/>
                <w:sz w:val="18"/>
                <w:szCs w:val="18"/>
                <w:color w:val="auto"/>
              </w:rPr>
              <w:t>Regulations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V</w:t>
            </w:r>
          </w:p>
        </w:tc>
        <w:tc>
          <w:tcPr>
            <w:tcW w:w="7300" w:type="dxa"/>
            <w:vAlign w:val="bottom"/>
          </w:tcPr>
          <w:p>
            <w:pPr>
              <w:ind w:left="400"/>
              <w:spacing w:after="0"/>
              <w:rPr>
                <w:sz w:val="20"/>
                <w:szCs w:val="20"/>
                <w:color w:val="auto"/>
              </w:rPr>
            </w:pPr>
            <w:r>
              <w:rPr>
                <w:rFonts w:ascii="Arial" w:cs="Arial" w:eastAsia="Arial" w:hAnsi="Arial"/>
                <w:sz w:val="18"/>
                <w:szCs w:val="18"/>
                <w:color w:val="auto"/>
              </w:rPr>
              <w:t>GENERAL PROVISIONS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5.1</w:t>
            </w:r>
          </w:p>
        </w:tc>
        <w:tc>
          <w:tcPr>
            <w:tcW w:w="7300" w:type="dxa"/>
            <w:vAlign w:val="bottom"/>
          </w:tcPr>
          <w:p>
            <w:pPr>
              <w:ind w:left="220"/>
              <w:spacing w:after="0"/>
              <w:rPr>
                <w:sz w:val="20"/>
                <w:szCs w:val="20"/>
                <w:color w:val="auto"/>
              </w:rPr>
            </w:pPr>
            <w:r>
              <w:rPr>
                <w:rFonts w:ascii="Arial" w:cs="Arial" w:eastAsia="Arial" w:hAnsi="Arial"/>
                <w:sz w:val="18"/>
                <w:szCs w:val="18"/>
                <w:color w:val="auto"/>
              </w:rPr>
              <w:t>Fiscal Year</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5.2</w:t>
            </w:r>
          </w:p>
        </w:tc>
        <w:tc>
          <w:tcPr>
            <w:tcW w:w="7300" w:type="dxa"/>
            <w:vAlign w:val="bottom"/>
          </w:tcPr>
          <w:p>
            <w:pPr>
              <w:ind w:left="220"/>
              <w:spacing w:after="0"/>
              <w:rPr>
                <w:sz w:val="20"/>
                <w:szCs w:val="20"/>
                <w:color w:val="auto"/>
              </w:rPr>
            </w:pPr>
            <w:r>
              <w:rPr>
                <w:rFonts w:ascii="Arial" w:cs="Arial" w:eastAsia="Arial" w:hAnsi="Arial"/>
                <w:sz w:val="18"/>
                <w:szCs w:val="18"/>
                <w:color w:val="auto"/>
              </w:rPr>
              <w:t>Corporate Seal</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5.3</w:t>
            </w:r>
          </w:p>
        </w:tc>
        <w:tc>
          <w:tcPr>
            <w:tcW w:w="7300" w:type="dxa"/>
            <w:vAlign w:val="bottom"/>
          </w:tcPr>
          <w:p>
            <w:pPr>
              <w:ind w:left="220"/>
              <w:spacing w:after="0"/>
              <w:rPr>
                <w:sz w:val="20"/>
                <w:szCs w:val="20"/>
                <w:color w:val="auto"/>
              </w:rPr>
            </w:pPr>
            <w:r>
              <w:rPr>
                <w:rFonts w:ascii="Arial" w:cs="Arial" w:eastAsia="Arial" w:hAnsi="Arial"/>
                <w:sz w:val="18"/>
                <w:szCs w:val="18"/>
                <w:color w:val="auto"/>
              </w:rPr>
              <w:t>Record Date for Purposes Other Than Stockholder Meetings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5.4</w:t>
            </w:r>
          </w:p>
        </w:tc>
        <w:tc>
          <w:tcPr>
            <w:tcW w:w="7300" w:type="dxa"/>
            <w:vAlign w:val="bottom"/>
          </w:tcPr>
          <w:p>
            <w:pPr>
              <w:ind w:left="220"/>
              <w:spacing w:after="0"/>
              <w:rPr>
                <w:sz w:val="20"/>
                <w:szCs w:val="20"/>
                <w:color w:val="auto"/>
              </w:rPr>
            </w:pPr>
            <w:r>
              <w:rPr>
                <w:rFonts w:ascii="Arial" w:cs="Arial" w:eastAsia="Arial" w:hAnsi="Arial"/>
                <w:sz w:val="18"/>
                <w:szCs w:val="18"/>
                <w:color w:val="auto"/>
              </w:rPr>
              <w:t>Waiver of Notice</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5.5</w:t>
            </w:r>
          </w:p>
        </w:tc>
        <w:tc>
          <w:tcPr>
            <w:tcW w:w="7300" w:type="dxa"/>
            <w:vAlign w:val="bottom"/>
          </w:tcPr>
          <w:p>
            <w:pPr>
              <w:ind w:left="220"/>
              <w:spacing w:after="0"/>
              <w:rPr>
                <w:sz w:val="20"/>
                <w:szCs w:val="20"/>
                <w:color w:val="auto"/>
              </w:rPr>
            </w:pPr>
            <w:r>
              <w:rPr>
                <w:rFonts w:ascii="Arial" w:cs="Arial" w:eastAsia="Arial" w:hAnsi="Arial"/>
                <w:sz w:val="18"/>
                <w:szCs w:val="18"/>
                <w:color w:val="auto"/>
              </w:rPr>
              <w:t>Voting of Securities</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5.6</w:t>
            </w:r>
          </w:p>
        </w:tc>
        <w:tc>
          <w:tcPr>
            <w:tcW w:w="7300" w:type="dxa"/>
            <w:vAlign w:val="bottom"/>
          </w:tcPr>
          <w:p>
            <w:pPr>
              <w:ind w:left="220"/>
              <w:spacing w:after="0"/>
              <w:rPr>
                <w:sz w:val="20"/>
                <w:szCs w:val="20"/>
                <w:color w:val="auto"/>
              </w:rPr>
            </w:pPr>
            <w:r>
              <w:rPr>
                <w:rFonts w:ascii="Arial" w:cs="Arial" w:eastAsia="Arial" w:hAnsi="Arial"/>
                <w:sz w:val="18"/>
                <w:szCs w:val="18"/>
                <w:color w:val="auto"/>
              </w:rPr>
              <w:t>Evidence of Authority</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9" w:name="page360"/>
    <w:bookmarkEnd w:id="359"/>
    <w:tbl>
      <w:tblPr>
        <w:tblLayout w:type="fixed"/>
        <w:tblInd w:w="0" w:type="dxa"/>
        <w:tblCellMar>
          <w:top w:w="0" w:type="dxa"/>
          <w:left w:w="0" w:type="dxa"/>
          <w:bottom w:w="0" w:type="dxa"/>
          <w:right w:w="0" w:type="dxa"/>
        </w:tblCellMar>
      </w:tblPr>
      <w:tr>
        <w:trPr>
          <w:trHeight w:val="216"/>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5.7</w:t>
            </w:r>
          </w:p>
        </w:tc>
        <w:tc>
          <w:tcPr>
            <w:tcW w:w="6100" w:type="dxa"/>
            <w:vAlign w:val="bottom"/>
          </w:tcPr>
          <w:p>
            <w:pPr>
              <w:ind w:left="220"/>
              <w:spacing w:after="0"/>
              <w:rPr>
                <w:sz w:val="20"/>
                <w:szCs w:val="20"/>
                <w:color w:val="auto"/>
              </w:rPr>
            </w:pPr>
            <w:r>
              <w:rPr>
                <w:rFonts w:ascii="Arial" w:cs="Arial" w:eastAsia="Arial" w:hAnsi="Arial"/>
                <w:sz w:val="18"/>
                <w:szCs w:val="18"/>
                <w:color w:val="auto"/>
              </w:rPr>
              <w:t>Certificate of Incorporation</w:t>
            </w:r>
          </w:p>
        </w:tc>
        <w:tc>
          <w:tcPr>
            <w:tcW w:w="4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5.8</w:t>
            </w:r>
          </w:p>
        </w:tc>
        <w:tc>
          <w:tcPr>
            <w:tcW w:w="61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4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5.9</w:t>
            </w:r>
          </w:p>
        </w:tc>
        <w:tc>
          <w:tcPr>
            <w:tcW w:w="6100" w:type="dxa"/>
            <w:vAlign w:val="bottom"/>
          </w:tcPr>
          <w:p>
            <w:pPr>
              <w:ind w:left="220"/>
              <w:spacing w:after="0"/>
              <w:rPr>
                <w:sz w:val="20"/>
                <w:szCs w:val="20"/>
                <w:color w:val="auto"/>
              </w:rPr>
            </w:pPr>
            <w:r>
              <w:rPr>
                <w:rFonts w:ascii="Arial" w:cs="Arial" w:eastAsia="Arial" w:hAnsi="Arial"/>
                <w:sz w:val="18"/>
                <w:szCs w:val="18"/>
                <w:color w:val="auto"/>
              </w:rPr>
              <w:t>Pronouns</w:t>
            </w:r>
          </w:p>
        </w:tc>
        <w:tc>
          <w:tcPr>
            <w:tcW w:w="4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220" w:type="dxa"/>
            <w:vAlign w:val="bottom"/>
          </w:tcPr>
          <w:p>
            <w:pPr>
              <w:jc w:val="right"/>
              <w:ind w:right="150"/>
              <w:spacing w:after="0"/>
              <w:rPr>
                <w:sz w:val="20"/>
                <w:szCs w:val="20"/>
                <w:color w:val="auto"/>
              </w:rPr>
            </w:pPr>
            <w:r>
              <w:rPr>
                <w:rFonts w:ascii="Arial" w:cs="Arial" w:eastAsia="Arial" w:hAnsi="Arial"/>
                <w:sz w:val="18"/>
                <w:szCs w:val="18"/>
                <w:color w:val="auto"/>
                <w:w w:val="97"/>
              </w:rPr>
              <w:t>ARTICLE VI</w:t>
            </w:r>
          </w:p>
        </w:tc>
        <w:tc>
          <w:tcPr>
            <w:tcW w:w="6100" w:type="dxa"/>
            <w:vAlign w:val="bottom"/>
          </w:tcPr>
          <w:p>
            <w:pPr>
              <w:ind w:left="400"/>
              <w:spacing w:after="0"/>
              <w:rPr>
                <w:sz w:val="20"/>
                <w:szCs w:val="20"/>
                <w:color w:val="auto"/>
              </w:rPr>
            </w:pPr>
            <w:r>
              <w:rPr>
                <w:rFonts w:ascii="Arial" w:cs="Arial" w:eastAsia="Arial" w:hAnsi="Arial"/>
                <w:sz w:val="18"/>
                <w:szCs w:val="18"/>
                <w:color w:val="auto"/>
              </w:rPr>
              <w:t>AMENDMENTS</w:t>
            </w:r>
          </w:p>
        </w:tc>
        <w:tc>
          <w:tcPr>
            <w:tcW w:w="41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Place of Meetings</w:t>
      </w:r>
      <w:r>
        <w:rPr>
          <w:rFonts w:ascii="Arial" w:cs="Arial" w:eastAsia="Arial" w:hAnsi="Arial"/>
          <w:sz w:val="18"/>
          <w:szCs w:val="18"/>
          <w:color w:val="auto"/>
        </w:rPr>
        <w:t>. All meetings of stockholders shall be held at such place, if any, as may be designated from time to time by the Board of Directors, the Chairman of the Board or the Chief Executive Officer or, if not so designated, at the principal executive office of the corporation. The Board of Directors may, in its sole discretion, determine that a meeting shall not be held at any place, but shall instead be held solely by means of remote communication in a manner consistent with the General Corporation Law of the State of Delaware.</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for the election of directors to succeed those whose terms expire and for the transaction of such other business as may properly be brought before the meeting shall be held on a date and at a time designated by the Board of Directors, the Chairman of the Board or the Chief Executive Officer. The Board of Directors may postpone, reschedule or cancel any previously scheduled annual meeting of stockholders.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for any purpose or purposes may be called at any time only by the Board of Directors, and may not be called by any other person or persons. Business transacted at any special meeting of stockholders shall be limited to matters relating to the purpose or purposes stated in the notice of meeting. The Board of Directors may postpone, reschedule or cancel any previously scheduled special meeting of stockholders.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Record Date for Stockholder Meetings</w:t>
      </w:r>
      <w:r>
        <w:rPr>
          <w:rFonts w:ascii="Arial" w:cs="Arial" w:eastAsia="Arial" w:hAnsi="Arial"/>
          <w:sz w:val="18"/>
          <w:szCs w:val="18"/>
          <w:color w:val="auto"/>
        </w:rPr>
        <w:t>.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0" w:name="page361"/>
    <w:bookmarkEnd w:id="360"/>
    <w:p>
      <w:pPr>
        <w:spacing w:after="0" w:line="291" w:lineRule="auto"/>
        <w:rPr>
          <w:sz w:val="20"/>
          <w:szCs w:val="20"/>
          <w:color w:val="auto"/>
        </w:rPr>
      </w:pPr>
      <w:r>
        <w:rPr>
          <w:rFonts w:ascii="Arial" w:cs="Arial" w:eastAsia="Arial" w:hAnsi="Arial"/>
          <w:sz w:val="16"/>
          <w:szCs w:val="16"/>
          <w:color w:val="auto"/>
        </w:rPr>
        <w:t>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law, the Certificate of Incorporation or these bylaws,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167"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Voting List</w:t>
      </w:r>
      <w:r>
        <w:rPr>
          <w:rFonts w:ascii="Arial" w:cs="Arial" w:eastAsia="Arial" w:hAnsi="Arial"/>
          <w:sz w:val="17"/>
          <w:szCs w:val="17"/>
          <w:color w:val="auto"/>
        </w:rPr>
        <w:t>. The corporation shall prepare, at least 10 days before every meeting of stockholders, a complete list of the stockholders entitled to vote at the meeting (provided, however, if the record date for determining the stockholders entitled to vote is less than 10 days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1" w:name="page362"/>
    <w:bookmarkEnd w:id="361"/>
    <w:p>
      <w:pPr>
        <w:spacing w:after="0" w:line="288" w:lineRule="auto"/>
        <w:rPr>
          <w:sz w:val="20"/>
          <w:szCs w:val="20"/>
          <w:color w:val="auto"/>
        </w:rPr>
      </w:pPr>
      <w:r>
        <w:rPr>
          <w:rFonts w:ascii="Arial" w:cs="Arial" w:eastAsia="Arial" w:hAnsi="Arial"/>
          <w:sz w:val="16"/>
          <w:szCs w:val="16"/>
          <w:color w:val="auto"/>
        </w:rPr>
        <w:t>before the meeting date, the list shall reflect the stockholders entitled to vote as of the tenth day before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physical location (and not solely by means of remote communication),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1.6 or to vote in person or by proxy at any meeting of stockholders.</w:t>
      </w:r>
    </w:p>
    <w:p>
      <w:pPr>
        <w:spacing w:after="0" w:line="16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2" w:name="page363"/>
    <w:bookmarkEnd w:id="362"/>
    <w:p>
      <w:pPr>
        <w:ind w:firstLine="648"/>
        <w:spacing w:after="0" w:line="288"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u w:val="single" w:color="auto"/>
          <w:color w:val="auto"/>
        </w:rPr>
        <w:t>Adjournments</w:t>
      </w:r>
      <w:r>
        <w:rPr>
          <w:rFonts w:ascii="Arial" w:cs="Arial" w:eastAsia="Arial" w:hAnsi="Arial"/>
          <w:sz w:val="16"/>
          <w:szCs w:val="16"/>
          <w:color w:val="auto"/>
        </w:rPr>
        <w:t>. Any meeting of stockholders may be adjourned from time to time to reconvene at any other time and to any other place at which a meeting of stockholders may be held under these bylaws by the chairman of the meeting.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6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Voting and Proxies</w:t>
      </w:r>
      <w:r>
        <w:rPr>
          <w:rFonts w:ascii="Arial" w:cs="Arial" w:eastAsia="Arial" w:hAnsi="Arial"/>
          <w:sz w:val="17"/>
          <w:szCs w:val="17"/>
          <w:color w:val="auto"/>
        </w:rPr>
        <w:t>. Each stockholder shall have one vote upon the matter in question for each share of stock entitled to vote held of record by such stockholder and a proportionate vote for each fractional share so held, unless otherwise provided by law or the Certificate of Incorporation.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upon after three years from the date of its execution, unless the proxy expressly provides for a longer period.</w:t>
      </w:r>
    </w:p>
    <w:p>
      <w:pPr>
        <w:spacing w:after="0" w:line="178"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u w:val="single" w:color="auto"/>
          <w:color w:val="auto"/>
        </w:rPr>
        <w:t>Action at Meeting</w:t>
      </w:r>
      <w:r>
        <w:rPr>
          <w:rFonts w:ascii="Arial" w:cs="Arial" w:eastAsia="Arial" w:hAnsi="Arial"/>
          <w:sz w:val="17"/>
          <w:szCs w:val="17"/>
          <w:color w:val="auto"/>
        </w:rPr>
        <w:t>. When a quorum is present at any meeting, any matter other than the election of directors to be voted upon by the stockholders at such meeting shall be decided by the vote of the holders of shares of stock having a majority in voting power of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3" w:name="page364"/>
    <w:bookmarkEnd w:id="363"/>
    <w:p>
      <w:pPr>
        <w:ind w:right="20"/>
        <w:spacing w:after="0" w:line="297" w:lineRule="auto"/>
        <w:rPr>
          <w:sz w:val="20"/>
          <w:szCs w:val="20"/>
          <w:color w:val="auto"/>
        </w:rPr>
      </w:pPr>
      <w:r>
        <w:rPr>
          <w:rFonts w:ascii="Arial" w:cs="Arial" w:eastAsia="Arial" w:hAnsi="Arial"/>
          <w:sz w:val="16"/>
          <w:szCs w:val="16"/>
          <w:color w:val="auto"/>
        </w:rPr>
        <w:t>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15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Nomination of Directors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2" w:lineRule="auto"/>
        <w:tabs>
          <w:tab w:leader="none" w:pos="1991" w:val="left"/>
        </w:tabs>
        <w:numPr>
          <w:ilvl w:val="0"/>
          <w:numId w:val="226"/>
        </w:numPr>
        <w:rPr>
          <w:rFonts w:ascii="Arial" w:cs="Arial" w:eastAsia="Arial" w:hAnsi="Arial"/>
          <w:sz w:val="17"/>
          <w:szCs w:val="17"/>
          <w:color w:val="auto"/>
        </w:rPr>
      </w:pPr>
      <w:r>
        <w:rPr>
          <w:rFonts w:ascii="Arial" w:cs="Arial" w:eastAsia="Arial" w:hAnsi="Arial"/>
          <w:sz w:val="17"/>
          <w:szCs w:val="17"/>
          <w:color w:val="auto"/>
        </w:rPr>
        <w:t>Except for (1) any directors entitled to be elected by the holders of preferred stock, (2) any directors elected in accordance with Section 2.8 hereof by the Board of Directors to fill vacancies or newly-created directorships or (3) as otherwise required by applicable law or stock exchange regulation, at any meeting of stockholders, only persons who are nominated in accordance with the procedures in this Section 1.11 shall be eligible for election as directors. Nomination for election to the Board of Directors at a meeting of stockholders may be made (i) by or at the direction of the Board of Directors or (ii) by any stockholder of the corporation who (x) timely complies with the notice procedures in Section 1.11(b), (y) is a stockholder of record who is entitled to vote for the election of such nominee on the date of the giving of such notice and on the record date for the determination of stockholders entitled to vote at such meeting and (z) is entitled to vote at such meeting.</w:t>
      </w:r>
    </w:p>
    <w:p>
      <w:pPr>
        <w:spacing w:after="0" w:line="177" w:lineRule="exact"/>
        <w:rPr>
          <w:rFonts w:ascii="Arial" w:cs="Arial" w:eastAsia="Arial" w:hAnsi="Arial"/>
          <w:sz w:val="17"/>
          <w:szCs w:val="17"/>
          <w:color w:val="auto"/>
        </w:rPr>
      </w:pPr>
    </w:p>
    <w:p>
      <w:pPr>
        <w:ind w:firstLine="1305"/>
        <w:spacing w:after="0" w:line="255" w:lineRule="auto"/>
        <w:tabs>
          <w:tab w:leader="none" w:pos="200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be timely, a stockholder’s notice must be received in writing by the Secretary at the principal executive office of the corporation as follows: (1) in the case of an election of directors at an annual meeting of stockholders, not less than 90 days nor more than 120 days prior to the first anniversary of the preceding year’s annual meeting; provided, however, that (x) in the case of an annual meeting of stockholders of the corporation to be held in 2020 or (y) in the event that the date of the annual meeting in any other year is advanced by more than 30 days, or delayed by more than 60 days, from the first anniversary of the preceding year’s annual meeting, or if no annual meeting was held in the preceding year, a stockholder’s notice must be so received not earlier than the 120th day prior to such annual meeting and not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4" w:name="page365"/>
    <w:bookmarkEnd w:id="364"/>
    <w:p>
      <w:pPr>
        <w:spacing w:after="0" w:line="253" w:lineRule="auto"/>
        <w:rPr>
          <w:sz w:val="20"/>
          <w:szCs w:val="20"/>
          <w:color w:val="auto"/>
        </w:rPr>
      </w:pPr>
      <w:r>
        <w:rPr>
          <w:rFonts w:ascii="Arial" w:cs="Arial" w:eastAsia="Arial" w:hAnsi="Arial"/>
          <w:sz w:val="18"/>
          <w:szCs w:val="18"/>
          <w:color w:val="auto"/>
        </w:rPr>
        <w:t>later than the close of business on the later of (x) the 90th day prior to such annual meeting and (y) the tenth day following the day on which notice of the date of such annual meeting was mailed or public disclosure of the date of such annual meeting was made, whichever first occurs; or (2) in the case of an election of directors at a special meeting of stockholders, provided that the Board of Directors has determined, in accordance with Section 1.3, that directors shall be elected at such special meeting and provided further that the nomination made by the stockholder is for one of the director positions that the Board of Directors has determined will be filled at such special meeting, not earlier than the 120th day prior to such special meeting and not later than the close of business on the later of (x) the 90th day prior to such special meeting and (y) the tenth day following the day on which notice of the date of such special meeting was mailed or public disclosure of the date of such special meeting was made, whichever first occurs. In no event shall the adjournment or postponement of a meeting (or the public disclosure thereof) commence a new time period (or extend any time period) for the giving of a stockholder’s notice.</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stockholder’s notice to the Secretary shall set forth: (A) 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and (5) any other information concerning such person that must be disclosed as to nominees in proxy solicitations pursuant to Regulation 14A under the Securities Exchange Act of 1934, as amended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5" w:name="page366"/>
    <w:bookmarkEnd w:id="365"/>
    <w:p>
      <w:pPr>
        <w:spacing w:after="0" w:line="283" w:lineRule="auto"/>
        <w:rPr>
          <w:sz w:val="20"/>
          <w:szCs w:val="20"/>
          <w:color w:val="auto"/>
        </w:rPr>
      </w:pPr>
      <w:r>
        <w:rPr>
          <w:rFonts w:ascii="Arial" w:cs="Arial" w:eastAsia="Arial" w:hAnsi="Arial"/>
          <w:sz w:val="16"/>
          <w:szCs w:val="16"/>
          <w:color w:val="auto"/>
        </w:rPr>
        <w:t>“Exchange Act”); and (B) as to the stockholder giving the notice and the beneficial owner, if any, on whose behalf the nomination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agreement, arrangement or understanding between or among such stockholder and/or such beneficial owner and each proposed nominee and any other person or persons (including their names) pursuant to which the nomination(s) are being made or who may participate in the solicitation of proxies or votes in favor of electing such nominee(s), (4)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w:t>
      </w:r>
    </w:p>
    <w:p>
      <w:pPr>
        <w:spacing w:after="0" w:line="7" w:lineRule="exact"/>
        <w:rPr>
          <w:sz w:val="20"/>
          <w:szCs w:val="20"/>
          <w:color w:val="auto"/>
        </w:rPr>
      </w:pPr>
    </w:p>
    <w:p>
      <w:pPr>
        <w:ind w:right="60" w:firstLine="8"/>
        <w:spacing w:after="0" w:line="286" w:lineRule="auto"/>
        <w:tabs>
          <w:tab w:leader="none" w:pos="25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and such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(6) a representation that such stockholder intends to appear in person or by proxy at the meeting to nominate the person(s) named in its notice and (7) a representation whether such stockholder and/or such beneficial owner intends or is part of a group that intends (x) to deliver a proxy statement and/or form of proxy to holders of at least 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or votes from stockholders in support of such nomination (and such representation shall be included in any such solicitation materials). Not later than 10 days after the record date for the meeting, the information required by Items (A)(1)-(5) and (B)(1)-(5) of the prior sentence shall be supplemented by the stockholder giving the notice to provide updated information as of the record date. In addition, to be effective, the stockholder’s notice must be accompanied by the written consent of the proposed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6" w:name="page367"/>
    <w:bookmarkEnd w:id="366"/>
    <w:p>
      <w:pPr>
        <w:ind w:right="60"/>
        <w:spacing w:after="0" w:line="255" w:lineRule="auto"/>
        <w:rPr>
          <w:sz w:val="20"/>
          <w:szCs w:val="20"/>
          <w:color w:val="auto"/>
        </w:rPr>
      </w:pPr>
      <w:r>
        <w:rPr>
          <w:rFonts w:ascii="Arial" w:cs="Arial" w:eastAsia="Arial" w:hAnsi="Arial"/>
          <w:sz w:val="18"/>
          <w:szCs w:val="18"/>
          <w:color w:val="auto"/>
        </w:rPr>
        <w:t>nominee to serve as a director if elected. The corporation may require any proposed nominee to furnish such other information as the corporation may reasonably require to determine the eligibility of such proposed nominee to serve as a director of the corporation or whether such nominee would be independent under applicable Securities and Exchange Commission and stock exchange rules and the corporation’s publicly disclosed corporate governance guidelines. A stockholder shall not have complied with this Section 1.11(b) if the stockholder (or beneficial owner, if any, on whose behalf the nomination is made) solicits or does not solicit, as the case may be, proxies or votes in support of such stockholder’s nominee in contravention of the representations with respect thereto required by this Section 1.11.</w:t>
      </w:r>
    </w:p>
    <w:p>
      <w:pPr>
        <w:spacing w:after="0" w:line="193" w:lineRule="exact"/>
        <w:rPr>
          <w:sz w:val="20"/>
          <w:szCs w:val="20"/>
          <w:color w:val="auto"/>
        </w:rPr>
      </w:pPr>
    </w:p>
    <w:p>
      <w:pPr>
        <w:ind w:firstLine="1305"/>
        <w:spacing w:after="0" w:line="297" w:lineRule="auto"/>
        <w:tabs>
          <w:tab w:leader="none" w:pos="199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chairman of any meeting shall have the power and duty to determine whether a nomination was made in accordance with the provisions of this Section 1.11 (including whether the stockholder or beneficial owner, if any, on whose behalf the nomination is made solicited (or is part of a group that solicited) or did not so solicit, as the case may be, proxies or votes in support of such stockholder’s nominee in compliance with the representations with respect thereto required by this Section 1.11), and if the chairman should determine that a nomination was not made in accordance with the provisions of this Section 1.11, the chairman shall so declare to the meeting and such nomination shall not be brought before the meeting.</w:t>
      </w:r>
    </w:p>
    <w:p>
      <w:pPr>
        <w:spacing w:after="0" w:line="158" w:lineRule="exact"/>
        <w:rPr>
          <w:rFonts w:ascii="Arial" w:cs="Arial" w:eastAsia="Arial" w:hAnsi="Arial"/>
          <w:sz w:val="16"/>
          <w:szCs w:val="16"/>
          <w:color w:val="auto"/>
        </w:rPr>
      </w:pPr>
    </w:p>
    <w:p>
      <w:pPr>
        <w:jc w:val="both"/>
        <w:ind w:right="520" w:firstLine="1305"/>
        <w:spacing w:after="0" w:line="264" w:lineRule="auto"/>
        <w:tabs>
          <w:tab w:leader="none" w:pos="200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1.11 shall obligate the corporation or the Board of Directors to include in any proxy statement or other stockholder communication distributed on behalf of the corporation or the Board of Directors information with respect to any nominee for director submitted by a stockholder.</w:t>
      </w:r>
    </w:p>
    <w:p>
      <w:pPr>
        <w:spacing w:after="0" w:line="181" w:lineRule="exact"/>
        <w:rPr>
          <w:rFonts w:ascii="Arial" w:cs="Arial" w:eastAsia="Arial" w:hAnsi="Arial"/>
          <w:sz w:val="18"/>
          <w:szCs w:val="18"/>
          <w:color w:val="auto"/>
        </w:rPr>
      </w:pPr>
    </w:p>
    <w:p>
      <w:pPr>
        <w:ind w:right="100" w:firstLine="1305"/>
        <w:spacing w:after="0" w:line="257" w:lineRule="auto"/>
        <w:tabs>
          <w:tab w:leader="none" w:pos="199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1.11,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1.11, to be considered a “qualified representative of the stockholder”, a person must be a duly authorized officer, manager or partner of such stockholder or must be authorized by a written instrument executed by such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7" w:name="page368"/>
    <w:bookmarkEnd w:id="367"/>
    <w:p>
      <w:pPr>
        <w:ind w:right="20"/>
        <w:spacing w:after="0" w:line="264" w:lineRule="auto"/>
        <w:rPr>
          <w:sz w:val="20"/>
          <w:szCs w:val="20"/>
          <w:color w:val="auto"/>
        </w:rPr>
      </w:pPr>
      <w:r>
        <w:rPr>
          <w:rFonts w:ascii="Arial" w:cs="Arial" w:eastAsia="Arial" w:hAnsi="Arial"/>
          <w:sz w:val="18"/>
          <w:szCs w:val="18"/>
          <w:color w:val="auto"/>
        </w:rPr>
        <w:t>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181" w:lineRule="exact"/>
        <w:rPr>
          <w:sz w:val="20"/>
          <w:szCs w:val="20"/>
          <w:color w:val="auto"/>
        </w:rPr>
      </w:pPr>
    </w:p>
    <w:p>
      <w:pPr>
        <w:ind w:right="120" w:firstLine="1305"/>
        <w:spacing w:after="0" w:line="264" w:lineRule="auto"/>
        <w:tabs>
          <w:tab w:leader="none" w:pos="201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For purposes of this Section 1.11,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Notice of Business at Annual 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91"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 brought before the meeting by a stockholder. For business to be properly brought before an annual meeting by a stockholder, (i) if such business relates to the nomination of a person for election as a director of the corporation, the procedures in Section 1.11 must be complied with and (ii) if such business relates to any other matter, the business must constitute a proper matter under Delaware law for stockholder action and the stockholder must (x) have given timely notice thereof in writing to the Secretary in accordance with the procedures in Section 1.12(b), (y) be a stockholder of record who is entitled to vote on such business on the date of the giving of such notice and on the record date for the determination of stockholders entitled to vote at such annual meeting and (z) be entitled to vote at such annual meeting.</w:t>
      </w:r>
    </w:p>
    <w:p>
      <w:pPr>
        <w:spacing w:after="0" w:line="181" w:lineRule="exact"/>
        <w:rPr>
          <w:rFonts w:ascii="Arial" w:cs="Arial" w:eastAsia="Arial" w:hAnsi="Arial"/>
          <w:sz w:val="17"/>
          <w:szCs w:val="17"/>
          <w:color w:val="auto"/>
        </w:rPr>
      </w:pPr>
    </w:p>
    <w:p>
      <w:pPr>
        <w:ind w:right="140" w:firstLine="1305"/>
        <w:spacing w:after="0" w:line="279" w:lineRule="auto"/>
        <w:tabs>
          <w:tab w:leader="none" w:pos="2001"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To be timely, a stockholder’s notice must be received in writing by the Secretary at the principal executive office of the corporation not less than 90 days nor more than 120 days prior to the first anniversary of the preceding year’s annual meeting; provided, however, that in the event that the date of the annual meeting is advanced by more than 30 days, or delayed by more than 60 days, from the first anniversary of the preceding year’s annual meeting, or if no annual meeting was held in the preceding year, a stockholder’s notice must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8" w:name="page369"/>
    <w:bookmarkEnd w:id="368"/>
    <w:p>
      <w:pPr>
        <w:ind w:right="40"/>
        <w:spacing w:after="0" w:line="279" w:lineRule="auto"/>
        <w:rPr>
          <w:sz w:val="20"/>
          <w:szCs w:val="20"/>
          <w:color w:val="auto"/>
        </w:rPr>
      </w:pPr>
      <w:r>
        <w:rPr>
          <w:rFonts w:ascii="Arial" w:cs="Arial" w:eastAsia="Arial" w:hAnsi="Arial"/>
          <w:sz w:val="17"/>
          <w:szCs w:val="17"/>
          <w:color w:val="auto"/>
        </w:rPr>
        <w:t>so received not earlier than the 120th day prior to such annual meeting and not later than the close of business on the later of (x) the 90th day prior to such annual meeting and (y) the tenth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stockholder’s notice to the Secretary shall set forth: (A) 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 (3) the reasons for conducting such business at the annual meeting, and (B) as to the stockholder giving the notice and the beneficial owner, if any, on whose behalf the proposal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material interest of such stockholder or such beneficial owner and the respective affiliates and associates of, or others acting in concert with, such stockholder or such beneficial owner in such business, (4) a description of any agreement, arrangement or understanding between or among such stockholder and/or such beneficial owner and any other person or persons (including their names) in connection with the proposal of such business or who may participate in the solicitation of proxies in favor of such proposal, (5)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(6) any other information relating to such stockholder and such beneficial owner that would be required to be disclosed in a proxy statement or other filings required to be made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solicitations of proxies for the business proposed pursuant to Section 14 of the Exchange Act and the rules and regulations promulgated thereunder, (7) a representation that such stockholder intends to appear in person or by proxy at the annual meeting to bring such business before the meeting and (8) a representation whether such stockholder and/or such beneficial owner intends or is part of a group that intends (x) to deliver a proxy statement and/or form of proxy to holders of at least the percentage of the corporation’s outstanding capital stock required to approve or adopt the proposal (and such representation shall be included in any such proxy statement and form of proxy) and/or (y) otherwise to solicit proxies or votes from stockholders in support of such proposal (and such representation shall be included in any such solicitation materials). Not later than 10 days after the record date for the meeting, the information required by Items (A)(3) and (B)(1)-(6) of the prior sentence shall be supplemented by the stockholder giving the notice to provide updated information as of the record date. Notwithstanding anything in these bylaws to the contrary, no business shall be conducted at any annual meeting of stockholders except in accordance with the procedures in this Section 1.12; provided that any stockholder proposal that complies with Rule 14a-8 of the proxy rules (or any successor provision) promulgated under the Exchange Act and is to be included in the corporation’s proxy statement for an annual meeting of stockholders shall be deemed to comply with the notice requirements of this Section 1.12. A stockholder shall not have complied with this Section 1.12(b) if the stockholder (or beneficial owner, if any, on whose behalf the proposal is made) solicits or does not solicit, as the case may be, proxies or votes in support of such stockholder’s proposal in contravention of the representations with respect thereto required by this Section 1.12.</w:t>
      </w:r>
    </w:p>
    <w:p>
      <w:pPr>
        <w:spacing w:after="0" w:line="175" w:lineRule="exact"/>
        <w:rPr>
          <w:sz w:val="20"/>
          <w:szCs w:val="20"/>
          <w:color w:val="auto"/>
        </w:rPr>
      </w:pPr>
    </w:p>
    <w:p>
      <w:pPr>
        <w:ind w:right="40" w:firstLine="1305"/>
        <w:spacing w:after="0" w:line="273" w:lineRule="auto"/>
        <w:tabs>
          <w:tab w:leader="none" w:pos="1991"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chairman of any annual meeting shall have the power and duty to determine whether business was properly brought before the annual meeting in accordance with the provisions of this Section 1.12 (including whether the stockholder or beneficial owner, if any, on whose behalf the proposal is made solicited (or is part of a group that solicited) or did not so solicit, as the case may be, proxies or votes in support of such stockholder’s proposal in compliance with the representation with respect thereto required by this Section 1.12), and if the chairman should determine that business was not properly brought before the annual meeting in accordance with the provisions of this Section 1.12, the chairman shall so declare to the meeting and such business shall not be brought before the annual meeting.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9" w:name="page370"/>
    <w:bookmarkEnd w:id="369"/>
    <w:p>
      <w:pPr>
        <w:jc w:val="both"/>
        <w:ind w:left="-20" w:right="520" w:firstLine="1305"/>
        <w:spacing w:after="0" w:line="264" w:lineRule="auto"/>
        <w:tabs>
          <w:tab w:leader="none" w:pos="198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1.12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181" w:lineRule="exact"/>
        <w:rPr>
          <w:rFonts w:ascii="Arial" w:cs="Arial" w:eastAsia="Arial" w:hAnsi="Arial"/>
          <w:sz w:val="18"/>
          <w:szCs w:val="18"/>
          <w:color w:val="auto"/>
        </w:rPr>
      </w:pPr>
    </w:p>
    <w:p>
      <w:pPr>
        <w:ind w:left="-20" w:right="80" w:firstLine="1305"/>
        <w:spacing w:after="0" w:line="264" w:lineRule="auto"/>
        <w:tabs>
          <w:tab w:leader="none" w:pos="197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1.12,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181" w:lineRule="exact"/>
        <w:rPr>
          <w:rFonts w:ascii="Arial" w:cs="Arial" w:eastAsia="Arial" w:hAnsi="Arial"/>
          <w:sz w:val="18"/>
          <w:szCs w:val="18"/>
          <w:color w:val="auto"/>
        </w:rPr>
      </w:pPr>
    </w:p>
    <w:p>
      <w:pPr>
        <w:ind w:left="-20" w:right="220" w:firstLine="1305"/>
        <w:spacing w:after="0" w:line="277" w:lineRule="auto"/>
        <w:tabs>
          <w:tab w:leader="none" w:pos="199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For purposes of this Section 1.12, the terms “qualified representative of the stockholder” and “public disclosure” shall have the same meaning as in Section 1.11.</w:t>
      </w:r>
    </w:p>
    <w:p>
      <w:pPr>
        <w:spacing w:after="0" w:line="170"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Conduct of Meetings</w:t>
      </w:r>
      <w:r>
        <w:rPr>
          <w:rFonts w:ascii="Arial" w:cs="Arial" w:eastAsia="Arial" w:hAnsi="Arial"/>
          <w:sz w:val="16"/>
          <w:szCs w:val="16"/>
          <w:color w:val="auto"/>
        </w:rPr>
        <w:t>.</w:t>
      </w:r>
    </w:p>
    <w:p>
      <w:pPr>
        <w:spacing w:after="0" w:line="225" w:lineRule="exact"/>
        <w:rPr>
          <w:sz w:val="20"/>
          <w:szCs w:val="20"/>
          <w:color w:val="auto"/>
        </w:rPr>
      </w:pPr>
    </w:p>
    <w:p>
      <w:pPr>
        <w:ind w:left="-20" w:firstLine="1305"/>
        <w:spacing w:after="0" w:line="257" w:lineRule="auto"/>
        <w:tabs>
          <w:tab w:leader="none" w:pos="197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Unless otherwise provided by the Board of Directors,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The Secretary shall act as secretary of the meeting, but in the Secretary’s absence the chairman of the meeting may appoint any person to act as secretary of the meeting.</w:t>
      </w:r>
    </w:p>
    <w:p>
      <w:pPr>
        <w:spacing w:after="0" w:line="188" w:lineRule="exact"/>
        <w:rPr>
          <w:rFonts w:ascii="Arial" w:cs="Arial" w:eastAsia="Arial" w:hAnsi="Arial"/>
          <w:sz w:val="18"/>
          <w:szCs w:val="18"/>
          <w:color w:val="auto"/>
        </w:rPr>
      </w:pPr>
    </w:p>
    <w:p>
      <w:pPr>
        <w:jc w:val="both"/>
        <w:ind w:left="-20" w:right="280" w:firstLine="1305"/>
        <w:spacing w:after="0" w:line="297" w:lineRule="auto"/>
        <w:tabs>
          <w:tab w:leader="none" w:pos="198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convene and (for any or no reason) to recess and/or adjourn the meeting and prescribe such rules, regulations and procedures and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370" w:name="page371"/>
    <w:bookmarkEnd w:id="370"/>
    <w:p>
      <w:pPr>
        <w:spacing w:after="0" w:line="272" w:lineRule="auto"/>
        <w:rPr>
          <w:sz w:val="20"/>
          <w:szCs w:val="20"/>
          <w:color w:val="auto"/>
        </w:rPr>
      </w:pPr>
      <w:r>
        <w:rPr>
          <w:rFonts w:ascii="Arial" w:cs="Arial" w:eastAsia="Arial" w:hAnsi="Arial"/>
          <w:sz w:val="17"/>
          <w:szCs w:val="17"/>
          <w:color w:val="auto"/>
        </w:rPr>
        <w:t>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78" w:lineRule="exact"/>
        <w:rPr>
          <w:sz w:val="20"/>
          <w:szCs w:val="20"/>
          <w:color w:val="auto"/>
        </w:rPr>
      </w:pPr>
    </w:p>
    <w:p>
      <w:pPr>
        <w:ind w:right="40" w:firstLine="1305"/>
        <w:spacing w:after="0" w:line="277" w:lineRule="auto"/>
        <w:tabs>
          <w:tab w:leader="none" w:pos="199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chairman of the meeting shall announce at the meeting when the polls for each matter to be voted upon at the meeting will be opened and closed. After the polls close, no ballots, proxies or votes or any revocations or changes thereto may be accepted.</w:t>
      </w:r>
    </w:p>
    <w:p>
      <w:pPr>
        <w:spacing w:after="0" w:line="170" w:lineRule="exact"/>
        <w:rPr>
          <w:rFonts w:ascii="Arial" w:cs="Arial" w:eastAsia="Arial" w:hAnsi="Arial"/>
          <w:sz w:val="18"/>
          <w:szCs w:val="18"/>
          <w:color w:val="auto"/>
        </w:rPr>
      </w:pPr>
    </w:p>
    <w:p>
      <w:pPr>
        <w:ind w:right="60" w:firstLine="1305"/>
        <w:spacing w:after="0" w:line="290" w:lineRule="auto"/>
        <w:tabs>
          <w:tab w:leader="none" w:pos="200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 advance of any meeting of stockholders, the Board of Directors,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1" w:name="page372"/>
    <w:bookmarkEnd w:id="371"/>
    <w:p>
      <w:pPr>
        <w:ind w:left="660"/>
        <w:spacing w:after="0"/>
        <w:tabs>
          <w:tab w:leader="none" w:pos="13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No Action by Consent in Lieu of a Meeting</w:t>
      </w:r>
      <w:r>
        <w:rPr>
          <w:rFonts w:ascii="Arial" w:cs="Arial" w:eastAsia="Arial" w:hAnsi="Arial"/>
          <w:sz w:val="16"/>
          <w:szCs w:val="16"/>
          <w:color w:val="auto"/>
        </w:rPr>
        <w:t>. Stockholders of the corporation may not take any action by written consent in lieu of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Number, Election and Qualification</w:t>
      </w:r>
      <w:r>
        <w:rPr>
          <w:rFonts w:ascii="Arial" w:cs="Arial" w:eastAsia="Arial" w:hAnsi="Arial"/>
          <w:sz w:val="17"/>
          <w:szCs w:val="17"/>
          <w:color w:val="auto"/>
        </w:rPr>
        <w:t>. The number of directors of the corporation shall be the number fixed by, or determined in the manner provided in, the Certificate of Incorporation. Election of directors need not be by written ballot. Directors need not be stockholders of the corporation.</w:t>
      </w:r>
    </w:p>
    <w:p>
      <w:pPr>
        <w:spacing w:after="0" w:line="14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Chairman of the Board; Vice Chairman of the Board</w:t>
      </w:r>
      <w:r>
        <w:rPr>
          <w:rFonts w:ascii="Arial" w:cs="Arial" w:eastAsia="Arial" w:hAnsi="Arial"/>
          <w:sz w:val="16"/>
          <w:szCs w:val="16"/>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or the Chairman of the Board. Unless otherwise provided by the Board of Directors, the Chairman of the Board or, in the Chairman’s absence, the Vice Chairman of the Board, if any, shall preside at all meetings of the Board of Directors.</w:t>
      </w:r>
    </w:p>
    <w:p>
      <w:pPr>
        <w:spacing w:after="0" w:line="16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Terms of Office</w:t>
      </w:r>
      <w:r>
        <w:rPr>
          <w:rFonts w:ascii="Arial" w:cs="Arial" w:eastAsia="Arial" w:hAnsi="Arial"/>
          <w:sz w:val="18"/>
          <w:szCs w:val="18"/>
          <w:color w:val="auto"/>
        </w:rPr>
        <w:t>. Directors shall be elected for such terms and in the manner provided by the Certificate of Incorporation and applicable law. The term of each director shall continue until the election and qualification of his or her successor and be subject to his or her earlier death, resignation or removal.</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72" w:name="page373"/>
    <w:bookmarkEnd w:id="372"/>
    <w:p>
      <w:pPr>
        <w:ind w:right="160" w:firstLine="64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established by the Board of Directors pursuant to the Certificate of Incorporation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8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Action at Meeting</w:t>
      </w:r>
      <w:r>
        <w:rPr>
          <w:rFonts w:ascii="Arial" w:cs="Arial" w:eastAsia="Arial" w:hAnsi="Arial"/>
          <w:sz w:val="17"/>
          <w:szCs w:val="17"/>
          <w:color w:val="auto"/>
        </w:rPr>
        <w:t>. Every act or decision done or made by a majority of the directors present at a meeting duly held at which a quorum is present shall be regarded as the act of the Board of Directors, unless a greater number is required by law or by the Certificate of Incorporation.</w:t>
      </w:r>
    </w:p>
    <w:p>
      <w:pPr>
        <w:spacing w:after="0" w:line="14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Removal</w:t>
      </w:r>
      <w:r>
        <w:rPr>
          <w:rFonts w:ascii="Arial" w:cs="Arial" w:eastAsia="Arial" w:hAnsi="Arial"/>
          <w:sz w:val="16"/>
          <w:szCs w:val="16"/>
          <w:color w:val="auto"/>
        </w:rPr>
        <w:t>. Directors of the corporation may be removed in the manner specified by the Certificate of Incorporation and applicable law.</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or newly-created directorship on the Board of Directors, however occurring, shall be filled in the manner specified by the Certificate of Incorporation and applicable law.</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a resignation in writing or by electronic transmission to the corporation at its principal executive office or to the Chairman of the Board, the Chief Executive Officer, the President or the Secretary. Such resignation shall be effective upon receipt unless it is specified to be effective at some later time or upon the happening of some later event.</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held at any time and place designated in a call by the Chairman of the Board, the Chief Executive Officer,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color w:val="auto"/>
        </w:rPr>
        <w:t>the President, two or more directors, or by one director in the event that there is only a single director in office.</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Notice of Special Meetings</w:t>
      </w:r>
      <w:r>
        <w:rPr>
          <w:rFonts w:ascii="Arial" w:cs="Arial" w:eastAsia="Arial" w:hAnsi="Arial"/>
          <w:sz w:val="16"/>
          <w:szCs w:val="16"/>
          <w:color w:val="auto"/>
        </w:rPr>
        <w:t>. Notice of the date, place and time of any special meeting of directors shall be given to each director by the Secretary or by the officer or one of the directors calling the meeting. Notice shall be duly given to each director (a) in person, by telephone or by electronic transmission at least 24 hours in advance of the meeting, (b) by delivering written notice by hand to such director’s last known business or home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Meetings by Conference Communications Equipment</w:t>
      </w:r>
      <w:r>
        <w:rPr>
          <w:rFonts w:ascii="Arial" w:cs="Arial" w:eastAsia="Arial" w:hAnsi="Arial"/>
          <w:sz w:val="18"/>
          <w:szCs w:val="18"/>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54"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4" w:name="page375"/>
    <w:bookmarkEnd w:id="374"/>
    <w:p>
      <w:pPr>
        <w:ind w:right="40"/>
        <w:spacing w:after="0" w:line="270" w:lineRule="auto"/>
        <w:rPr>
          <w:sz w:val="20"/>
          <w:szCs w:val="20"/>
          <w:color w:val="auto"/>
        </w:rPr>
      </w:pPr>
      <w:r>
        <w:rPr>
          <w:rFonts w:ascii="Arial" w:cs="Arial" w:eastAsia="Arial" w:hAnsi="Arial"/>
          <w:sz w:val="17"/>
          <w:szCs w:val="17"/>
          <w:color w:val="auto"/>
        </w:rPr>
        <w:t>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that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Titles</w:t>
      </w:r>
      <w:r>
        <w:rPr>
          <w:rFonts w:ascii="Arial" w:cs="Arial" w:eastAsia="Arial" w:hAnsi="Arial"/>
          <w:sz w:val="18"/>
          <w:szCs w:val="18"/>
          <w:color w:val="auto"/>
        </w:rPr>
        <w:t>.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5" w:name="page376"/>
    <w:bookmarkEnd w:id="375"/>
    <w:p>
      <w:pPr>
        <w:ind w:right="180" w:firstLine="648"/>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w:t>
      </w:r>
      <w:r>
        <w:rPr>
          <w:rFonts w:ascii="Arial" w:cs="Arial" w:eastAsia="Arial" w:hAnsi="Arial"/>
          <w:sz w:val="16"/>
          <w:szCs w:val="16"/>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2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Any two or more offices may be held by the same person.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by delivering a resignation in writing or by electronic transmission to the corporation at its principal executive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may fill any vacancy occurring in any office for any reason and may, in its discretion, leave unfilled for such period as it may determine any offices. Each such successor shall hold office for the unexpired term of such officer’s predecessor and until a successor is elected and qualified, or until such officer’s earlier death, resignation or removal.</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President; Chief Executive Officer</w:t>
      </w:r>
      <w:r>
        <w:rPr>
          <w:rFonts w:ascii="Arial" w:cs="Arial" w:eastAsia="Arial" w:hAnsi="Arial"/>
          <w:sz w:val="18"/>
          <w:szCs w:val="18"/>
          <w:color w:val="auto"/>
        </w:rPr>
        <w:t>. Unless the Board of Directors has designated another person as the corporation’s Chief Executive Officer, the President shall be the Chief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76" w:name="page377"/>
    <w:bookmarkEnd w:id="376"/>
    <w:p>
      <w:pPr>
        <w:ind w:right="60"/>
        <w:spacing w:after="0" w:line="291" w:lineRule="auto"/>
        <w:rPr>
          <w:sz w:val="20"/>
          <w:szCs w:val="20"/>
          <w:color w:val="auto"/>
        </w:rPr>
      </w:pPr>
      <w:r>
        <w:rPr>
          <w:rFonts w:ascii="Arial" w:cs="Arial" w:eastAsia="Arial" w:hAnsi="Arial"/>
          <w:sz w:val="16"/>
          <w:szCs w:val="16"/>
          <w:color w:val="auto"/>
        </w:rPr>
        <w:t>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the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5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77" w:name="page378"/>
    <w:bookmarkEnd w:id="377"/>
    <w:p>
      <w:pPr>
        <w:ind w:right="120"/>
        <w:spacing w:after="0" w:line="277" w:lineRule="auto"/>
        <w:rPr>
          <w:sz w:val="20"/>
          <w:szCs w:val="20"/>
          <w:color w:val="auto"/>
        </w:rPr>
      </w:pPr>
      <w:r>
        <w:rPr>
          <w:rFonts w:ascii="Arial" w:cs="Arial" w:eastAsia="Arial" w:hAnsi="Arial"/>
          <w:sz w:val="18"/>
          <w:szCs w:val="18"/>
          <w:color w:val="auto"/>
        </w:rPr>
        <w:t>there shall be more than one, the Assistant Secretaries in the order determined by the Board of Directors) shall perform the duties and exercise the powers of the Secretary.</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chairman of the meeting shall designate a temporary secretary to keep a record of the meeting.</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9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 or agent, notwithstanding any provision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Stock Certificates; Uncertificated Shares</w:t>
      </w:r>
      <w:r>
        <w:rPr>
          <w:rFonts w:ascii="Arial" w:cs="Arial" w:eastAsia="Arial" w:hAnsi="Arial"/>
          <w:sz w:val="18"/>
          <w:szCs w:val="18"/>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Each certificate for shares of stock that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8" w:name="page379"/>
    <w:bookmarkEnd w:id="378"/>
    <w:p>
      <w:pPr>
        <w:jc w:val="both"/>
        <w:ind w:right="80"/>
        <w:spacing w:after="0" w:line="264" w:lineRule="auto"/>
        <w:rPr>
          <w:sz w:val="20"/>
          <w:szCs w:val="20"/>
          <w:color w:val="auto"/>
        </w:rPr>
      </w:pPr>
      <w:r>
        <w:rPr>
          <w:rFonts w:ascii="Arial" w:cs="Arial" w:eastAsia="Arial" w:hAnsi="Arial"/>
          <w:sz w:val="18"/>
          <w:szCs w:val="18"/>
          <w:color w:val="auto"/>
        </w:rPr>
        <w:t>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Within a reasonable time after the issuance or transfer of uncertificated shares, the registered owner thereof shall be given a notice, in writing or by electronic transmission,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5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Transfers</w:t>
      </w:r>
      <w:r>
        <w:rPr>
          <w:rFonts w:ascii="Arial" w:cs="Arial" w:eastAsia="Arial" w:hAnsi="Arial"/>
          <w:sz w:val="16"/>
          <w:szCs w:val="16"/>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Uncertificated shares may be transferred by delivery of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9" w:name="page380"/>
    <w:bookmarkEnd w:id="379"/>
    <w:p>
      <w:pPr>
        <w:ind w:right="80" w:firstLine="648"/>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place of any previously issued certificate alleged to have been lost, stolen or destroyed, upon such terms and conditions as the corporation may prescribe, including the presentation of reasonable evidence of such loss, theft or destruction and the giving of such indemnity and posting of such bond as the corporation may require for the protection of the corporation or any transfer agent or registrar.</w:t>
      </w:r>
    </w:p>
    <w:p>
      <w:pPr>
        <w:spacing w:after="0" w:line="18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Regulations</w:t>
      </w:r>
      <w:r>
        <w:rPr>
          <w:rFonts w:ascii="Arial" w:cs="Arial" w:eastAsia="Arial" w:hAnsi="Arial"/>
          <w:sz w:val="18"/>
          <w:szCs w:val="18"/>
          <w:color w:val="auto"/>
        </w:rPr>
        <w:t>. The issue, transfer, conversion and registration of shares of stock of the corporation shall be governed by such other regulations as the Board of Directors may establish.</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designated by the Board of Directors, the fiscal year of the corporation shall begin on the first day of January of each year and end on the last day of December in each year.</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be in such form as shall be approved by the Board of Directors.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Record Date for Purposes Other Than Stockholder Meetings</w:t>
      </w:r>
      <w:r>
        <w:rPr>
          <w:rFonts w:ascii="Arial" w:cs="Arial" w:eastAsia="Arial" w:hAnsi="Arial"/>
          <w:sz w:val="18"/>
          <w:szCs w:val="18"/>
          <w:color w:val="auto"/>
        </w:rPr>
        <w:t>. In order that the corporation may determine the stockholders entitled to receive payment of any dividend or other distribution or allotment of any rights, entitled to exercise any rights in respect of any change, conversion or exchange of stock, or for the purpose of any other lawful action (other than with respect to determining stockholders entitled to notice of or to vote at a meeting of stockholders, which is addressed in Section 1.4 of these bylaws), the Board of Directors may fix a record date, which shall not precede the date upon which the resolution fixing the record date is adopted,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80" w:name="page381"/>
    <w:bookmarkEnd w:id="380"/>
    <w:p>
      <w:pPr>
        <w:ind w:right="60"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by law, by the Certificate of Incorporation or by these bylaws, a written waiver signed by the person entitled to notice, or a waiver by electronic transmission by the person entitled to notice, whether provided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Voting of Securities</w:t>
      </w:r>
      <w:r>
        <w:rPr>
          <w:rFonts w:ascii="Arial" w:cs="Arial" w:eastAsia="Arial" w:hAnsi="Arial"/>
          <w:sz w:val="18"/>
          <w:szCs w:val="18"/>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 or with respect to the execution of any written or electronic consent in the name of the corporation as a holder of such securities.</w:t>
      </w:r>
    </w:p>
    <w:p>
      <w:pPr>
        <w:spacing w:after="0" w:line="18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and/or restated and in effect from time to time.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1" w:name="page382"/>
    <w:bookmarkEnd w:id="381"/>
    <w:p>
      <w:pPr>
        <w:ind w:firstLine="648"/>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These bylaws may be altered, amended or repealed, in whole or in part, or new bylaws may be adopted by the Board of Directors or by the stockholders as provided in the Certificate of Incorporation.</w:t>
      </w:r>
    </w:p>
    <w:p>
      <w:pPr>
        <w:spacing w:after="0" w:line="17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60"/>
          </w:cols>
          <w:pgMar w:left="240" w:top="341" w:right="799" w:bottom="1440" w:gutter="0" w:footer="0" w:header="0"/>
        </w:sectPr>
      </w:pPr>
    </w:p>
    <w:bookmarkStart w:id="382" w:name="page383"/>
    <w:bookmarkEnd w:id="382"/>
    <w:p>
      <w:pPr>
        <w:ind w:left="93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997700" cy="101555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7700" cy="1015555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88900</wp:posOffset>
            </wp:positionV>
            <wp:extent cx="6997700" cy="58915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5891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6660" w:type="dxa"/>
            <w:vAlign w:val="bottom"/>
            <w:gridSpan w:val="4"/>
          </w:tcPr>
          <w:p>
            <w:pPr>
              <w:jc w:val="right"/>
              <w:ind w:right="4840"/>
              <w:spacing w:after="0"/>
              <w:rPr>
                <w:sz w:val="20"/>
                <w:szCs w:val="20"/>
                <w:color w:val="auto"/>
              </w:rPr>
            </w:pPr>
            <w:r>
              <w:rPr>
                <w:rFonts w:ascii="Arial" w:cs="Arial" w:eastAsia="Arial" w:hAnsi="Arial"/>
                <w:sz w:val="18"/>
                <w:szCs w:val="18"/>
                <w:color w:val="auto"/>
                <w:w w:val="94"/>
              </w:rPr>
              <w:t>TABLE OF CONTENTS</w:t>
            </w:r>
          </w:p>
        </w:tc>
      </w:tr>
      <w:tr>
        <w:trPr>
          <w:trHeight w:val="385"/>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1.</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Definitions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2.</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Registration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2.1</w:t>
            </w:r>
          </w:p>
        </w:tc>
        <w:tc>
          <w:tcPr>
            <w:tcW w:w="3860" w:type="dxa"/>
            <w:vAlign w:val="bottom"/>
          </w:tcPr>
          <w:p>
            <w:pPr>
              <w:ind w:left="120"/>
              <w:spacing w:after="0"/>
              <w:rPr>
                <w:sz w:val="20"/>
                <w:szCs w:val="20"/>
                <w:color w:val="auto"/>
              </w:rPr>
            </w:pPr>
            <w:r>
              <w:rPr>
                <w:rFonts w:ascii="Arial" w:cs="Arial" w:eastAsia="Arial" w:hAnsi="Arial"/>
                <w:sz w:val="18"/>
                <w:szCs w:val="18"/>
                <w:color w:val="auto"/>
              </w:rPr>
              <w:t>Demand Registration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2.2</w:t>
            </w:r>
          </w:p>
        </w:tc>
        <w:tc>
          <w:tcPr>
            <w:tcW w:w="3860" w:type="dxa"/>
            <w:vAlign w:val="bottom"/>
          </w:tcPr>
          <w:p>
            <w:pPr>
              <w:ind w:left="120"/>
              <w:spacing w:after="0"/>
              <w:rPr>
                <w:sz w:val="20"/>
                <w:szCs w:val="20"/>
                <w:color w:val="auto"/>
              </w:rPr>
            </w:pPr>
            <w:r>
              <w:rPr>
                <w:rFonts w:ascii="Arial" w:cs="Arial" w:eastAsia="Arial" w:hAnsi="Arial"/>
                <w:sz w:val="18"/>
                <w:szCs w:val="18"/>
                <w:color w:val="auto"/>
              </w:rPr>
              <w:t>Company Registration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2.3</w:t>
            </w:r>
          </w:p>
        </w:tc>
        <w:tc>
          <w:tcPr>
            <w:tcW w:w="3860" w:type="dxa"/>
            <w:vAlign w:val="bottom"/>
          </w:tcPr>
          <w:p>
            <w:pPr>
              <w:ind w:left="120"/>
              <w:spacing w:after="0"/>
              <w:rPr>
                <w:sz w:val="20"/>
                <w:szCs w:val="20"/>
                <w:color w:val="auto"/>
              </w:rPr>
            </w:pPr>
            <w:r>
              <w:rPr>
                <w:rFonts w:ascii="Arial" w:cs="Arial" w:eastAsia="Arial" w:hAnsi="Arial"/>
                <w:sz w:val="18"/>
                <w:szCs w:val="18"/>
                <w:color w:val="auto"/>
              </w:rPr>
              <w:t>Underwriting Requirements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2.4</w:t>
            </w:r>
          </w:p>
        </w:tc>
        <w:tc>
          <w:tcPr>
            <w:tcW w:w="3860" w:type="dxa"/>
            <w:vAlign w:val="bottom"/>
          </w:tcPr>
          <w:p>
            <w:pPr>
              <w:ind w:left="120"/>
              <w:spacing w:after="0"/>
              <w:rPr>
                <w:sz w:val="20"/>
                <w:szCs w:val="20"/>
                <w:color w:val="auto"/>
              </w:rPr>
            </w:pPr>
            <w:r>
              <w:rPr>
                <w:rFonts w:ascii="Arial" w:cs="Arial" w:eastAsia="Arial" w:hAnsi="Arial"/>
                <w:sz w:val="18"/>
                <w:szCs w:val="18"/>
                <w:color w:val="auto"/>
              </w:rPr>
              <w:t>Obligations of the Company</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2.5</w:t>
            </w:r>
          </w:p>
        </w:tc>
        <w:tc>
          <w:tcPr>
            <w:tcW w:w="3860" w:type="dxa"/>
            <w:vAlign w:val="bottom"/>
          </w:tcPr>
          <w:p>
            <w:pPr>
              <w:ind w:left="120"/>
              <w:spacing w:after="0"/>
              <w:rPr>
                <w:sz w:val="20"/>
                <w:szCs w:val="20"/>
                <w:color w:val="auto"/>
              </w:rPr>
            </w:pPr>
            <w:r>
              <w:rPr>
                <w:rFonts w:ascii="Arial" w:cs="Arial" w:eastAsia="Arial" w:hAnsi="Arial"/>
                <w:sz w:val="18"/>
                <w:szCs w:val="18"/>
                <w:color w:val="auto"/>
              </w:rPr>
              <w:t>Furnish Information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2.6</w:t>
            </w:r>
          </w:p>
        </w:tc>
        <w:tc>
          <w:tcPr>
            <w:tcW w:w="3860" w:type="dxa"/>
            <w:vAlign w:val="bottom"/>
          </w:tcPr>
          <w:p>
            <w:pPr>
              <w:ind w:left="120"/>
              <w:spacing w:after="0"/>
              <w:rPr>
                <w:sz w:val="20"/>
                <w:szCs w:val="20"/>
                <w:color w:val="auto"/>
              </w:rPr>
            </w:pPr>
            <w:r>
              <w:rPr>
                <w:rFonts w:ascii="Arial" w:cs="Arial" w:eastAsia="Arial" w:hAnsi="Arial"/>
                <w:sz w:val="18"/>
                <w:szCs w:val="18"/>
                <w:color w:val="auto"/>
              </w:rPr>
              <w:t>Expenses of Registration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2.7</w:t>
            </w:r>
          </w:p>
        </w:tc>
        <w:tc>
          <w:tcPr>
            <w:tcW w:w="3860" w:type="dxa"/>
            <w:vAlign w:val="bottom"/>
          </w:tcPr>
          <w:p>
            <w:pPr>
              <w:ind w:left="120"/>
              <w:spacing w:after="0"/>
              <w:rPr>
                <w:sz w:val="20"/>
                <w:szCs w:val="20"/>
                <w:color w:val="auto"/>
              </w:rPr>
            </w:pPr>
            <w:r>
              <w:rPr>
                <w:rFonts w:ascii="Arial" w:cs="Arial" w:eastAsia="Arial" w:hAnsi="Arial"/>
                <w:sz w:val="18"/>
                <w:szCs w:val="18"/>
                <w:color w:val="auto"/>
              </w:rPr>
              <w:t>Delay of Registration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2.8</w:t>
            </w:r>
          </w:p>
        </w:tc>
        <w:tc>
          <w:tcPr>
            <w:tcW w:w="386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2.9</w:t>
            </w:r>
          </w:p>
        </w:tc>
        <w:tc>
          <w:tcPr>
            <w:tcW w:w="3860" w:type="dxa"/>
            <w:vAlign w:val="bottom"/>
          </w:tcPr>
          <w:p>
            <w:pPr>
              <w:ind w:left="120"/>
              <w:spacing w:after="0"/>
              <w:rPr>
                <w:sz w:val="20"/>
                <w:szCs w:val="20"/>
                <w:color w:val="auto"/>
              </w:rPr>
            </w:pPr>
            <w:r>
              <w:rPr>
                <w:rFonts w:ascii="Arial" w:cs="Arial" w:eastAsia="Arial" w:hAnsi="Arial"/>
                <w:sz w:val="18"/>
                <w:szCs w:val="18"/>
                <w:color w:val="auto"/>
              </w:rPr>
              <w:t>Reports Under Exchange Act</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2.10</w:t>
            </w:r>
          </w:p>
        </w:tc>
        <w:tc>
          <w:tcPr>
            <w:tcW w:w="3860" w:type="dxa"/>
            <w:vAlign w:val="bottom"/>
          </w:tcPr>
          <w:p>
            <w:pPr>
              <w:ind w:left="120"/>
              <w:spacing w:after="0"/>
              <w:rPr>
                <w:sz w:val="20"/>
                <w:szCs w:val="20"/>
                <w:color w:val="auto"/>
              </w:rPr>
            </w:pPr>
            <w:r>
              <w:rPr>
                <w:rFonts w:ascii="Arial" w:cs="Arial" w:eastAsia="Arial" w:hAnsi="Arial"/>
                <w:sz w:val="18"/>
                <w:szCs w:val="18"/>
                <w:color w:val="auto"/>
              </w:rPr>
              <w:t>Limitations on Subsequent Registration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2.11</w:t>
            </w:r>
          </w:p>
        </w:tc>
        <w:tc>
          <w:tcPr>
            <w:tcW w:w="3860" w:type="dxa"/>
            <w:vAlign w:val="bottom"/>
          </w:tcPr>
          <w:p>
            <w:pPr>
              <w:ind w:left="120"/>
              <w:spacing w:after="0"/>
              <w:rPr>
                <w:sz w:val="20"/>
                <w:szCs w:val="20"/>
                <w:color w:val="auto"/>
              </w:rPr>
            </w:pPr>
            <w:r>
              <w:rPr>
                <w:rFonts w:ascii="Arial" w:cs="Arial" w:eastAsia="Arial" w:hAnsi="Arial"/>
                <w:sz w:val="18"/>
                <w:szCs w:val="18"/>
                <w:color w:val="auto"/>
              </w:rPr>
              <w:t>“Market Stand-off” Agreement</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2.12</w:t>
            </w:r>
          </w:p>
        </w:tc>
        <w:tc>
          <w:tcPr>
            <w:tcW w:w="3860" w:type="dxa"/>
            <w:vAlign w:val="bottom"/>
          </w:tcPr>
          <w:p>
            <w:pPr>
              <w:ind w:left="120"/>
              <w:spacing w:after="0"/>
              <w:rPr>
                <w:sz w:val="20"/>
                <w:szCs w:val="20"/>
                <w:color w:val="auto"/>
              </w:rPr>
            </w:pPr>
            <w:r>
              <w:rPr>
                <w:rFonts w:ascii="Arial" w:cs="Arial" w:eastAsia="Arial" w:hAnsi="Arial"/>
                <w:sz w:val="18"/>
                <w:szCs w:val="18"/>
                <w:color w:val="auto"/>
              </w:rPr>
              <w:t>Restrictions on Transfer</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2.13</w:t>
            </w:r>
          </w:p>
        </w:tc>
        <w:tc>
          <w:tcPr>
            <w:tcW w:w="3860" w:type="dxa"/>
            <w:vAlign w:val="bottom"/>
          </w:tcPr>
          <w:p>
            <w:pPr>
              <w:ind w:left="120"/>
              <w:spacing w:after="0"/>
              <w:rPr>
                <w:sz w:val="20"/>
                <w:szCs w:val="20"/>
                <w:color w:val="auto"/>
              </w:rPr>
            </w:pPr>
            <w:r>
              <w:rPr>
                <w:rFonts w:ascii="Arial" w:cs="Arial" w:eastAsia="Arial" w:hAnsi="Arial"/>
                <w:sz w:val="18"/>
                <w:szCs w:val="18"/>
                <w:color w:val="auto"/>
              </w:rPr>
              <w:t>Termination of Registration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3.</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Information and Observer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3.1</w:t>
            </w:r>
          </w:p>
        </w:tc>
        <w:tc>
          <w:tcPr>
            <w:tcW w:w="3860" w:type="dxa"/>
            <w:vAlign w:val="bottom"/>
          </w:tcPr>
          <w:p>
            <w:pPr>
              <w:ind w:left="120"/>
              <w:spacing w:after="0"/>
              <w:rPr>
                <w:sz w:val="20"/>
                <w:szCs w:val="20"/>
                <w:color w:val="auto"/>
              </w:rPr>
            </w:pPr>
            <w:r>
              <w:rPr>
                <w:rFonts w:ascii="Arial" w:cs="Arial" w:eastAsia="Arial" w:hAnsi="Arial"/>
                <w:sz w:val="18"/>
                <w:szCs w:val="18"/>
                <w:color w:val="auto"/>
              </w:rPr>
              <w:t>Delivery of Financial Statements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3.2</w:t>
            </w:r>
          </w:p>
        </w:tc>
        <w:tc>
          <w:tcPr>
            <w:tcW w:w="3860" w:type="dxa"/>
            <w:vAlign w:val="bottom"/>
          </w:tcPr>
          <w:p>
            <w:pPr>
              <w:ind w:left="120"/>
              <w:spacing w:after="0"/>
              <w:rPr>
                <w:sz w:val="20"/>
                <w:szCs w:val="20"/>
                <w:color w:val="auto"/>
              </w:rPr>
            </w:pPr>
            <w:r>
              <w:rPr>
                <w:rFonts w:ascii="Arial" w:cs="Arial" w:eastAsia="Arial" w:hAnsi="Arial"/>
                <w:sz w:val="18"/>
                <w:szCs w:val="18"/>
                <w:color w:val="auto"/>
              </w:rPr>
              <w:t>Inspection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3.3</w:t>
            </w:r>
          </w:p>
        </w:tc>
        <w:tc>
          <w:tcPr>
            <w:tcW w:w="3860" w:type="dxa"/>
            <w:vAlign w:val="bottom"/>
          </w:tcPr>
          <w:p>
            <w:pPr>
              <w:ind w:left="120"/>
              <w:spacing w:after="0"/>
              <w:rPr>
                <w:sz w:val="20"/>
                <w:szCs w:val="20"/>
                <w:color w:val="auto"/>
              </w:rPr>
            </w:pPr>
            <w:r>
              <w:rPr>
                <w:rFonts w:ascii="Arial" w:cs="Arial" w:eastAsia="Arial" w:hAnsi="Arial"/>
                <w:sz w:val="18"/>
                <w:szCs w:val="18"/>
                <w:color w:val="auto"/>
              </w:rPr>
              <w:t>Observer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3.4</w:t>
            </w:r>
          </w:p>
        </w:tc>
        <w:tc>
          <w:tcPr>
            <w:tcW w:w="3860" w:type="dxa"/>
            <w:vAlign w:val="bottom"/>
          </w:tcPr>
          <w:p>
            <w:pPr>
              <w:ind w:left="120"/>
              <w:spacing w:after="0"/>
              <w:rPr>
                <w:sz w:val="20"/>
                <w:szCs w:val="20"/>
                <w:color w:val="auto"/>
              </w:rPr>
            </w:pPr>
            <w:r>
              <w:rPr>
                <w:rFonts w:ascii="Arial" w:cs="Arial" w:eastAsia="Arial" w:hAnsi="Arial"/>
                <w:sz w:val="18"/>
                <w:szCs w:val="18"/>
                <w:color w:val="auto"/>
              </w:rPr>
              <w:t>Termination of Information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3.5</w:t>
            </w:r>
          </w:p>
        </w:tc>
        <w:tc>
          <w:tcPr>
            <w:tcW w:w="386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4.</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Rights to Future Stock Issuances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4.1</w:t>
            </w:r>
          </w:p>
        </w:tc>
        <w:tc>
          <w:tcPr>
            <w:tcW w:w="3860" w:type="dxa"/>
            <w:vAlign w:val="bottom"/>
          </w:tcPr>
          <w:p>
            <w:pPr>
              <w:ind w:left="120"/>
              <w:spacing w:after="0"/>
              <w:rPr>
                <w:sz w:val="20"/>
                <w:szCs w:val="20"/>
                <w:color w:val="auto"/>
              </w:rPr>
            </w:pPr>
            <w:r>
              <w:rPr>
                <w:rFonts w:ascii="Arial" w:cs="Arial" w:eastAsia="Arial" w:hAnsi="Arial"/>
                <w:sz w:val="18"/>
                <w:szCs w:val="18"/>
                <w:color w:val="auto"/>
              </w:rPr>
              <w:t>Right of First Offer</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4.2</w:t>
            </w:r>
          </w:p>
        </w:tc>
        <w:tc>
          <w:tcPr>
            <w:tcW w:w="386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5.</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Additional Covenants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5.1</w:t>
            </w:r>
          </w:p>
        </w:tc>
        <w:tc>
          <w:tcPr>
            <w:tcW w:w="386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5.2</w:t>
            </w:r>
          </w:p>
        </w:tc>
        <w:tc>
          <w:tcPr>
            <w:tcW w:w="3860" w:type="dxa"/>
            <w:vAlign w:val="bottom"/>
          </w:tcPr>
          <w:p>
            <w:pPr>
              <w:ind w:left="120"/>
              <w:spacing w:after="0"/>
              <w:rPr>
                <w:sz w:val="20"/>
                <w:szCs w:val="20"/>
                <w:color w:val="auto"/>
              </w:rPr>
            </w:pPr>
            <w:r>
              <w:rPr>
                <w:rFonts w:ascii="Arial" w:cs="Arial" w:eastAsia="Arial" w:hAnsi="Arial"/>
                <w:sz w:val="18"/>
                <w:szCs w:val="18"/>
                <w:color w:val="auto"/>
              </w:rPr>
              <w:t>Employee Agreements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5.3</w:t>
            </w:r>
          </w:p>
        </w:tc>
        <w:tc>
          <w:tcPr>
            <w:tcW w:w="3860" w:type="dxa"/>
            <w:vAlign w:val="bottom"/>
          </w:tcPr>
          <w:p>
            <w:pPr>
              <w:ind w:left="120"/>
              <w:spacing w:after="0"/>
              <w:rPr>
                <w:sz w:val="20"/>
                <w:szCs w:val="20"/>
                <w:color w:val="auto"/>
              </w:rPr>
            </w:pPr>
            <w:r>
              <w:rPr>
                <w:rFonts w:ascii="Arial" w:cs="Arial" w:eastAsia="Arial" w:hAnsi="Arial"/>
                <w:sz w:val="18"/>
                <w:szCs w:val="18"/>
                <w:color w:val="auto"/>
              </w:rPr>
              <w:t>Employee Vesting</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5.4</w:t>
            </w:r>
          </w:p>
        </w:tc>
        <w:tc>
          <w:tcPr>
            <w:tcW w:w="3860" w:type="dxa"/>
            <w:vAlign w:val="bottom"/>
          </w:tcPr>
          <w:p>
            <w:pPr>
              <w:ind w:left="120"/>
              <w:spacing w:after="0"/>
              <w:rPr>
                <w:sz w:val="20"/>
                <w:szCs w:val="20"/>
                <w:color w:val="auto"/>
              </w:rPr>
            </w:pPr>
            <w:r>
              <w:rPr>
                <w:rFonts w:ascii="Arial" w:cs="Arial" w:eastAsia="Arial" w:hAnsi="Arial"/>
                <w:sz w:val="18"/>
                <w:szCs w:val="18"/>
                <w:color w:val="auto"/>
              </w:rPr>
              <w:t>Matters Requiring Investor Director Approval</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60" w:type="dxa"/>
            <w:vAlign w:val="bottom"/>
            <w:gridSpan w:val="4"/>
          </w:tcPr>
          <w:p>
            <w:pPr>
              <w:jc w:val="right"/>
              <w:ind w:right="5720"/>
              <w:spacing w:after="0"/>
              <w:rPr>
                <w:sz w:val="20"/>
                <w:szCs w:val="20"/>
                <w:color w:val="auto"/>
              </w:rPr>
            </w:pPr>
            <w:r>
              <w:rPr>
                <w:rFonts w:ascii="Arial" w:cs="Arial" w:eastAsia="Arial" w:hAnsi="Arial"/>
                <w:sz w:val="18"/>
                <w:szCs w:val="18"/>
                <w:color w:val="auto"/>
              </w:rPr>
              <w:t>i</w:t>
            </w:r>
          </w:p>
        </w:tc>
      </w:tr>
      <w:tr>
        <w:trPr>
          <w:trHeight w:val="132"/>
        </w:trPr>
        <w:tc>
          <w:tcPr>
            <w:tcW w:w="3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5.5</w:t>
            </w:r>
          </w:p>
        </w:tc>
        <w:tc>
          <w:tcPr>
            <w:tcW w:w="4140" w:type="dxa"/>
            <w:vAlign w:val="bottom"/>
          </w:tcPr>
          <w:p>
            <w:pPr>
              <w:ind w:left="100"/>
              <w:spacing w:after="0"/>
              <w:rPr>
                <w:sz w:val="20"/>
                <w:szCs w:val="20"/>
                <w:color w:val="auto"/>
              </w:rPr>
            </w:pPr>
            <w:r>
              <w:rPr>
                <w:rFonts w:ascii="Arial" w:cs="Arial" w:eastAsia="Arial" w:hAnsi="Arial"/>
                <w:sz w:val="18"/>
                <w:szCs w:val="18"/>
                <w:color w:val="auto"/>
              </w:rPr>
              <w:t>Meetings of the Board of Directors; Committees</w:t>
            </w:r>
          </w:p>
        </w:tc>
        <w:tc>
          <w:tcPr>
            <w:tcW w:w="6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5.6</w:t>
            </w:r>
          </w:p>
        </w:tc>
        <w:tc>
          <w:tcPr>
            <w:tcW w:w="4140" w:type="dxa"/>
            <w:vAlign w:val="bottom"/>
          </w:tcPr>
          <w:p>
            <w:pPr>
              <w:ind w:left="100"/>
              <w:spacing w:after="0"/>
              <w:rPr>
                <w:sz w:val="20"/>
                <w:szCs w:val="20"/>
                <w:color w:val="auto"/>
              </w:rPr>
            </w:pPr>
            <w:r>
              <w:rPr>
                <w:rFonts w:ascii="Arial" w:cs="Arial" w:eastAsia="Arial" w:hAnsi="Arial"/>
                <w:sz w:val="18"/>
                <w:szCs w:val="18"/>
                <w:color w:val="auto"/>
              </w:rPr>
              <w:t>Successor Indemnification</w:t>
            </w:r>
          </w:p>
        </w:tc>
        <w:tc>
          <w:tcPr>
            <w:tcW w:w="6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5.7</w:t>
            </w:r>
          </w:p>
        </w:tc>
        <w:tc>
          <w:tcPr>
            <w:tcW w:w="4140" w:type="dxa"/>
            <w:vAlign w:val="bottom"/>
          </w:tcPr>
          <w:p>
            <w:pPr>
              <w:ind w:left="100"/>
              <w:spacing w:after="0"/>
              <w:rPr>
                <w:sz w:val="20"/>
                <w:szCs w:val="20"/>
                <w:color w:val="auto"/>
              </w:rPr>
            </w:pPr>
            <w:r>
              <w:rPr>
                <w:rFonts w:ascii="Arial" w:cs="Arial" w:eastAsia="Arial" w:hAnsi="Arial"/>
                <w:sz w:val="18"/>
                <w:szCs w:val="18"/>
                <w:color w:val="auto"/>
              </w:rPr>
              <w:t>Board Expenses</w:t>
            </w:r>
          </w:p>
        </w:tc>
        <w:tc>
          <w:tcPr>
            <w:tcW w:w="6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5.8</w:t>
            </w:r>
          </w:p>
        </w:tc>
        <w:tc>
          <w:tcPr>
            <w:tcW w:w="4140" w:type="dxa"/>
            <w:vAlign w:val="bottom"/>
          </w:tcPr>
          <w:p>
            <w:pPr>
              <w:ind w:left="100"/>
              <w:spacing w:after="0"/>
              <w:rPr>
                <w:sz w:val="20"/>
                <w:szCs w:val="20"/>
                <w:color w:val="auto"/>
              </w:rPr>
            </w:pPr>
            <w:r>
              <w:rPr>
                <w:rFonts w:ascii="Arial" w:cs="Arial" w:eastAsia="Arial" w:hAnsi="Arial"/>
                <w:sz w:val="18"/>
                <w:szCs w:val="18"/>
                <w:color w:val="auto"/>
              </w:rPr>
              <w:t>Directors’ Liability and Indemnification</w:t>
            </w:r>
          </w:p>
        </w:tc>
        <w:tc>
          <w:tcPr>
            <w:tcW w:w="6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5.9</w:t>
            </w:r>
          </w:p>
        </w:tc>
        <w:tc>
          <w:tcPr>
            <w:tcW w:w="4140" w:type="dxa"/>
            <w:vAlign w:val="bottom"/>
          </w:tcPr>
          <w:p>
            <w:pPr>
              <w:ind w:left="100"/>
              <w:spacing w:after="0"/>
              <w:rPr>
                <w:sz w:val="20"/>
                <w:szCs w:val="20"/>
                <w:color w:val="auto"/>
              </w:rPr>
            </w:pPr>
            <w:r>
              <w:rPr>
                <w:rFonts w:ascii="Arial" w:cs="Arial" w:eastAsia="Arial" w:hAnsi="Arial"/>
                <w:sz w:val="18"/>
                <w:szCs w:val="18"/>
                <w:color w:val="auto"/>
              </w:rPr>
              <w:t>Right to Conduct Activities</w:t>
            </w:r>
          </w:p>
        </w:tc>
        <w:tc>
          <w:tcPr>
            <w:tcW w:w="6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5.10</w:t>
            </w:r>
          </w:p>
        </w:tc>
        <w:tc>
          <w:tcPr>
            <w:tcW w:w="4140" w:type="dxa"/>
            <w:vAlign w:val="bottom"/>
          </w:tcPr>
          <w:p>
            <w:pPr>
              <w:ind w:left="100"/>
              <w:spacing w:after="0"/>
              <w:rPr>
                <w:sz w:val="20"/>
                <w:szCs w:val="20"/>
                <w:color w:val="auto"/>
              </w:rPr>
            </w:pPr>
            <w:r>
              <w:rPr>
                <w:rFonts w:ascii="Arial" w:cs="Arial" w:eastAsia="Arial" w:hAnsi="Arial"/>
                <w:sz w:val="18"/>
                <w:szCs w:val="18"/>
                <w:color w:val="auto"/>
              </w:rPr>
              <w:t>ERISA</w:t>
            </w:r>
          </w:p>
        </w:tc>
        <w:tc>
          <w:tcPr>
            <w:tcW w:w="6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5.11</w:t>
            </w:r>
          </w:p>
        </w:tc>
        <w:tc>
          <w:tcPr>
            <w:tcW w:w="4140" w:type="dxa"/>
            <w:vAlign w:val="bottom"/>
          </w:tcPr>
          <w:p>
            <w:pPr>
              <w:ind w:left="100"/>
              <w:spacing w:after="0"/>
              <w:rPr>
                <w:sz w:val="20"/>
                <w:szCs w:val="20"/>
                <w:color w:val="auto"/>
              </w:rPr>
            </w:pPr>
            <w:r>
              <w:rPr>
                <w:rFonts w:ascii="Arial" w:cs="Arial" w:eastAsia="Arial" w:hAnsi="Arial"/>
                <w:sz w:val="18"/>
                <w:szCs w:val="18"/>
                <w:color w:val="auto"/>
              </w:rPr>
              <w:t>Termination of Covenants</w:t>
            </w:r>
          </w:p>
        </w:tc>
        <w:tc>
          <w:tcPr>
            <w:tcW w:w="6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Miscellaneous</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6.1</w:t>
            </w:r>
          </w:p>
        </w:tc>
        <w:tc>
          <w:tcPr>
            <w:tcW w:w="414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6.2</w:t>
            </w:r>
          </w:p>
        </w:tc>
        <w:tc>
          <w:tcPr>
            <w:tcW w:w="41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6.3</w:t>
            </w:r>
          </w:p>
        </w:tc>
        <w:tc>
          <w:tcPr>
            <w:tcW w:w="4140" w:type="dxa"/>
            <w:vAlign w:val="bottom"/>
          </w:tcPr>
          <w:p>
            <w:pPr>
              <w:ind w:left="100"/>
              <w:spacing w:after="0"/>
              <w:rPr>
                <w:sz w:val="20"/>
                <w:szCs w:val="20"/>
                <w:color w:val="auto"/>
              </w:rPr>
            </w:pPr>
            <w:r>
              <w:rPr>
                <w:rFonts w:ascii="Arial" w:cs="Arial" w:eastAsia="Arial" w:hAnsi="Arial"/>
                <w:sz w:val="18"/>
                <w:szCs w:val="18"/>
                <w:color w:val="auto"/>
              </w:rPr>
              <w:t>Counterparts; Facsimile</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6.4</w:t>
            </w:r>
          </w:p>
        </w:tc>
        <w:tc>
          <w:tcPr>
            <w:tcW w:w="4140" w:type="dxa"/>
            <w:vAlign w:val="bottom"/>
          </w:tcPr>
          <w:p>
            <w:pPr>
              <w:ind w:left="100"/>
              <w:spacing w:after="0"/>
              <w:rPr>
                <w:sz w:val="20"/>
                <w:szCs w:val="20"/>
                <w:color w:val="auto"/>
              </w:rPr>
            </w:pPr>
            <w:r>
              <w:rPr>
                <w:rFonts w:ascii="Arial" w:cs="Arial" w:eastAsia="Arial" w:hAnsi="Arial"/>
                <w:sz w:val="18"/>
                <w:szCs w:val="18"/>
                <w:color w:val="auto"/>
              </w:rPr>
              <w:t>Titles and Subtitles</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6.5</w:t>
            </w:r>
          </w:p>
        </w:tc>
        <w:tc>
          <w:tcPr>
            <w:tcW w:w="4140" w:type="dxa"/>
            <w:vAlign w:val="bottom"/>
          </w:tcPr>
          <w:p>
            <w:pPr>
              <w:ind w:left="100"/>
              <w:spacing w:after="0"/>
              <w:rPr>
                <w:sz w:val="20"/>
                <w:szCs w:val="20"/>
                <w:color w:val="auto"/>
              </w:rPr>
            </w:pPr>
            <w:r>
              <w:rPr>
                <w:rFonts w:ascii="Arial" w:cs="Arial" w:eastAsia="Arial" w:hAnsi="Arial"/>
                <w:sz w:val="18"/>
                <w:szCs w:val="18"/>
                <w:color w:val="auto"/>
              </w:rPr>
              <w:t>Notices</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6.6</w:t>
            </w:r>
          </w:p>
        </w:tc>
        <w:tc>
          <w:tcPr>
            <w:tcW w:w="4140" w:type="dxa"/>
            <w:vAlign w:val="bottom"/>
          </w:tcPr>
          <w:p>
            <w:pPr>
              <w:ind w:left="100"/>
              <w:spacing w:after="0"/>
              <w:rPr>
                <w:sz w:val="20"/>
                <w:szCs w:val="20"/>
                <w:color w:val="auto"/>
              </w:rPr>
            </w:pPr>
            <w:r>
              <w:rPr>
                <w:rFonts w:ascii="Arial" w:cs="Arial" w:eastAsia="Arial" w:hAnsi="Arial"/>
                <w:sz w:val="18"/>
                <w:szCs w:val="18"/>
                <w:color w:val="auto"/>
              </w:rPr>
              <w:t>Amendments and Waivers</w:t>
            </w:r>
          </w:p>
        </w:tc>
        <w:tc>
          <w:tcPr>
            <w:tcW w:w="6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6.7</w:t>
            </w:r>
          </w:p>
        </w:tc>
        <w:tc>
          <w:tcPr>
            <w:tcW w:w="41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6.8</w:t>
            </w:r>
          </w:p>
        </w:tc>
        <w:tc>
          <w:tcPr>
            <w:tcW w:w="4140" w:type="dxa"/>
            <w:vAlign w:val="bottom"/>
          </w:tcPr>
          <w:p>
            <w:pPr>
              <w:ind w:left="100"/>
              <w:spacing w:after="0"/>
              <w:rPr>
                <w:sz w:val="20"/>
                <w:szCs w:val="20"/>
                <w:color w:val="auto"/>
              </w:rPr>
            </w:pPr>
            <w:r>
              <w:rPr>
                <w:rFonts w:ascii="Arial" w:cs="Arial" w:eastAsia="Arial" w:hAnsi="Arial"/>
                <w:sz w:val="18"/>
                <w:szCs w:val="18"/>
                <w:color w:val="auto"/>
              </w:rPr>
              <w:t>Aggregation of Stock</w:t>
            </w:r>
          </w:p>
        </w:tc>
        <w:tc>
          <w:tcPr>
            <w:tcW w:w="6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6.9</w:t>
            </w:r>
          </w:p>
        </w:tc>
        <w:tc>
          <w:tcPr>
            <w:tcW w:w="4140" w:type="dxa"/>
            <w:vAlign w:val="bottom"/>
          </w:tcPr>
          <w:p>
            <w:pPr>
              <w:ind w:left="100"/>
              <w:spacing w:after="0"/>
              <w:rPr>
                <w:sz w:val="20"/>
                <w:szCs w:val="20"/>
                <w:color w:val="auto"/>
              </w:rPr>
            </w:pPr>
            <w:r>
              <w:rPr>
                <w:rFonts w:ascii="Arial" w:cs="Arial" w:eastAsia="Arial" w:hAnsi="Arial"/>
                <w:sz w:val="18"/>
                <w:szCs w:val="18"/>
                <w:color w:val="auto"/>
              </w:rPr>
              <w:t>Additional Investors</w:t>
            </w:r>
          </w:p>
        </w:tc>
        <w:tc>
          <w:tcPr>
            <w:tcW w:w="6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6.10</w:t>
            </w:r>
          </w:p>
        </w:tc>
        <w:tc>
          <w:tcPr>
            <w:tcW w:w="414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6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6.11</w:t>
            </w:r>
          </w:p>
        </w:tc>
        <w:tc>
          <w:tcPr>
            <w:tcW w:w="4140" w:type="dxa"/>
            <w:vAlign w:val="bottom"/>
          </w:tcPr>
          <w:p>
            <w:pPr>
              <w:ind w:left="100"/>
              <w:spacing w:after="0"/>
              <w:rPr>
                <w:sz w:val="20"/>
                <w:szCs w:val="20"/>
                <w:color w:val="auto"/>
              </w:rPr>
            </w:pPr>
            <w:r>
              <w:rPr>
                <w:rFonts w:ascii="Arial" w:cs="Arial" w:eastAsia="Arial" w:hAnsi="Arial"/>
                <w:sz w:val="18"/>
                <w:szCs w:val="18"/>
                <w:color w:val="auto"/>
              </w:rPr>
              <w:t>Delays or Omissions</w:t>
            </w:r>
          </w:p>
        </w:tc>
        <w:tc>
          <w:tcPr>
            <w:tcW w:w="6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6.12</w:t>
            </w:r>
          </w:p>
        </w:tc>
        <w:tc>
          <w:tcPr>
            <w:tcW w:w="4140" w:type="dxa"/>
            <w:vAlign w:val="bottom"/>
          </w:tcPr>
          <w:p>
            <w:pPr>
              <w:ind w:left="100"/>
              <w:spacing w:after="0"/>
              <w:rPr>
                <w:sz w:val="20"/>
                <w:szCs w:val="20"/>
                <w:color w:val="auto"/>
              </w:rPr>
            </w:pPr>
            <w:r>
              <w:rPr>
                <w:rFonts w:ascii="Arial" w:cs="Arial" w:eastAsia="Arial" w:hAnsi="Arial"/>
                <w:sz w:val="18"/>
                <w:szCs w:val="18"/>
                <w:color w:val="auto"/>
              </w:rPr>
              <w:t>Submission to Jurisdiction</w:t>
            </w:r>
          </w:p>
        </w:tc>
        <w:tc>
          <w:tcPr>
            <w:tcW w:w="6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4140" w:type="dxa"/>
            <w:vAlign w:val="bottom"/>
          </w:tcPr>
          <w:p>
            <w:pPr>
              <w:ind w:left="100"/>
              <w:spacing w:after="0"/>
              <w:rPr>
                <w:sz w:val="20"/>
                <w:szCs w:val="20"/>
                <w:color w:val="auto"/>
              </w:rPr>
            </w:pPr>
            <w:r>
              <w:rPr>
                <w:rFonts w:ascii="Arial" w:cs="Arial" w:eastAsia="Arial" w:hAnsi="Arial"/>
                <w:sz w:val="18"/>
                <w:szCs w:val="18"/>
                <w:color w:val="auto"/>
              </w:rPr>
              <w:t>- Schedule of Investors</w:t>
            </w:r>
          </w:p>
        </w:tc>
        <w:tc>
          <w:tcPr>
            <w:tcW w:w="636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360" w:type="dxa"/>
            <w:vAlign w:val="bottom"/>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3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c>
          <w:tcPr>
            <w:tcW w:w="6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THIS AMENDED AND RESTATED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August 24, 2018, by and among Fulcrum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each investor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i w:val="1"/>
          <w:iCs w:val="1"/>
          <w:color w:val="auto"/>
        </w:rPr>
        <w:t>:</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certain of the Investors (the “</w:t>
      </w:r>
      <w:r>
        <w:rPr>
          <w:rFonts w:ascii="Arial" w:cs="Arial" w:eastAsia="Arial" w:hAnsi="Arial"/>
          <w:sz w:val="17"/>
          <w:szCs w:val="17"/>
          <w:b w:val="1"/>
          <w:bCs w:val="1"/>
          <w:color w:val="auto"/>
        </w:rPr>
        <w:t>Existing Investors</w:t>
      </w:r>
      <w:r>
        <w:rPr>
          <w:rFonts w:ascii="Arial" w:cs="Arial" w:eastAsia="Arial" w:hAnsi="Arial"/>
          <w:sz w:val="17"/>
          <w:szCs w:val="17"/>
          <w:color w:val="auto"/>
        </w:rPr>
        <w:t>”) hold shares of the Company’s Series A Preferred Stock and/or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issued upon conversion thereof and possess registration rights, information rights, rights of first offer, and other rights pursuant to that certain Investors’ Rights Agreement, dated as of July 18, 2016, by and among the Company and such Existing Investors (the “</w:t>
      </w:r>
      <w:r>
        <w:rPr>
          <w:rFonts w:ascii="Arial" w:cs="Arial" w:eastAsia="Arial" w:hAnsi="Arial"/>
          <w:sz w:val="17"/>
          <w:szCs w:val="17"/>
          <w:b w:val="1"/>
          <w:bCs w:val="1"/>
          <w:color w:val="auto"/>
        </w:rPr>
        <w:t>Prior Agreement</w:t>
      </w:r>
      <w:r>
        <w:rPr>
          <w:rFonts w:ascii="Arial" w:cs="Arial" w:eastAsia="Arial" w:hAnsi="Arial"/>
          <w:sz w:val="17"/>
          <w:szCs w:val="17"/>
          <w:color w:val="auto"/>
        </w:rPr>
        <w:t>”);</w:t>
      </w:r>
    </w:p>
    <w:p>
      <w:pPr>
        <w:spacing w:after="0" w:line="158" w:lineRule="exact"/>
        <w:rPr>
          <w:sz w:val="20"/>
          <w:szCs w:val="20"/>
          <w:color w:val="auto"/>
        </w:rPr>
      </w:pPr>
    </w:p>
    <w:p>
      <w:pPr>
        <w:ind w:right="46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6.6 of the Prior Agreement, the Prior Agreement may be amended by written consent of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at least a majority in interest of the Registrable Securities of the Company (as defined in the Prior Agreement);</w:t>
      </w:r>
    </w:p>
    <w:p>
      <w:pPr>
        <w:spacing w:after="0" w:line="138"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Series B Preferred Stock Purchase Agreement of even date herewith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such Investors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certain of the Company’s and such Investors’ obligations are conditioned upon the execution and delivery of this Agreement by such Investors, Existing Investors holding at least a majority in interest of the Registrable Securities (as defined in the Prior Agreement), and the Company;</w:t>
      </w:r>
    </w:p>
    <w:p>
      <w:pPr>
        <w:spacing w:after="0" w:line="180"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Existing Investors hold at least a majority in interest of the Registrable Securities of the Company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 and</w:t>
      </w:r>
    </w:p>
    <w:p>
      <w:pPr>
        <w:spacing w:after="0" w:line="162"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the consummation of the sale and purchase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 Preferred Stock (as defined below) pursuant to the Purchase Agreement and the other valuation consideration, receipt of which is hereby acknowledged, the undersigned Existing Investors hereby agree that the Prior Agreement shall be amended and restated, and the parties to this Agreement further agree as follows:</w:t>
      </w:r>
    </w:p>
    <w:p>
      <w:pPr>
        <w:sectPr>
          <w:pgSz w:w="11900" w:h="16838" w:orient="portrait"/>
          <w:cols w:equalWidth="0" w:num="1">
            <w:col w:w="11460"/>
          </w:cols>
          <w:pgMar w:left="240" w:top="341" w:right="199" w:bottom="0" w:gutter="0" w:footer="0" w:header="0"/>
        </w:sectPr>
      </w:pPr>
    </w:p>
    <w:bookmarkStart w:id="387" w:name="page388"/>
    <w:bookmarkEnd w:id="387"/>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w:t>
      </w:r>
    </w:p>
    <w:p>
      <w:pPr>
        <w:spacing w:after="0" w:line="221"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or which, directly or indirectly, controls, is controlled by, or is under common control with such specified Person, including without limitation any general partner, officer, director, or manager of such Person and any venture capital fund or other investment fund now or hereafter existing that is controlled by one or more general partners or managing members of, or shares the same management company or investment adviser with, such Person.</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388" w:name="page389"/>
    <w:bookmarkEnd w:id="388"/>
    <w:p>
      <w:pPr>
        <w:ind w:left="1300"/>
        <w:spacing w:after="0"/>
        <w:tabs>
          <w:tab w:leader="none" w:pos="1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“Board of Directors” </w:t>
      </w:r>
      <w:r>
        <w:rPr>
          <w:rFonts w:ascii="Arial" w:cs="Arial" w:eastAsia="Arial" w:hAnsi="Arial"/>
          <w:sz w:val="16"/>
          <w:szCs w:val="16"/>
          <w:color w:val="auto"/>
        </w:rPr>
        <w:t>means the Company’s Board of Directors.</w:t>
      </w:r>
    </w:p>
    <w:p>
      <w:pPr>
        <w:spacing w:after="0" w:line="225"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Amended and Restated Certificate of Incorporation, as the same may be amended, restated or otherwise modified from time to time.</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shares of the Company’s common stock, par value $0.001 per share.</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1.5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Deemed Liquidation Event</w:t>
      </w:r>
      <w:r>
        <w:rPr>
          <w:rFonts w:ascii="Arial" w:cs="Arial" w:eastAsia="Arial" w:hAnsi="Arial"/>
          <w:sz w:val="16"/>
          <w:szCs w:val="16"/>
          <w:color w:val="auto"/>
        </w:rPr>
        <w:t>” shall have the meaning given to such term in the Certificate of Incorporation.</w:t>
      </w:r>
    </w:p>
    <w:p>
      <w:pPr>
        <w:spacing w:after="0" w:line="22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25" w:lineRule="exact"/>
        <w:rPr>
          <w:sz w:val="20"/>
          <w:szCs w:val="20"/>
          <w:color w:val="auto"/>
        </w:rPr>
      </w:pPr>
    </w:p>
    <w:p>
      <w:pPr>
        <w:ind w:right="240" w:firstLine="1297"/>
        <w:spacing w:after="0" w:line="261"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w:t>
      </w:r>
    </w:p>
    <w:p>
      <w:pPr>
        <w:spacing w:after="0" w:line="180"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Fidelity</w:t>
      </w:r>
      <w:r>
        <w:rPr>
          <w:rFonts w:ascii="Arial" w:cs="Arial" w:eastAsia="Arial" w:hAnsi="Arial"/>
          <w:sz w:val="18"/>
          <w:szCs w:val="18"/>
          <w:color w:val="auto"/>
        </w:rPr>
        <w:t>” shall mean Fidelity Management &amp; Research Company and any successor or affiliated registered investment advisor to the Fidelity Investors.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Fidelity Investors</w:t>
      </w:r>
      <w:r>
        <w:rPr>
          <w:rFonts w:ascii="Arial" w:cs="Arial" w:eastAsia="Arial" w:hAnsi="Arial"/>
          <w:sz w:val="16"/>
          <w:szCs w:val="16"/>
          <w:color w:val="auto"/>
        </w:rPr>
        <w:t>” shall mean any Investors advised or subadvised by Fidelity or one of its Affiliates.</w:t>
      </w:r>
    </w:p>
    <w:p>
      <w:pPr>
        <w:spacing w:after="0" w:line="225"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9" w:name="page390"/>
    <w:bookmarkEnd w:id="389"/>
    <w:p>
      <w:pPr>
        <w:ind w:right="120" w:firstLine="1297"/>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holder of Registrable Securities who is a party to this Agreement.</w:t>
      </w:r>
    </w:p>
    <w:p>
      <w:pPr>
        <w:spacing w:after="0" w:line="225" w:lineRule="exact"/>
        <w:rPr>
          <w:sz w:val="20"/>
          <w:szCs w:val="20"/>
          <w:color w:val="auto"/>
        </w:rPr>
      </w:pPr>
    </w:p>
    <w:p>
      <w:pPr>
        <w:ind w:right="200" w:firstLine="1297"/>
        <w:spacing w:after="0" w:line="347"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Investor Directors</w:t>
      </w:r>
      <w:r>
        <w:rPr>
          <w:rFonts w:ascii="Arial" w:cs="Arial" w:eastAsia="Arial" w:hAnsi="Arial"/>
          <w:sz w:val="16"/>
          <w:szCs w:val="16"/>
          <w:color w:val="auto"/>
        </w:rPr>
        <w:t>” means, collectively, the Series A Director and the Series B Director.</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225"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76"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Major Investor</w:t>
      </w:r>
      <w:r>
        <w:rPr>
          <w:rFonts w:ascii="Arial" w:cs="Arial" w:eastAsia="Arial" w:hAnsi="Arial"/>
          <w:sz w:val="17"/>
          <w:szCs w:val="17"/>
          <w:color w:val="auto"/>
        </w:rPr>
        <w:t>” means any Investor that, individually or together with such Investor’s Affiliates, holds at least 750,000 shares of Registrable Securities (subject to appropriate adjustment in the event of any stock dividend, stock split, combination or other similar recapitalization).</w:t>
      </w:r>
    </w:p>
    <w:p>
      <w:pPr>
        <w:spacing w:after="0" w:line="138" w:lineRule="exact"/>
        <w:rPr>
          <w:sz w:val="20"/>
          <w:szCs w:val="20"/>
          <w:color w:val="auto"/>
        </w:rPr>
      </w:pPr>
    </w:p>
    <w:p>
      <w:pPr>
        <w:jc w:val="both"/>
        <w:ind w:right="360" w:firstLine="1297"/>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means the Series A Preferred Stock and the Series B Preferred Stock.</w:t>
      </w:r>
    </w:p>
    <w:p>
      <w:pPr>
        <w:spacing w:after="0" w:line="225" w:lineRule="exact"/>
        <w:rPr>
          <w:sz w:val="20"/>
          <w:szCs w:val="20"/>
          <w:color w:val="auto"/>
        </w:rPr>
      </w:pPr>
    </w:p>
    <w:p>
      <w:pPr>
        <w:ind w:right="660" w:firstLine="1297"/>
        <w:spacing w:after="0" w:line="282"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(i) the Common Stock issuable or issued upon conversion of th</w:t>
      </w:r>
      <w:r>
        <w:rPr>
          <w:rFonts w:ascii="Arial" w:cs="Arial" w:eastAsia="Arial" w:hAnsi="Arial"/>
          <w:sz w:val="18"/>
          <w:szCs w:val="18"/>
          <w:b w:val="1"/>
          <w:bCs w:val="1"/>
          <w:color w:val="auto"/>
        </w:rPr>
        <w:t>e</w:t>
      </w:r>
      <w:r>
        <w:rPr>
          <w:rFonts w:ascii="Arial" w:cs="Arial" w:eastAsia="Arial" w:hAnsi="Arial"/>
          <w:sz w:val="18"/>
          <w:szCs w:val="18"/>
          <w:color w:val="auto"/>
        </w:rPr>
        <w:t xml:space="preserve"> Preferred Stock; (ii) any Common Stock, or any Common Stock issued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0" w:name="page391"/>
    <w:bookmarkEnd w:id="390"/>
    <w:p>
      <w:pPr>
        <w:spacing w:after="0" w:line="297" w:lineRule="auto"/>
        <w:rPr>
          <w:sz w:val="20"/>
          <w:szCs w:val="20"/>
          <w:color w:val="auto"/>
        </w:rPr>
      </w:pPr>
      <w:r>
        <w:rPr>
          <w:rFonts w:ascii="Arial" w:cs="Arial" w:eastAsia="Arial" w:hAnsi="Arial"/>
          <w:sz w:val="16"/>
          <w:szCs w:val="16"/>
          <w:color w:val="auto"/>
        </w:rPr>
        <w:t xml:space="preserve">issuable (directly or indirectly) upon conversion and/or exercise of any other securities of the Company, held by the Investors or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of this Agreement.</w:t>
      </w:r>
    </w:p>
    <w:p>
      <w:pPr>
        <w:spacing w:after="0" w:line="154"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at a point in time determined by adding the number of shares of outstanding Common Stock that are Registrable Securities at such time and the number of shares of Common Stock issuable (directly or indirectly) at such time pursuant to then exercisable and/or convertible securities that are Registrable Securities.</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bear the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hereof.</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25" w:lineRule="exact"/>
        <w:rPr>
          <w:sz w:val="20"/>
          <w:szCs w:val="20"/>
          <w:color w:val="auto"/>
        </w:rPr>
      </w:pPr>
    </w:p>
    <w:p>
      <w:pPr>
        <w:jc w:val="center"/>
        <w:ind w:right="-59"/>
        <w:spacing w:after="0"/>
        <w:tabs>
          <w:tab w:leader="none" w:pos="3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means Rule 144 promulgated by the SEC under the Securities Act, or any successor provisions.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 Securities Act, or any successor provisions.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25"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2.6.</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have the meaning assigned to it in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225"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Series A Director</w:t>
      </w:r>
      <w:r>
        <w:rPr>
          <w:rFonts w:ascii="Arial" w:cs="Arial" w:eastAsia="Arial" w:hAnsi="Arial"/>
          <w:sz w:val="18"/>
          <w:szCs w:val="18"/>
          <w:color w:val="auto"/>
        </w:rPr>
        <w:t>” means the director of the Company that has been solely elected or designated by the holders of record of the Series A Preferred Stock pursuant to the Certificate of Incorporation, the Stockholders Agreement or otherwise.</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means shares of the Company’s Series A Preferred Stock, par value $0.001 per share.</w:t>
      </w:r>
    </w:p>
    <w:p>
      <w:pPr>
        <w:spacing w:after="0" w:line="225"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Series B Director</w:t>
      </w:r>
      <w:r>
        <w:rPr>
          <w:rFonts w:ascii="Arial" w:cs="Arial" w:eastAsia="Arial" w:hAnsi="Arial"/>
          <w:sz w:val="18"/>
          <w:szCs w:val="18"/>
          <w:color w:val="auto"/>
        </w:rPr>
        <w:t>” means the director of the Company that has been solely elected or designated by the holders of record of the Series B Preferred Stock pursuant to the Certificate of Incorporation, the Stockholders Agreement or otherwise.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91" w:name="page392"/>
    <w:bookmarkEnd w:id="391"/>
    <w:p>
      <w:pPr>
        <w:ind w:left="1300"/>
        <w:spacing w:after="0"/>
        <w:tabs>
          <w:tab w:leader="none" w:pos="19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Preferred Stock, par value $0.001 per share.</w:t>
      </w:r>
    </w:p>
    <w:p>
      <w:pPr>
        <w:spacing w:after="0" w:line="225" w:lineRule="exact"/>
        <w:rPr>
          <w:sz w:val="20"/>
          <w:szCs w:val="20"/>
          <w:color w:val="auto"/>
        </w:rPr>
      </w:pPr>
    </w:p>
    <w:p>
      <w:pPr>
        <w:ind w:right="60" w:firstLine="1297"/>
        <w:spacing w:after="0" w:line="347" w:lineRule="auto"/>
        <w:rPr>
          <w:sz w:val="20"/>
          <w:szCs w:val="20"/>
          <w:color w:val="auto"/>
        </w:rPr>
      </w:pPr>
      <w:r>
        <w:rPr>
          <w:rFonts w:ascii="Arial" w:cs="Arial" w:eastAsia="Arial" w:hAnsi="Arial"/>
          <w:sz w:val="16"/>
          <w:szCs w:val="16"/>
          <w:color w:val="auto"/>
        </w:rPr>
        <w:t>1.38 “</w:t>
      </w:r>
      <w:r>
        <w:rPr>
          <w:rFonts w:ascii="Arial" w:cs="Arial" w:eastAsia="Arial" w:hAnsi="Arial"/>
          <w:sz w:val="16"/>
          <w:szCs w:val="16"/>
          <w:b w:val="1"/>
          <w:bCs w:val="1"/>
          <w:color w:val="auto"/>
        </w:rPr>
        <w:t>Stockholders Agreement</w:t>
      </w:r>
      <w:r>
        <w:rPr>
          <w:rFonts w:ascii="Arial" w:cs="Arial" w:eastAsia="Arial" w:hAnsi="Arial"/>
          <w:sz w:val="16"/>
          <w:szCs w:val="16"/>
          <w:color w:val="auto"/>
        </w:rPr>
        <w:t>” means the Amended and Restated Stockholders Agreement dated as of the date hereof, by and among the Company, the Investors, and Key Holders (as defined therein), as the same may be amended, restated or otherwise modified from time to time.</w:t>
      </w:r>
    </w:p>
    <w:p>
      <w:pPr>
        <w:spacing w:after="0" w:line="120" w:lineRule="exact"/>
        <w:rPr>
          <w:sz w:val="20"/>
          <w:szCs w:val="20"/>
          <w:color w:val="auto"/>
        </w:rPr>
      </w:pPr>
    </w:p>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firstLine="1953"/>
        <w:spacing w:after="0" w:line="289" w:lineRule="auto"/>
        <w:tabs>
          <w:tab w:leader="none" w:pos="2590" w:val="left"/>
        </w:tabs>
        <w:numPr>
          <w:ilvl w:val="1"/>
          <w:numId w:val="236"/>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Beginning upon the earlier of (i) five (5) years after the date of this Agreement or (ii) six (6) months after the effective date of the registration statement for the IPO, if the Company receives a request from Holders of at least forty percent (40%) of the Registrable Securities then outstanding that the Company file a Form S-1 registration statement with respect to at least forty percent (40%) of the Registrable Securities then outstanding, having the anticipated aggregate offering amount of at least $5.0 million, then the Company shall (x) within ten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after the date the Demand Notice is given, and in each case, subject to the limitations of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w:t>
      </w:r>
    </w:p>
    <w:p>
      <w:pPr>
        <w:spacing w:after="0" w:line="166" w:lineRule="exact"/>
        <w:rPr>
          <w:rFonts w:ascii="Arial" w:cs="Arial" w:eastAsia="Arial" w:hAnsi="Arial"/>
          <w:sz w:val="16"/>
          <w:szCs w:val="16"/>
          <w:color w:val="auto"/>
        </w:rPr>
      </w:pPr>
    </w:p>
    <w:p>
      <w:pPr>
        <w:ind w:firstLine="1953"/>
        <w:spacing w:after="0" w:line="271" w:lineRule="auto"/>
        <w:tabs>
          <w:tab w:leader="none" w:pos="2600" w:val="left"/>
        </w:tabs>
        <w:numPr>
          <w:ilvl w:val="1"/>
          <w:numId w:val="236"/>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twenty-five percent (25%) of the Registrable Securities then outstanding that the Company file a Form S-3 registration statement with respect to outstanding Registrable Securities of such Holders having an anticipated aggregate offering amount, net of Selling Expenses, of at least $3.0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100" w:firstLine="1953"/>
        <w:spacing w:after="0" w:line="312" w:lineRule="auto"/>
        <w:tabs>
          <w:tab w:leader="none" w:pos="2604" w:val="left"/>
        </w:tabs>
        <w:numPr>
          <w:ilvl w:val="1"/>
          <w:numId w:val="236"/>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Company’s chief executive officer or other most senior executive officer then in office stating that in the good faith judgment of the Board of Directors it would be materially detrimental to the Company and its stockholders for such registration statement to either become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2" w:name="page393"/>
    <w:bookmarkEnd w:id="392"/>
    <w:p>
      <w:pPr>
        <w:spacing w:after="0"/>
        <w:rPr>
          <w:sz w:val="20"/>
          <w:szCs w:val="20"/>
          <w:color w:val="auto"/>
        </w:rPr>
      </w:pPr>
      <w:r>
        <w:rPr>
          <w:rFonts w:ascii="Arial" w:cs="Arial" w:eastAsia="Arial" w:hAnsi="Arial"/>
          <w:sz w:val="17"/>
          <w:szCs w:val="17"/>
          <w:color w:val="auto"/>
        </w:rPr>
        <w:t>effective or remain effective for as long as such registration statement otherwise would be required to remain effective, because such action would</w:t>
      </w:r>
    </w:p>
    <w:p>
      <w:pPr>
        <w:spacing w:after="0" w:line="35" w:lineRule="exact"/>
        <w:rPr>
          <w:sz w:val="20"/>
          <w:szCs w:val="20"/>
          <w:color w:val="auto"/>
        </w:rPr>
      </w:pPr>
    </w:p>
    <w:p>
      <w:pPr>
        <w:ind w:right="120" w:firstLine="8"/>
        <w:spacing w:after="0" w:line="288" w:lineRule="auto"/>
        <w:tabs>
          <w:tab w:leader="none" w:pos="21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Company may not invoke this right more than once in any twelve (12) month period, nor shall the Company invoke this right more than twice in all periods;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either one hundred twenty (120) day period other than an Excluded Registration.</w:t>
      </w:r>
    </w:p>
    <w:p>
      <w:pPr>
        <w:spacing w:after="0" w:line="169" w:lineRule="exact"/>
        <w:rPr>
          <w:sz w:val="20"/>
          <w:szCs w:val="20"/>
          <w:color w:val="auto"/>
        </w:rPr>
      </w:pPr>
    </w:p>
    <w:p>
      <w:pPr>
        <w:ind w:left="2600" w:hanging="647"/>
        <w:spacing w:after="0"/>
        <w:tabs>
          <w:tab w:leader="none" w:pos="26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Company shall not be obligated to effect, or to take any action to effect, any registration pursuant to</w:t>
      </w:r>
    </w:p>
    <w:p>
      <w:pPr>
        <w:spacing w:after="0" w:line="23" w:lineRule="exact"/>
        <w:rPr>
          <w:sz w:val="20"/>
          <w:szCs w:val="20"/>
          <w:color w:val="auto"/>
        </w:rPr>
      </w:pPr>
    </w:p>
    <w:p>
      <w:pPr>
        <w:spacing w:after="0" w:line="281" w:lineRule="auto"/>
        <w:rPr>
          <w:sz w:val="20"/>
          <w:szCs w:val="20"/>
          <w:color w:val="auto"/>
        </w:rPr>
      </w:pP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(i) if it delivers notice to the Holders within thirty (30) days after any registration request of its intent to file a registration statement for a public offering within ninety (90) days; (ii) during the period that is one hundred eighty (180) days after commencing a Company-initiated registration; (iii) after the Company has effected two (2) registrations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(iv)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if the Company has effected two (2) registrations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w:t>
      </w:r>
    </w:p>
    <w:p>
      <w:pPr>
        <w:spacing w:after="0" w:line="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until such time as the applicable registration statement has been declared effective by the SEC, unless the Initiating Holders withdraw their request for such registration (other than as a result of a material adverse change to the Company), elect not to pay the registration expenses therefor, and forfeit their right to one demand registration statement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in which case such withdrawn registration statement shall be counted as “effected” for purposes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190"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3" w:name="page394"/>
    <w:bookmarkEnd w:id="393"/>
    <w:p>
      <w:pPr>
        <w:ind w:left="1300"/>
        <w:spacing w:after="0"/>
        <w:tabs>
          <w:tab w:leader="none" w:pos="1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68" w:lineRule="auto"/>
        <w:tabs>
          <w:tab w:leader="none" w:pos="259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Company shall include such information in the Demand Notice. The underwriter(s) will be selected by the Company and shall be reasonably acceptable to a majority-in-interest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the managing underwriter(s) advise the Initiating Holders in writing that marketing factors require a limitation on the number of shares to be underwritten, then the Initiating Holders shall so advise all Holders that otherwise would be underwritten pursuant hereto, and the number of Registrable Securities that may be included in the underwriting shall be allocated among such Holders, including the Initiating Holders, in proportion (as nearly as practicable) to the number of Registrable Securities owned by each, or in such other proportion as shall mutually be agreed to by all such selling Holders;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85" w:lineRule="exact"/>
        <w:rPr>
          <w:rFonts w:ascii="Arial" w:cs="Arial" w:eastAsia="Arial" w:hAnsi="Arial"/>
          <w:sz w:val="17"/>
          <w:szCs w:val="17"/>
          <w:color w:val="auto"/>
        </w:rPr>
      </w:pPr>
    </w:p>
    <w:p>
      <w:pPr>
        <w:ind w:left="2600" w:hanging="647"/>
        <w:spacing w:after="0"/>
        <w:tabs>
          <w:tab w:leader="none" w:pos="26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connection with any offering involving an underwriting of shares of the Company’s capital stock pursuant to</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Section 2.2</w:t>
      </w:r>
      <w:r>
        <w:rPr>
          <w:rFonts w:ascii="Arial" w:cs="Arial" w:eastAsia="Arial" w:hAnsi="Arial"/>
          <w:sz w:val="16"/>
          <w:szCs w:val="16"/>
          <w:color w:val="auto"/>
        </w:rPr>
        <w:t>, the Company shall not be required to include any of the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4" w:name="page395"/>
    <w:bookmarkEnd w:id="394"/>
    <w:p>
      <w:pPr>
        <w:spacing w:after="0" w:line="291" w:lineRule="auto"/>
        <w:rPr>
          <w:sz w:val="20"/>
          <w:szCs w:val="20"/>
          <w:color w:val="auto"/>
        </w:rPr>
      </w:pPr>
      <w:r>
        <w:rPr>
          <w:rFonts w:ascii="Arial" w:cs="Arial" w:eastAsia="Arial" w:hAnsi="Arial"/>
          <w:sz w:val="16"/>
          <w:szCs w:val="16"/>
          <w:color w:val="auto"/>
        </w:rPr>
        <w:t xml:space="preserve">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67" w:lineRule="exact"/>
        <w:rPr>
          <w:sz w:val="20"/>
          <w:szCs w:val="20"/>
          <w:color w:val="auto"/>
        </w:rPr>
      </w:pPr>
    </w:p>
    <w:p>
      <w:pPr>
        <w:ind w:right="200" w:firstLine="1953"/>
        <w:spacing w:after="0" w:line="264" w:lineRule="auto"/>
        <w:tabs>
          <w:tab w:leader="none" w:pos="260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less than the total number of Registrable Securities that Holders have requested to be included in such registration statement are actually included.</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Whenever required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to effect the registration of any Registrable Securities, the Company shall, as expeditiously as reasonably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possible:</w:t>
      </w:r>
    </w:p>
    <w:p>
      <w:pPr>
        <w:spacing w:after="0" w:line="211" w:lineRule="exact"/>
        <w:rPr>
          <w:sz w:val="20"/>
          <w:szCs w:val="20"/>
          <w:color w:val="auto"/>
        </w:rPr>
      </w:pPr>
    </w:p>
    <w:p>
      <w:pPr>
        <w:ind w:right="20" w:firstLine="1953"/>
        <w:spacing w:after="0" w:line="271" w:lineRule="auto"/>
        <w:tabs>
          <w:tab w:leader="none" w:pos="259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at least 65%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 such one hundred twenty (120) day period shall be extended for a period of time equal to the period the Holder refrains, at the request of an underwriter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w:t>
      </w:r>
    </w:p>
    <w:p>
      <w:pPr>
        <w:spacing w:after="0" w:line="178" w:lineRule="exact"/>
        <w:rPr>
          <w:rFonts w:ascii="Arial" w:cs="Arial" w:eastAsia="Arial" w:hAnsi="Arial"/>
          <w:sz w:val="17"/>
          <w:szCs w:val="17"/>
          <w:color w:val="auto"/>
        </w:rPr>
      </w:pPr>
    </w:p>
    <w:p>
      <w:pPr>
        <w:ind w:right="140" w:firstLine="1953"/>
        <w:spacing w:after="0" w:line="264" w:lineRule="auto"/>
        <w:tabs>
          <w:tab w:leader="none" w:pos="26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1" w:lineRule="exact"/>
        <w:rPr>
          <w:rFonts w:ascii="Arial" w:cs="Arial" w:eastAsia="Arial" w:hAnsi="Arial"/>
          <w:sz w:val="18"/>
          <w:szCs w:val="18"/>
          <w:color w:val="auto"/>
        </w:rPr>
      </w:pPr>
    </w:p>
    <w:p>
      <w:pPr>
        <w:ind w:right="140" w:firstLine="1953"/>
        <w:spacing w:after="0" w:line="342" w:lineRule="auto"/>
        <w:tabs>
          <w:tab w:leader="none" w:pos="2604" w:val="left"/>
        </w:tabs>
        <w:numPr>
          <w:ilvl w:val="0"/>
          <w:numId w:val="241"/>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5" w:name="page396"/>
    <w:bookmarkEnd w:id="395"/>
    <w:p>
      <w:pPr>
        <w:ind w:right="40" w:firstLine="1953"/>
        <w:spacing w:after="0" w:line="259" w:lineRule="auto"/>
        <w:tabs>
          <w:tab w:leader="none" w:pos="26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6" w:lineRule="exact"/>
        <w:rPr>
          <w:rFonts w:ascii="Arial" w:cs="Arial" w:eastAsia="Arial" w:hAnsi="Arial"/>
          <w:sz w:val="18"/>
          <w:szCs w:val="18"/>
          <w:color w:val="auto"/>
        </w:rPr>
      </w:pPr>
    </w:p>
    <w:p>
      <w:pPr>
        <w:ind w:right="120" w:firstLine="1953"/>
        <w:spacing w:after="0" w:line="277" w:lineRule="auto"/>
        <w:tabs>
          <w:tab w:leader="none" w:pos="260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firstLine="1953"/>
        <w:spacing w:after="0" w:line="264" w:lineRule="auto"/>
        <w:tabs>
          <w:tab w:leader="none" w:pos="259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1" w:lineRule="exact"/>
        <w:rPr>
          <w:rFonts w:ascii="Arial" w:cs="Arial" w:eastAsia="Arial" w:hAnsi="Arial"/>
          <w:sz w:val="18"/>
          <w:szCs w:val="18"/>
          <w:color w:val="auto"/>
        </w:rPr>
      </w:pPr>
    </w:p>
    <w:p>
      <w:pPr>
        <w:ind w:right="240" w:firstLine="1953"/>
        <w:spacing w:after="0" w:line="277" w:lineRule="auto"/>
        <w:tabs>
          <w:tab w:leader="none" w:pos="261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120" w:firstLine="1953"/>
        <w:spacing w:after="0" w:line="255" w:lineRule="auto"/>
        <w:tabs>
          <w:tab w:leader="none" w:pos="26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3" w:lineRule="exact"/>
        <w:rPr>
          <w:rFonts w:ascii="Arial" w:cs="Arial" w:eastAsia="Arial" w:hAnsi="Arial"/>
          <w:sz w:val="18"/>
          <w:szCs w:val="18"/>
          <w:color w:val="auto"/>
        </w:rPr>
      </w:pPr>
    </w:p>
    <w:p>
      <w:pPr>
        <w:ind w:right="560" w:firstLine="1953"/>
        <w:spacing w:after="0" w:line="342" w:lineRule="auto"/>
        <w:tabs>
          <w:tab w:leader="none" w:pos="2614" w:val="left"/>
        </w:tabs>
        <w:numPr>
          <w:ilvl w:val="0"/>
          <w:numId w:val="242"/>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23" w:lineRule="exact"/>
        <w:rPr>
          <w:rFonts w:ascii="Arial" w:cs="Arial" w:eastAsia="Arial" w:hAnsi="Arial"/>
          <w:sz w:val="16"/>
          <w:szCs w:val="16"/>
          <w:color w:val="auto"/>
        </w:rPr>
      </w:pPr>
    </w:p>
    <w:p>
      <w:pPr>
        <w:ind w:right="660" w:firstLine="1953"/>
        <w:spacing w:after="0" w:line="277" w:lineRule="auto"/>
        <w:tabs>
          <w:tab w:leader="none" w:pos="260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right="660" w:firstLine="1297"/>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6" w:name="page397"/>
    <w:bookmarkEnd w:id="396"/>
    <w:p>
      <w:pPr>
        <w:spacing w:after="0" w:line="270" w:lineRule="auto"/>
        <w:rPr>
          <w:sz w:val="20"/>
          <w:szCs w:val="20"/>
          <w:color w:val="auto"/>
        </w:rPr>
      </w:pPr>
      <w:r>
        <w:rPr>
          <w:rFonts w:ascii="Arial" w:cs="Arial" w:eastAsia="Arial" w:hAnsi="Arial"/>
          <w:sz w:val="17"/>
          <w:szCs w:val="17"/>
          <w:color w:val="auto"/>
        </w:rPr>
        <w:t>disbursements of counsel for the Company; and the reasonable fees and disbursements of one counsel for the selling Holders (“</w:t>
      </w:r>
      <w:r>
        <w:rPr>
          <w:rFonts w:ascii="Arial" w:cs="Arial" w:eastAsia="Arial" w:hAnsi="Arial"/>
          <w:sz w:val="17"/>
          <w:szCs w:val="17"/>
          <w:b w:val="1"/>
          <w:bCs w:val="1"/>
          <w:color w:val="auto"/>
        </w:rPr>
        <w:t>Selling Holder Counsel</w:t>
      </w:r>
      <w:r>
        <w:rPr>
          <w:rFonts w:ascii="Arial" w:cs="Arial" w:eastAsia="Arial" w:hAnsi="Arial"/>
          <w:sz w:val="17"/>
          <w:szCs w:val="17"/>
          <w:color w:val="auto"/>
        </w:rPr>
        <w:t xml:space="preserve">”) selected by the Holders of at least 65% of the Registrable Securities, shall be borne and paid by the Company;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Company shall not be required to pay for any expenses of any registration proceeding begun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if the registration request is subsequently withdrawn at the request of the Holders of at least 65% of the Registrable Securities to be registered (in which case all selling Holders shall bear such expenses pro rata based upon the number of Registrable Securities that were to be included in the withdrawn registration), unless the Holders of at least 65% of the Registrable Securities agree to forfeit their right to one registration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78"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ind w:right="20" w:firstLine="1953"/>
        <w:spacing w:after="0" w:line="270" w:lineRule="auto"/>
        <w:tabs>
          <w:tab w:leader="none" w:pos="259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77" w:lineRule="exact"/>
        <w:rPr>
          <w:rFonts w:ascii="Arial" w:cs="Arial" w:eastAsia="Arial" w:hAnsi="Arial"/>
          <w:sz w:val="17"/>
          <w:szCs w:val="17"/>
          <w:color w:val="auto"/>
        </w:rPr>
      </w:pPr>
    </w:p>
    <w:p>
      <w:pPr>
        <w:ind w:right="140" w:firstLine="1953"/>
        <w:spacing w:after="0" w:line="264" w:lineRule="auto"/>
        <w:tabs>
          <w:tab w:leader="none" w:pos="26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indemnity agreement contained in this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the aggregate amounts payable by any Holder by way of indemnity or contribution under this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2.8(d)</w:t>
      </w:r>
      <w:r>
        <w:rPr>
          <w:rFonts w:ascii="Arial" w:cs="Arial" w:eastAsia="Arial" w:hAnsi="Arial"/>
          <w:sz w:val="18"/>
          <w:szCs w:val="18"/>
          <w:color w:val="auto"/>
        </w:rPr>
        <w:t xml:space="preserve"> exceed the proceeds from the offering received by such Holder (net of any Selling Expenses paid by such Holder), except in the case of fraud or willful misconduct by such Holder.</w:t>
      </w:r>
    </w:p>
    <w:p>
      <w:pPr>
        <w:spacing w:after="0" w:line="195" w:lineRule="exact"/>
        <w:rPr>
          <w:sz w:val="20"/>
          <w:szCs w:val="20"/>
          <w:color w:val="auto"/>
        </w:rPr>
      </w:pPr>
    </w:p>
    <w:p>
      <w:pPr>
        <w:ind w:right="80" w:firstLine="1953"/>
        <w:spacing w:after="0" w:line="269" w:lineRule="auto"/>
        <w:tabs>
          <w:tab w:leader="none" w:pos="260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right="80" w:firstLine="1953"/>
        <w:spacing w:after="0" w:line="272" w:lineRule="auto"/>
        <w:tabs>
          <w:tab w:leader="none" w:pos="26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7" w:name="page398"/>
    <w:bookmarkEnd w:id="397"/>
    <w:p>
      <w:pPr>
        <w:ind w:right="20" w:firstLine="41"/>
        <w:spacing w:after="0" w:line="288" w:lineRule="auto"/>
        <w:rPr>
          <w:sz w:val="20"/>
          <w:szCs w:val="20"/>
          <w:color w:val="auto"/>
        </w:rPr>
      </w:pPr>
      <w:r>
        <w:rPr>
          <w:rFonts w:ascii="Arial" w:cs="Arial" w:eastAsia="Arial" w:hAnsi="Arial"/>
          <w:sz w:val="16"/>
          <w:szCs w:val="16"/>
          <w:color w:val="auto"/>
        </w:rPr>
        <w:t xml:space="preserve">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169" w:lineRule="exact"/>
        <w:rPr>
          <w:sz w:val="20"/>
          <w:szCs w:val="20"/>
          <w:color w:val="auto"/>
        </w:rPr>
      </w:pPr>
    </w:p>
    <w:p>
      <w:pPr>
        <w:ind w:right="280" w:firstLine="1953"/>
        <w:spacing w:after="0" w:line="264" w:lineRule="auto"/>
        <w:tabs>
          <w:tab w:leader="none" w:pos="260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rFonts w:ascii="Arial" w:cs="Arial" w:eastAsia="Arial" w:hAnsi="Arial"/>
          <w:sz w:val="18"/>
          <w:szCs w:val="18"/>
          <w:color w:val="auto"/>
        </w:rPr>
      </w:pPr>
    </w:p>
    <w:p>
      <w:pPr>
        <w:ind w:right="520" w:firstLine="1953"/>
        <w:spacing w:after="0" w:line="264" w:lineRule="auto"/>
        <w:tabs>
          <w:tab w:leader="none" w:pos="259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1"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1" w:lineRule="exact"/>
        <w:rPr>
          <w:sz w:val="20"/>
          <w:szCs w:val="20"/>
          <w:color w:val="auto"/>
        </w:rPr>
      </w:pPr>
    </w:p>
    <w:p>
      <w:pPr>
        <w:ind w:firstLine="1953"/>
        <w:spacing w:after="0" w:line="277" w:lineRule="auto"/>
        <w:tabs>
          <w:tab w:leader="none" w:pos="259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180" w:firstLine="1953"/>
        <w:spacing w:after="0" w:line="342" w:lineRule="auto"/>
        <w:tabs>
          <w:tab w:leader="none" w:pos="26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right="200" w:firstLine="1953"/>
        <w:spacing w:after="0" w:line="264" w:lineRule="auto"/>
        <w:tabs>
          <w:tab w:leader="none" w:pos="2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8" w:name="page399"/>
    <w:bookmarkEnd w:id="398"/>
    <w:p>
      <w:pPr>
        <w:spacing w:after="0" w:line="297" w:lineRule="auto"/>
        <w:rPr>
          <w:sz w:val="20"/>
          <w:szCs w:val="20"/>
          <w:color w:val="auto"/>
        </w:rPr>
      </w:pPr>
      <w:r>
        <w:rPr>
          <w:rFonts w:ascii="Arial" w:cs="Arial" w:eastAsia="Arial" w:hAnsi="Arial"/>
          <w:sz w:val="16"/>
          <w:szCs w:val="16"/>
          <w:color w:val="auto"/>
        </w:rPr>
        <w:t>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5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of at least 65% in interest of the Registrable Securities then outstanding (the “</w:t>
      </w:r>
      <w:r>
        <w:rPr>
          <w:rFonts w:ascii="Arial" w:cs="Arial" w:eastAsia="Arial" w:hAnsi="Arial"/>
          <w:sz w:val="18"/>
          <w:szCs w:val="18"/>
          <w:b w:val="1"/>
          <w:bCs w:val="1"/>
          <w:color w:val="auto"/>
        </w:rPr>
        <w:t>Requisite Vote</w:t>
      </w:r>
      <w:r>
        <w:rPr>
          <w:rFonts w:ascii="Arial" w:cs="Arial" w:eastAsia="Arial" w:hAnsi="Arial"/>
          <w:sz w:val="18"/>
          <w:szCs w:val="18"/>
          <w:color w:val="auto"/>
        </w:rPr>
        <w:t xml:space="preserve">”),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to demand registration of any securities held by such holder or prospective holder;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limitation shall not apply to any additional Investor who becomes a party to this Agreement in accordance with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89"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xml:space="preserve">. Each Holder hereby agrees that, if required by the managing underwriter, it will not, during the period commencing on the date of the final prospectus relating to the IPO and ending on the date specified by the Company and the managing underwriter (such period not to exceed one hundred eighty (180) days, which period may be extended upon the request of the managing underwriter for such longer period of time as is necessary to enable such underwriter to issue a research report or to make a public appearance that relates to an earnings release or announcement by the Company within fifteen (15) days prior to or after the day that is one hundred eighty (180) days after the effective date of the registration statement relating to such offering, but in any event not to exceed two hundred ten (210) days following the effective date of the registration statement relating to such offering),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 shall apply only to the IPO, (B) shall not apply to the sale of shares of Common Stock acquired in the IPO or in the open market following the IPO, (C) shall not apply to the sale of any shares to an underwriter pursuant to an underwriting agreement, and (D) shall be applicable to the Holders only if all officers, directors, and stockholders individually owning more than one percent (1%) of the Company’s outstanding Common Stock (after giving effect to conversion into Common Stock of all outstanding Preferred Stock) are subject to the same restrictions. The underwriters in connection with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9" w:name="page400"/>
    <w:bookmarkEnd w:id="399"/>
    <w:p>
      <w:pPr>
        <w:ind w:firstLine="41"/>
        <w:spacing w:after="0" w:line="289" w:lineRule="auto"/>
        <w:rPr>
          <w:sz w:val="20"/>
          <w:szCs w:val="20"/>
          <w:color w:val="auto"/>
        </w:rPr>
      </w:pPr>
      <w:r>
        <w:rPr>
          <w:rFonts w:ascii="Arial" w:cs="Arial" w:eastAsia="Arial" w:hAnsi="Arial"/>
          <w:sz w:val="16"/>
          <w:szCs w:val="16"/>
          <w:color w:val="auto"/>
        </w:rPr>
        <w:t xml:space="preserve">registration are intended third-party beneficiaries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that are necessary to give further effect thereto. The Company agrees to use its reasonable efforts to obtain the agreement of the managing underwriter to periodic early releases of portions of the securities subject to such lock-up agreements upon the request of a Holder to such early release, provided that in the event of any early release, all Holders will be released on a pro rata basis from such agreements. If any of the obligations described in this Section 2.11 are waived or terminated with respect to any of the securities of any such Holder, officer, director or greater than one-percent stockholder (in any such case, the “Released Securities”), the foregoing provisions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w:t>
      </w:r>
    </w:p>
    <w:p>
      <w:pPr>
        <w:spacing w:after="0" w:line="16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25" w:lineRule="exact"/>
        <w:rPr>
          <w:sz w:val="20"/>
          <w:szCs w:val="20"/>
          <w:color w:val="auto"/>
        </w:rPr>
      </w:pPr>
    </w:p>
    <w:p>
      <w:pPr>
        <w:ind w:right="80" w:firstLine="1953"/>
        <w:spacing w:after="0" w:line="273" w:lineRule="auto"/>
        <w:tabs>
          <w:tab w:leader="none" w:pos="259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178" w:lineRule="exact"/>
        <w:rPr>
          <w:rFonts w:ascii="Arial" w:cs="Arial" w:eastAsia="Arial" w:hAnsi="Arial"/>
          <w:sz w:val="17"/>
          <w:szCs w:val="17"/>
          <w:color w:val="auto"/>
        </w:rPr>
      </w:pPr>
    </w:p>
    <w:p>
      <w:pPr>
        <w:ind w:right="180" w:firstLine="1953"/>
        <w:spacing w:after="0" w:line="259" w:lineRule="auto"/>
        <w:tabs>
          <w:tab w:leader="none" w:pos="26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Section 2.12(c)</w:t>
      </w:r>
      <w:r>
        <w:rPr>
          <w:rFonts w:ascii="Arial" w:cs="Arial" w:eastAsia="Arial" w:hAnsi="Arial"/>
          <w:sz w:val="18"/>
          <w:szCs w:val="18"/>
          <w:color w:val="auto"/>
        </w:rPr>
        <w:t>) be stamped or otherwise imprinted with a legend substantially in the following form:</w:t>
      </w:r>
    </w:p>
    <w:p>
      <w:pPr>
        <w:spacing w:after="0" w:line="187"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187" w:lineRule="exact"/>
        <w:rPr>
          <w:sz w:val="20"/>
          <w:szCs w:val="20"/>
          <w:color w:val="auto"/>
        </w:rPr>
      </w:pPr>
    </w:p>
    <w:p>
      <w:pPr>
        <w:ind w:left="660" w:right="340"/>
        <w:spacing w:after="0" w:line="264"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0" w:name="page401"/>
    <w:bookmarkEnd w:id="400"/>
    <w:p>
      <w:pPr>
        <w:ind w:right="380"/>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p>
    <w:p>
      <w:pPr>
        <w:spacing w:after="0" w:line="170" w:lineRule="exact"/>
        <w:rPr>
          <w:sz w:val="20"/>
          <w:szCs w:val="20"/>
          <w:color w:val="auto"/>
        </w:rPr>
      </w:pPr>
    </w:p>
    <w:p>
      <w:pPr>
        <w:ind w:firstLine="1953"/>
        <w:spacing w:after="0" w:line="285" w:lineRule="auto"/>
        <w:tabs>
          <w:tab w:leader="none" w:pos="2604"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The holder of each certificate representing Restricted Securities, by acceptance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provided that, with respect to transfers under the foregoing clause (y), each transferee agrees in writing to be subject to the terms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Each certificate or instrument evidencing the Restricted Securities transferred as above provided shall bear, except if such transfer is made pursuant to SEC Rule 144 or pursuant to an effective registration statement, the appropriate restrictive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17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terminate upon the earliest to occur of:</w:t>
      </w:r>
    </w:p>
    <w:p>
      <w:pPr>
        <w:spacing w:after="0" w:line="170" w:lineRule="exact"/>
        <w:rPr>
          <w:sz w:val="20"/>
          <w:szCs w:val="20"/>
          <w:color w:val="auto"/>
        </w:rPr>
      </w:pPr>
    </w:p>
    <w:p>
      <w:pPr>
        <w:ind w:left="2600" w:hanging="647"/>
        <w:spacing w:after="0"/>
        <w:tabs>
          <w:tab w:leader="none" w:pos="26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Certificate of Incorporation;</w:t>
      </w:r>
    </w:p>
    <w:p>
      <w:pPr>
        <w:spacing w:after="0" w:line="225" w:lineRule="exact"/>
        <w:rPr>
          <w:rFonts w:ascii="Arial" w:cs="Arial" w:eastAsia="Arial" w:hAnsi="Arial"/>
          <w:sz w:val="18"/>
          <w:szCs w:val="18"/>
          <w:color w:val="auto"/>
        </w:rPr>
      </w:pPr>
    </w:p>
    <w:p>
      <w:pPr>
        <w:ind w:firstLine="1953"/>
        <w:spacing w:after="0" w:line="277" w:lineRule="auto"/>
        <w:tabs>
          <w:tab w:leader="none" w:pos="26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following the IPO, such time as Rule 144 or another similar exemption under the Securities Act is available for the sale of all of such Holder’s shares without limitation during a three-month period without registration;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fifth (5</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IPO.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1" w:name="page402"/>
    <w:bookmarkEnd w:id="401"/>
    <w:p>
      <w:pPr>
        <w:ind w:left="1300" w:hanging="644"/>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Information and Observer Rights</w:t>
      </w:r>
      <w:r>
        <w:rPr>
          <w:rFonts w:ascii="Arial" w:cs="Arial" w:eastAsia="Arial" w:hAnsi="Arial"/>
          <w:sz w:val="18"/>
          <w:szCs w:val="18"/>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Major Investor the required items listed below, except that the Company shall deliver to all Investors the items required by Sections 3.1(b) and (c):</w:t>
      </w:r>
    </w:p>
    <w:p>
      <w:pPr>
        <w:spacing w:after="0" w:line="170" w:lineRule="exact"/>
        <w:rPr>
          <w:sz w:val="20"/>
          <w:szCs w:val="20"/>
          <w:color w:val="auto"/>
        </w:rPr>
      </w:pPr>
    </w:p>
    <w:p>
      <w:pPr>
        <w:ind w:firstLine="1953"/>
        <w:spacing w:after="0" w:line="288" w:lineRule="auto"/>
        <w:tabs>
          <w:tab w:leader="none" w:pos="259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as soon as practicable, but in any event within ninety (90) days after the end of each fiscal year of the Company, unaudited statements of income and of cash flows for such fiscal year, and an unaudited balance sheet and a statement of stockholders’ equity as of the end of such fiscal year, all prepared in accordance with GAAP (except that such financial statements may (i) be subject to normal year-end audit adjustments and</w:t>
      </w:r>
    </w:p>
    <w:p>
      <w:pPr>
        <w:ind w:left="280" w:hanging="272"/>
        <w:spacing w:after="0"/>
        <w:tabs>
          <w:tab w:leader="none" w:pos="2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not contain all notes thereto that may be required in accordance with GAAP);</w:t>
      </w:r>
    </w:p>
    <w:p>
      <w:pPr>
        <w:spacing w:after="0" w:line="210" w:lineRule="exact"/>
        <w:rPr>
          <w:rFonts w:ascii="Arial" w:cs="Arial" w:eastAsia="Arial" w:hAnsi="Arial"/>
          <w:sz w:val="18"/>
          <w:szCs w:val="18"/>
          <w:color w:val="auto"/>
        </w:rPr>
      </w:pPr>
    </w:p>
    <w:p>
      <w:pPr>
        <w:ind w:firstLine="1953"/>
        <w:spacing w:after="0" w:line="259" w:lineRule="auto"/>
        <w:tabs>
          <w:tab w:leader="none" w:pos="26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twenty (120) days after the end of each fiscal year of the Company, (i) a balance sheet as of the end of such year, (ii) statements of income and of cash flows for such year, and (iii) a statement of stockholders’ equity as of the end of such year, all such financial statements audited and certified by independent public accountants of nationally or regionally recognized standing selected by the Company and approved by the Board of Directors;</w:t>
      </w:r>
    </w:p>
    <w:p>
      <w:pPr>
        <w:spacing w:after="0" w:line="186" w:lineRule="exact"/>
        <w:rPr>
          <w:rFonts w:ascii="Arial" w:cs="Arial" w:eastAsia="Arial" w:hAnsi="Arial"/>
          <w:sz w:val="18"/>
          <w:szCs w:val="18"/>
          <w:color w:val="auto"/>
        </w:rPr>
      </w:pPr>
    </w:p>
    <w:p>
      <w:pPr>
        <w:ind w:right="60" w:firstLine="1953"/>
        <w:spacing w:after="0" w:line="279" w:lineRule="auto"/>
        <w:tabs>
          <w:tab w:leader="none" w:pos="2604" w:val="left"/>
        </w:tabs>
        <w:numPr>
          <w:ilvl w:val="1"/>
          <w:numId w:val="252"/>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71" w:lineRule="exact"/>
        <w:rPr>
          <w:rFonts w:ascii="Arial" w:cs="Arial" w:eastAsia="Arial" w:hAnsi="Arial"/>
          <w:sz w:val="17"/>
          <w:szCs w:val="17"/>
          <w:color w:val="auto"/>
        </w:rPr>
      </w:pPr>
    </w:p>
    <w:p>
      <w:pPr>
        <w:ind w:right="100" w:firstLine="1953"/>
        <w:spacing w:after="0" w:line="259" w:lineRule="auto"/>
        <w:tabs>
          <w:tab w:leader="none" w:pos="26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month, an unaudited income statement and statement of cash flows for such 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86" w:lineRule="exact"/>
        <w:rPr>
          <w:rFonts w:ascii="Arial" w:cs="Arial" w:eastAsia="Arial" w:hAnsi="Arial"/>
          <w:sz w:val="18"/>
          <w:szCs w:val="18"/>
          <w:color w:val="auto"/>
        </w:rPr>
      </w:pPr>
    </w:p>
    <w:p>
      <w:pPr>
        <w:ind w:right="100" w:firstLine="1953"/>
        <w:spacing w:after="0" w:line="255" w:lineRule="auto"/>
        <w:tabs>
          <w:tab w:leader="none" w:pos="260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each Major Investor to calculate their respective percentage equity ownership in the Company, and certified by the chief financial officer or chief executive officer of the Company as being true, complete, and correct.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02" w:name="page403"/>
    <w:bookmarkEnd w:id="402"/>
    <w:p>
      <w:pPr>
        <w:ind w:right="120" w:firstLine="1953"/>
        <w:spacing w:after="0" w:line="312" w:lineRule="auto"/>
        <w:tabs>
          <w:tab w:leader="none" w:pos="259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146" w:lineRule="exact"/>
        <w:rPr>
          <w:rFonts w:ascii="Arial" w:cs="Arial" w:eastAsia="Arial" w:hAnsi="Arial"/>
          <w:sz w:val="16"/>
          <w:szCs w:val="16"/>
          <w:color w:val="auto"/>
        </w:rPr>
      </w:pPr>
    </w:p>
    <w:p>
      <w:pPr>
        <w:ind w:right="60" w:firstLine="1953"/>
        <w:spacing w:after="0" w:line="259" w:lineRule="auto"/>
        <w:tabs>
          <w:tab w:leader="none" w:pos="261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provide information (i) that the Company reasonably determines in good faith to be a trade secret or confidential information or (ii) the disclosure of which would adversely affect the attorney-client privilege between the Company and its counsel.</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The Company shall permit each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provide access to any information that it reasonably considers to be a trade secret or confidential information or the disclosure of which would adversely affect the attorney-client privilege between the Company and its counsel.</w:t>
      </w:r>
    </w:p>
    <w:p>
      <w:pPr>
        <w:spacing w:after="0" w:line="188"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Observer Rights</w:t>
      </w:r>
      <w:r>
        <w:rPr>
          <w:rFonts w:ascii="Arial" w:cs="Arial" w:eastAsia="Arial" w:hAnsi="Arial"/>
          <w:sz w:val="18"/>
          <w:szCs w:val="18"/>
          <w:color w:val="auto"/>
        </w:rPr>
        <w:t>. As long as Aventis Inc. (“Aventis”) continues to own not less than fifty percent (50%) of the shares of the Series B Preferred Stock it is purchasing under the Purchase Agreement (subject to appropriate adjustment in the event of any stock dividend, stock split, combination or other similar recapitalization) (or an equivalent amount of Common Stock issued upon conversion thereof), the Company shall invite one representative of Aventis to attend all meetings of the Board of Directors in a nonvoting observer capacity (the “Aventis Observer”). As long as Casdin Partners Master Fund L.P. (“Casdin”) continues to own not less than fifty percent (50%) of the shares of the Series B Preferred Stock it is purchasing under the Purchase Agreement (subject to appropriate adjustment in the event of any stock dividend, stock split, combination or other similar recapitalization) (or an equivalent amount of Common Stock issued upon conversion thereof), the Company shall invite one representative of Casdin to attend all meetings of the Board of Directors in a nonvoting observer capacity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3" w:name="page404"/>
    <w:bookmarkEnd w:id="403"/>
    <w:p>
      <w:pPr>
        <w:spacing w:after="0" w:line="288" w:lineRule="auto"/>
        <w:rPr>
          <w:sz w:val="20"/>
          <w:szCs w:val="20"/>
          <w:color w:val="auto"/>
        </w:rPr>
      </w:pPr>
      <w:r>
        <w:rPr>
          <w:rFonts w:ascii="Arial" w:cs="Arial" w:eastAsia="Arial" w:hAnsi="Arial"/>
          <w:sz w:val="16"/>
          <w:szCs w:val="16"/>
          <w:color w:val="auto"/>
        </w:rPr>
        <w:t>“Casdin Observer”). As long as 6 Dimensions Capital L.P. and 6 Dimensions Affiliates Fund, L.P. (together, “6 Dimensions”) continue to own in the aggregate not less than fifty percent (50%) of the shares of the Series B Preferred Stock 6 Dimensions is purchasing under the Purchase Agreement (subject to appropriate adjustment in the event of any stock dividend, stock split, combination or other similar recapitalization) (or an equivalent amount of Common Stock issued upon conversion thereof), the Company shall invite one representative of 6 Dimensions to attend all meetings of the Board of Directors in a nonvoting observer capacity (the “6 Dimensions Observer”, and, together with the Aventis Observer and the Casdin Observer, the “Board Observers”). The Company shall give to each Board Observer copies of all notices, minutes, consents, and other materials that it provides to its directors at the same time and in the same manner as provided to such directors; provided, however, that each Board Observer shall agree to hold in confidence and trust and to act in a fiduciary manner with respect to all information so provided; and provided further, that the Company reserves the right to withhold any information and to exclude a Board Observer from any meeting or portion thereof if access to such information or attendance at such meeting could adversely affect the attorney-client privilege between the Company and its counsel or result in disclosure of trade secrets or a conflict of interest.</w:t>
      </w:r>
    </w:p>
    <w:p>
      <w:pPr>
        <w:spacing w:after="0" w:line="16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Termination of Information Rights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shall terminate and be of no further force or effect upon the earliest to occur of (i) immediately before, but subject to, the consummation of the IPO, (ii) when the Company first becomes subject to the periodic reporting requirements of Section 12(g) or 15(d) of the Exchange Act, or (iii) upon a Deemed Liquidation Event; provided, that, with respect to clause (iii), the covenants set forth in Section 3.1 shall only terminate if the consideration received by the Investors in such Deemed Liquidation Event is in the form of cash and/or publicly traded securities unless the Investors receive financial information from the acquiring company or other successor to the Company comparable to those set forth in Section 3.1.</w:t>
      </w:r>
    </w:p>
    <w:p>
      <w:pPr>
        <w:spacing w:after="0" w:line="193"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Section 3.5</w:t>
      </w:r>
      <w:r>
        <w:rPr>
          <w:rFonts w:ascii="Arial" w:cs="Arial" w:eastAsia="Arial" w:hAnsi="Arial"/>
          <w:sz w:val="16"/>
          <w:szCs w:val="16"/>
          <w:color w:val="auto"/>
        </w:rPr>
        <w:t>; (iii) 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provided that the Investor promptly notifies the Company of such disclosure and takes reasonable steps to minimize the extent of any such required disclosure.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4" w:name="page405"/>
    <w:bookmarkEnd w:id="404"/>
    <w:p>
      <w:pPr>
        <w:ind w:left="1300" w:hanging="64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225" w:lineRule="exact"/>
        <w:rPr>
          <w:sz w:val="20"/>
          <w:szCs w:val="20"/>
          <w:color w:val="auto"/>
        </w:rPr>
      </w:pPr>
    </w:p>
    <w:p>
      <w:pPr>
        <w:ind w:right="200" w:firstLine="1297"/>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Section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among itself and its Affiliates in such proportions as it deems appropriate; provided that each such Affiliate agrees to enter into this Agreement and the Stockholders Agreement as an “Investor” under each such agreement.</w:t>
      </w:r>
    </w:p>
    <w:p>
      <w:pPr>
        <w:spacing w:after="0" w:line="167" w:lineRule="exact"/>
        <w:rPr>
          <w:sz w:val="20"/>
          <w:szCs w:val="20"/>
          <w:color w:val="auto"/>
        </w:rPr>
      </w:pPr>
    </w:p>
    <w:p>
      <w:pPr>
        <w:ind w:firstLine="1953"/>
        <w:spacing w:after="0" w:line="266" w:lineRule="auto"/>
        <w:tabs>
          <w:tab w:leader="none" w:pos="259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80" w:lineRule="exact"/>
        <w:rPr>
          <w:rFonts w:ascii="Arial" w:cs="Arial" w:eastAsia="Arial" w:hAnsi="Arial"/>
          <w:sz w:val="18"/>
          <w:szCs w:val="18"/>
          <w:color w:val="auto"/>
        </w:rPr>
      </w:pPr>
    </w:p>
    <w:p>
      <w:pPr>
        <w:ind w:right="20" w:firstLine="1953"/>
        <w:spacing w:after="0" w:line="284" w:lineRule="auto"/>
        <w:tabs>
          <w:tab w:leader="none" w:pos="260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number of shares of Common Stock of the Company then outstanding (assuming full conversion and/or exercise, as applicable, of all shares of Preferred Stock and other Derivative Securities).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of any other Major Investor’s failure to do likewise. During the ten</w:t>
      </w:r>
    </w:p>
    <w:p>
      <w:pPr>
        <w:spacing w:after="0" w:line="2" w:lineRule="exact"/>
        <w:rPr>
          <w:rFonts w:ascii="Arial" w:cs="Arial" w:eastAsia="Arial" w:hAnsi="Arial"/>
          <w:sz w:val="16"/>
          <w:szCs w:val="16"/>
          <w:color w:val="auto"/>
        </w:rPr>
      </w:pPr>
    </w:p>
    <w:p>
      <w:pPr>
        <w:ind w:firstLine="8"/>
        <w:spacing w:after="0" w:line="268" w:lineRule="auto"/>
        <w:tabs>
          <w:tab w:leader="none" w:pos="34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portion is equal to the proportion that the Common Stock issued and held, or issuable upon conversion and/or exercise, as applicable, of Preferred Stock and any other Derivative Securities then held, by such Fully Exercising Investor bears to the number of shares of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occur within the later of one hundred twenty (120</w:t>
      </w:r>
      <w:r>
        <w:rPr>
          <w:rFonts w:ascii="Arial" w:cs="Arial" w:eastAsia="Arial" w:hAnsi="Arial"/>
          <w:sz w:val="17"/>
          <w:szCs w:val="17"/>
          <w:b w:val="1"/>
          <w:bCs w:val="1"/>
          <w:color w:val="auto"/>
        </w:rPr>
        <w:t>)</w:t>
      </w:r>
      <w:r>
        <w:rPr>
          <w:rFonts w:ascii="Arial" w:cs="Arial" w:eastAsia="Arial" w:hAnsi="Arial"/>
          <w:sz w:val="17"/>
          <w:szCs w:val="17"/>
          <w:color w:val="auto"/>
        </w:rPr>
        <w:t xml:space="preserve"> days after the date that the Offer Notice is given and the date of initial sale of New Securities pursuant to </w:t>
      </w:r>
      <w:r>
        <w:rPr>
          <w:rFonts w:ascii="Arial" w:cs="Arial" w:eastAsia="Arial" w:hAnsi="Arial"/>
          <w:sz w:val="17"/>
          <w:szCs w:val="17"/>
          <w:u w:val="single" w:color="auto"/>
          <w:color w:val="auto"/>
        </w:rPr>
        <w:t>Section 4.1(c)</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2620" w:hanging="667"/>
        <w:spacing w:after="0"/>
        <w:tabs>
          <w:tab w:leader="none" w:pos="26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If all New Securities referred to in the Offer Notice are not elected to be purchased or acquired as provided in</w:t>
      </w:r>
    </w:p>
    <w:p>
      <w:pPr>
        <w:spacing w:after="0" w:line="23"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the Company may, during the ninety (90) day period following the expiration of the periods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t xml:space="preserve">Securities shall not be offered unless first reoffered to the Major Investors in accordance with this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220" w:firstLine="1953"/>
        <w:spacing w:after="0" w:line="255" w:lineRule="auto"/>
        <w:tabs>
          <w:tab w:leader="none" w:pos="26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 the event that the rights of any Major Investor to purchase New Securities under this Section 4.1 are waived with respect to a particular offering of New Securities (the “Offering”) without such Major Investor’s prior written consent (a “Waived Investor”) and any Major Investor that participated in waiving such rights actually purchases New Securities in such offering, then the Company shall grant, and hereby grants, each Waived Investor the right to purchase, in a subsequent closing of such issuance on substantially the same terms and conditions and within 30 days of the initial closing of the Offering, the same percentage of its full pro rata share of such New Securities as the highest percentage of any such purchasing Major Investor.</w:t>
      </w:r>
    </w:p>
    <w:p>
      <w:pPr>
        <w:spacing w:after="0" w:line="193" w:lineRule="exact"/>
        <w:rPr>
          <w:rFonts w:ascii="Arial" w:cs="Arial" w:eastAsia="Arial" w:hAnsi="Arial"/>
          <w:sz w:val="18"/>
          <w:szCs w:val="18"/>
          <w:color w:val="auto"/>
        </w:rPr>
      </w:pPr>
    </w:p>
    <w:p>
      <w:pPr>
        <w:ind w:right="200" w:firstLine="1953"/>
        <w:spacing w:after="0" w:line="277" w:lineRule="auto"/>
        <w:tabs>
          <w:tab w:leader="none" w:pos="260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be applicable to (i) Exempted Securities (as defined in the Certificate of Incorporation), and (ii) shares of Common Stock issued in the IPO.</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The covenants set forth in</w:t>
      </w:r>
      <w:r>
        <w:rPr>
          <w:rFonts w:ascii="Arial" w:cs="Arial" w:eastAsia="Arial" w:hAnsi="Arial"/>
          <w:sz w:val="16"/>
          <w:szCs w:val="16"/>
          <w:u w:val="single" w:color="auto"/>
          <w:color w:val="auto"/>
        </w:rPr>
        <w:t xml:space="preserve"> Section 4.1 </w:t>
      </w:r>
      <w:r>
        <w:rPr>
          <w:rFonts w:ascii="Arial" w:cs="Arial" w:eastAsia="Arial" w:hAnsi="Arial"/>
          <w:sz w:val="16"/>
          <w:szCs w:val="16"/>
          <w:color w:val="auto"/>
        </w:rPr>
        <w:t>shall terminate and be of no further force or effect upon the earliest to occur of</w:t>
      </w:r>
    </w:p>
    <w:p>
      <w:pPr>
        <w:spacing w:after="0" w:line="23" w:lineRule="exact"/>
        <w:rPr>
          <w:sz w:val="20"/>
          <w:szCs w:val="20"/>
          <w:color w:val="auto"/>
        </w:rPr>
      </w:pPr>
    </w:p>
    <w:p>
      <w:pPr>
        <w:ind w:right="240" w:firstLine="8"/>
        <w:spacing w:after="0" w:line="261" w:lineRule="auto"/>
        <w:tabs>
          <w:tab w:leader="none" w:pos="21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immediately before, but subject to, the consummation of the IPO, (ii) when the Company first becomes subject to the periodic reporting requirements of Section 12(g) or 15(d) of the Exchange Act, or (iii) upon a Deemed Liquidation Event.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Insurance</w:t>
      </w:r>
      <w:r>
        <w:rPr>
          <w:rFonts w:ascii="Arial" w:cs="Arial" w:eastAsia="Arial" w:hAnsi="Arial"/>
          <w:sz w:val="18"/>
          <w:szCs w:val="18"/>
          <w:color w:val="auto"/>
        </w:rPr>
        <w:t>. Within a reasonable period of time after requested by the Board of Directors, the Company shall obtain from financially sound and reputable insurers Directors and Officers Errors and Omissions insurance in an amount satisfactory to the Board of Directors, and will use commercially reasonable efforts to cause such insurance policy to be maintained until such time as the Board of Directors determines that such insurance should be discontinued.</w:t>
      </w:r>
    </w:p>
    <w:p>
      <w:pPr>
        <w:spacing w:after="0" w:line="187"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Employee Agreements</w:t>
      </w:r>
      <w:r>
        <w:rPr>
          <w:rFonts w:ascii="Arial" w:cs="Arial" w:eastAsia="Arial" w:hAnsi="Arial"/>
          <w:sz w:val="17"/>
          <w:szCs w:val="17"/>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substantially in the form approved by the Board of Directors, including at least one Investor Director. In addition, the Company shall not amend, modify, terminate, waive, or otherwise alter, in whole or in part, any of the above-referenced agreements or any restricted stock agreement between the Company and any employee, without the approval by the Board of Directors, including at least one Investor Director.</w:t>
      </w:r>
    </w:p>
    <w:p>
      <w:pPr>
        <w:spacing w:after="0" w:line="178"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Employee Vesting</w:t>
      </w:r>
      <w:r>
        <w:rPr>
          <w:rFonts w:ascii="Arial" w:cs="Arial" w:eastAsia="Arial" w:hAnsi="Arial"/>
          <w:sz w:val="18"/>
          <w:szCs w:val="18"/>
          <w:color w:val="auto"/>
        </w:rPr>
        <w:t>. Unless otherwise approved by the Board of Directors, which approval shall include at least one Investor Director, all current and future employees and consultants of the Company who purchase, receive options to purchase, or receive awards of shares of the Company’s capital stock after the date hereof shall be required to execute restricted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stock or option agreements, as applicable, providing for (i) vesting of shares, not faster than, over a four (4) year period, with the first twenty-five percent (25%) of such shares vesting following twelve (12) months of continued employment or service, and the remaining shares vesting in equal monthly installments over the following three (3) years, and (ii) a market stand-off provision substantially similar to that in </w:t>
      </w:r>
      <w:r>
        <w:rPr>
          <w:rFonts w:ascii="Arial" w:cs="Arial" w:eastAsia="Arial" w:hAnsi="Arial"/>
          <w:sz w:val="16"/>
          <w:szCs w:val="16"/>
          <w:u w:val="single" w:color="auto"/>
          <w:color w:val="auto"/>
        </w:rPr>
        <w:t>Section 2.11</w:t>
      </w:r>
      <w:r>
        <w:rPr>
          <w:rFonts w:ascii="Arial" w:cs="Arial" w:eastAsia="Arial" w:hAnsi="Arial"/>
          <w:sz w:val="16"/>
          <w:szCs w:val="16"/>
          <w:color w:val="auto"/>
        </w:rPr>
        <w:t>. In addition, unless otherwise approved by the Board of Directors, including at least one of the Investor Directors, the Company shall retain a “right of first refusal” on employee transfers until the Company’s IPO and shall have the right to repurchase unvested shares at cost upon termination of employment of a holder of restricted stock.</w:t>
      </w:r>
    </w:p>
    <w:p>
      <w:pPr>
        <w:spacing w:after="0" w:line="158"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Matters Requiring Investor Director Approval</w:t>
      </w:r>
      <w:r>
        <w:rPr>
          <w:rFonts w:ascii="Arial" w:cs="Arial" w:eastAsia="Arial" w:hAnsi="Arial"/>
          <w:sz w:val="18"/>
          <w:szCs w:val="18"/>
          <w:color w:val="auto"/>
        </w:rPr>
        <w:t>. So long as any shares of Preferred Stock remain outstanding, the Company hereby covenants and agrees with each of the Investors that it shall not, without first obtaining the approval of the Board of Directors, which approval must include the affirmative vote of at least one Investor Director:</w:t>
      </w:r>
    </w:p>
    <w:p>
      <w:pPr>
        <w:spacing w:after="0" w:line="181" w:lineRule="exact"/>
        <w:rPr>
          <w:sz w:val="20"/>
          <w:szCs w:val="20"/>
          <w:color w:val="auto"/>
        </w:rPr>
      </w:pPr>
    </w:p>
    <w:p>
      <w:pPr>
        <w:ind w:right="60" w:firstLine="1953"/>
        <w:spacing w:after="0" w:line="277" w:lineRule="auto"/>
        <w:tabs>
          <w:tab w:leader="none" w:pos="259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70" w:lineRule="exact"/>
        <w:rPr>
          <w:rFonts w:ascii="Arial" w:cs="Arial" w:eastAsia="Arial" w:hAnsi="Arial"/>
          <w:sz w:val="18"/>
          <w:szCs w:val="18"/>
          <w:color w:val="auto"/>
        </w:rPr>
      </w:pPr>
    </w:p>
    <w:p>
      <w:pPr>
        <w:jc w:val="both"/>
        <w:ind w:right="120" w:firstLine="1953"/>
        <w:spacing w:after="0" w:line="264" w:lineRule="auto"/>
        <w:tabs>
          <w:tab w:leader="none" w:pos="26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181" w:lineRule="exact"/>
        <w:rPr>
          <w:rFonts w:ascii="Arial" w:cs="Arial" w:eastAsia="Arial" w:hAnsi="Arial"/>
          <w:sz w:val="18"/>
          <w:szCs w:val="18"/>
          <w:color w:val="auto"/>
        </w:rPr>
      </w:pPr>
    </w:p>
    <w:p>
      <w:pPr>
        <w:ind w:right="120" w:firstLine="1953"/>
        <w:spacing w:after="0" w:line="277" w:lineRule="auto"/>
        <w:tabs>
          <w:tab w:leader="none" w:pos="260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incur indebtedness in excess of $75,000 in the aggregate that is not covered by the Budget, other than trade credit incurred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ordinary course of business;</w:t>
      </w:r>
    </w:p>
    <w:p>
      <w:pPr>
        <w:spacing w:after="0" w:line="210" w:lineRule="exact"/>
        <w:rPr>
          <w:rFonts w:ascii="Arial" w:cs="Arial" w:eastAsia="Arial" w:hAnsi="Arial"/>
          <w:sz w:val="16"/>
          <w:szCs w:val="16"/>
          <w:color w:val="auto"/>
        </w:rPr>
      </w:pPr>
    </w:p>
    <w:p>
      <w:pPr>
        <w:ind w:right="640" w:firstLine="1953"/>
        <w:spacing w:after="0" w:line="277" w:lineRule="auto"/>
        <w:tabs>
          <w:tab w:leader="none" w:pos="259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otherwise enter into or be a party to any transaction with any director, officer or employee of the Company or any “associate” (as defined in Rule 12b-2 promulgated under the Exchange Act) of any such Person;</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hire, terminate, or change the compensation of the executive officers, including approving any option grants or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awards to executive officers;</w:t>
      </w:r>
    </w:p>
    <w:p>
      <w:pPr>
        <w:spacing w:after="0" w:line="210" w:lineRule="exact"/>
        <w:rPr>
          <w:rFonts w:ascii="Arial" w:cs="Arial" w:eastAsia="Arial" w:hAnsi="Arial"/>
          <w:sz w:val="17"/>
          <w:szCs w:val="17"/>
          <w:color w:val="auto"/>
        </w:rPr>
      </w:pPr>
    </w:p>
    <w:p>
      <w:pPr>
        <w:ind w:left="2600" w:hanging="647"/>
        <w:spacing w:after="0"/>
        <w:tabs>
          <w:tab w:leader="none" w:pos="26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change the principal business of the Company, or enter into a new line of business, or exit the existing line of business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sell, assign, license, pledge or encumber material technology or intellectual property, other than licenses granted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ordinary course of business;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0" w:gutter="0" w:footer="0" w:header="0"/>
        </w:sectPr>
      </w:pPr>
    </w:p>
    <w:bookmarkStart w:id="406" w:name="page407"/>
    <w:bookmarkEnd w:id="4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7" w:name="page408"/>
    <w:bookmarkEnd w:id="407"/>
    <w:p>
      <w:pPr>
        <w:ind w:firstLine="1953"/>
        <w:spacing w:after="0" w:line="277" w:lineRule="auto"/>
        <w:tabs>
          <w:tab w:leader="none" w:pos="260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to the Company of money or assets greater than $200,000.</w:t>
      </w:r>
    </w:p>
    <w:p>
      <w:pPr>
        <w:spacing w:after="0" w:line="170"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Meetings of the Board of Directors; Committees</w:t>
      </w:r>
      <w:r>
        <w:rPr>
          <w:rFonts w:ascii="Arial" w:cs="Arial" w:eastAsia="Arial" w:hAnsi="Arial"/>
          <w:sz w:val="18"/>
          <w:szCs w:val="18"/>
          <w:color w:val="auto"/>
        </w:rPr>
        <w:t>. Unless otherwise determined by the vote of a majority of the directors then in office, the Board of Directors shall meet at least four (4) times per year, and at least once per quarter, in accordance with an agreed-upon schedule, unless otherwise agreed by a vote of the majority of the directors. Each non-employee director shall be entitled in such person’s discretion to be a member of any committee of the Board of Directors.</w:t>
      </w:r>
    </w:p>
    <w:p>
      <w:pPr>
        <w:spacing w:after="0" w:line="18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188"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Board Expenses</w:t>
      </w:r>
      <w:r>
        <w:rPr>
          <w:rFonts w:ascii="Arial" w:cs="Arial" w:eastAsia="Arial" w:hAnsi="Arial"/>
          <w:sz w:val="17"/>
          <w:szCs w:val="17"/>
          <w:color w:val="auto"/>
        </w:rPr>
        <w:t>. The Company shall reimburse the non-employee directors and board observers for all reasonable out-of-pocket expenses incurred (consistent with the Company’s policies) in connection with their role as a director or a board observer of the Company.</w:t>
      </w:r>
    </w:p>
    <w:p>
      <w:pPr>
        <w:spacing w:after="0" w:line="14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u w:val="single" w:color="auto"/>
          <w:color w:val="auto"/>
        </w:rPr>
        <w:t>Directors’ Liability and Indemnification</w:t>
      </w:r>
      <w:r>
        <w:rPr>
          <w:rFonts w:ascii="Arial" w:cs="Arial" w:eastAsia="Arial" w:hAnsi="Arial"/>
          <w:sz w:val="17"/>
          <w:szCs w:val="17"/>
          <w:color w:val="auto"/>
        </w:rPr>
        <w:t>.</w:t>
      </w:r>
    </w:p>
    <w:p>
      <w:pPr>
        <w:spacing w:after="0" w:line="225" w:lineRule="exact"/>
        <w:rPr>
          <w:sz w:val="20"/>
          <w:szCs w:val="20"/>
          <w:color w:val="auto"/>
        </w:rPr>
      </w:pPr>
    </w:p>
    <w:p>
      <w:pPr>
        <w:jc w:val="both"/>
        <w:ind w:right="20" w:firstLine="1953"/>
        <w:spacing w:after="0" w:line="297" w:lineRule="auto"/>
        <w:tabs>
          <w:tab w:leader="none" w:pos="259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Certificate of Incorporation and By-laws (as such By-laws of the Company may be amended from time to time) shall provide (i) for limitation of the liability of directors to the maximum extent permitted by law, and (ii) for indemnification of directors for acts on behalf of the Company to the maximum extent permitted by law. In the event any suit is filed or claim is asserted against a director or former director of the Company as a result of such director’s or former director’s service on the Board of Directors, the Company will provide such director or former director access to all records and files of the Company as he or she may reasonably request in defending against or preparing to defend against any such suit or claim.</w:t>
      </w:r>
    </w:p>
    <w:p>
      <w:pPr>
        <w:spacing w:after="0" w:line="158" w:lineRule="exact"/>
        <w:rPr>
          <w:rFonts w:ascii="Arial" w:cs="Arial" w:eastAsia="Arial" w:hAnsi="Arial"/>
          <w:sz w:val="16"/>
          <w:szCs w:val="16"/>
          <w:color w:val="auto"/>
        </w:rPr>
      </w:pPr>
    </w:p>
    <w:p>
      <w:pPr>
        <w:ind w:firstLine="1953"/>
        <w:spacing w:after="0" w:line="272" w:lineRule="auto"/>
        <w:tabs>
          <w:tab w:leader="none" w:pos="260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Company hereby acknowledges that one or more of the directors nominated by holders of Preferred Stock may have certain rights to indemnification, advancement of expenses and/or insurance provided by one or more of the Investors and certain of their affiliates (collectively, the “</w:t>
      </w:r>
      <w:r>
        <w:rPr>
          <w:rFonts w:ascii="Arial" w:cs="Arial" w:eastAsia="Arial" w:hAnsi="Arial"/>
          <w:sz w:val="17"/>
          <w:szCs w:val="17"/>
          <w:b w:val="1"/>
          <w:bCs w:val="1"/>
          <w:color w:val="auto"/>
        </w:rPr>
        <w:t>Fund Indemnitors</w:t>
      </w:r>
      <w:r>
        <w:rPr>
          <w:rFonts w:ascii="Arial" w:cs="Arial" w:eastAsia="Arial" w:hAnsi="Arial"/>
          <w:sz w:val="17"/>
          <w:szCs w:val="17"/>
          <w:color w:val="auto"/>
        </w:rPr>
        <w:t>”) for alleged acts or omissions in their capacities as directors of the Company. The Company hereby agrees (i) that it is the indemnitor of first resort (i.e., its obligations to any such director are primary and any obligation of the Fund Indemnitors to advance expenses or to provide indemnification for the same expenses or liabilities incurred by such director are secondary), (ii) that it shall be required to advance the full amount of expenses incurred by such director and shall be liable for the full amount of all expenses, judgments, penalties, fines and amounts paid in settlement by or on behalf of any such director to the extent legally permitted and as required by the Certificate of Incorporation or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8" w:name="page409"/>
    <w:bookmarkEnd w:id="408"/>
    <w:p>
      <w:pPr>
        <w:ind w:right="160"/>
        <w:spacing w:after="0" w:line="255" w:lineRule="auto"/>
        <w:rPr>
          <w:sz w:val="20"/>
          <w:szCs w:val="20"/>
          <w:color w:val="auto"/>
        </w:rPr>
      </w:pPr>
      <w:r>
        <w:rPr>
          <w:rFonts w:ascii="Arial" w:cs="Arial" w:eastAsia="Arial" w:hAnsi="Arial"/>
          <w:sz w:val="18"/>
          <w:szCs w:val="18"/>
          <w:color w:val="auto"/>
        </w:rPr>
        <w:t>laws of the Company (or any agreement between the Company and such director), without regard to any rights such director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director with respect to any claim for which such director has sought indemnification from the Company shall affect the foregoing and the Fund Indemnitors shall have a right of contribution and/or be subrogated to the extent of such advancement or payment to all of the rights of recovery of such director against the Company.</w:t>
      </w:r>
    </w:p>
    <w:p>
      <w:pPr>
        <w:spacing w:after="0" w:line="193"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Right to Conduct Activities</w:t>
      </w:r>
      <w:r>
        <w:rPr>
          <w:rFonts w:ascii="Arial" w:cs="Arial" w:eastAsia="Arial" w:hAnsi="Arial"/>
          <w:sz w:val="16"/>
          <w:szCs w:val="16"/>
          <w:color w:val="auto"/>
        </w:rPr>
        <w:t>. The Company hereby agrees and acknowledges that certain of the Investors (together with their Affiliates) are professional investment organizations or funds or corporate venture capital entities, and as such invest in numerous portfolio companies, some of which may be deemed competitive with the Company’s business (as currently conducted or as currently proposed to be conducted). The Company hereby agrees that, to the extent permitted under applicable law, such Investors shall not be liable to the Company for any claim arising out of, or based upon, (i) the investment by such Investors or their Affiliates in any entity competitive with the Company, or (ii) actions taken by any partner, officer or other representative of such Investor (or its Affiliates) to assist any such competitive company, whether or not such action was taken as a member of the board of directors of such competitive company or otherwise, and whether or not such action has a detrimental effect on the Company. Furthermore, the Company acknowledges that the execution of this Agreement and the access to the Company’s confidential information hereunder shall in no way be construed to prohibit or restrict an Investor or its investment adviser or such investment adviser’s other investment advisory clients from maintaining, making or considering investments in public or private companies, including, without limitation, companies that may compete either directly or indirectly with the Company, or from otherwise operating in the ordinary course of business. Notwithstanding anything in this Section 5.9 to the contrary, however, nothing herein shall relieve (x) any of the Investors from liability associated with the unauthorized disclosure of the Company’s confidential information obtained pursuant to this Agreement, 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(y) any director or officer of the Company from any liability associated with his or her fiduciary duties to the Company.</w:t>
      </w:r>
    </w:p>
    <w:p>
      <w:pPr>
        <w:spacing w:after="0" w:line="211" w:lineRule="exact"/>
        <w:rPr>
          <w:sz w:val="20"/>
          <w:szCs w:val="20"/>
          <w:color w:val="auto"/>
        </w:rPr>
      </w:pPr>
    </w:p>
    <w:p>
      <w:pPr>
        <w:ind w:right="360" w:firstLine="1297"/>
        <w:spacing w:after="0" w:line="279"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ERISA</w:t>
      </w:r>
      <w:r>
        <w:rPr>
          <w:rFonts w:ascii="Arial" w:cs="Arial" w:eastAsia="Arial" w:hAnsi="Arial"/>
          <w:sz w:val="17"/>
          <w:szCs w:val="17"/>
          <w:color w:val="auto"/>
        </w:rPr>
        <w:t>. The Company will exercise its reasonable best efforts to ensure that, at all times during which any Investor holds any shares of Preferred Stock or Common Stock, the assets of the Company will not be deemed to be “plan assets” for purposes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The Company agrees to provide notice, in writing, to each Investor as soon as is reasonably practicable upon determining that the assets of the Company are reasonably likely to be deemed “plan assets” for purposes of ERISA.</w:t>
      </w:r>
    </w:p>
    <w:p>
      <w:pPr>
        <w:spacing w:after="0" w:line="171" w:lineRule="exact"/>
        <w:rPr>
          <w:sz w:val="20"/>
          <w:szCs w:val="20"/>
          <w:color w:val="auto"/>
        </w:rPr>
      </w:pPr>
    </w:p>
    <w:p>
      <w:pPr>
        <w:jc w:val="both"/>
        <w:ind w:right="140" w:firstLine="1297"/>
        <w:spacing w:after="0" w:line="28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Termination of Covenants</w:t>
      </w:r>
      <w:r>
        <w:rPr>
          <w:rFonts w:ascii="Arial" w:cs="Arial" w:eastAsia="Arial" w:hAnsi="Arial"/>
          <w:sz w:val="17"/>
          <w:szCs w:val="17"/>
          <w:color w:val="auto"/>
        </w:rPr>
        <w:t xml:space="preserve">. The covenants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except for </w:t>
      </w:r>
      <w:r>
        <w:rPr>
          <w:rFonts w:ascii="Arial" w:cs="Arial" w:eastAsia="Arial" w:hAnsi="Arial"/>
          <w:sz w:val="17"/>
          <w:szCs w:val="17"/>
          <w:u w:val="single" w:color="auto"/>
          <w:color w:val="auto"/>
        </w:rPr>
        <w:t>Sections 5.6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5.8</w:t>
      </w:r>
      <w:r>
        <w:rPr>
          <w:rFonts w:ascii="Arial" w:cs="Arial" w:eastAsia="Arial" w:hAnsi="Arial"/>
          <w:sz w:val="17"/>
          <w:szCs w:val="17"/>
          <w:color w:val="auto"/>
        </w:rPr>
        <w:t>, shall terminate and be of no further force or effect upon the earliest to occur of (i) immediately before but subject to the consummation of an IPO; (ii) when the Company first becomes subject to the periodic reporting requirements of Section 12(g) or 15(d) of the Exchange Act; or (iii) upon a Deemed Liquidation Event.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9" w:name="page410"/>
    <w:bookmarkEnd w:id="409"/>
    <w:p>
      <w:pPr>
        <w:ind w:left="1300" w:hanging="64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rights under this Agreement may be assigned (but only with all related obligations) by a Holder to a transferee of Registrable Securities that (i) is an Affiliate, partner, member, limited partner, retired partner, retired member, or stockholder of a Holder; (ii) is a Holder’s Immediate Family Member or trust for the benefit of an individual Holder or one or more of such Holder’s Immediate Family Members; or (iii) after such transfer, holds at least 1,000,000 shares of Registrable Securities (subject to appropriate adjustment for stock splits, stock dividends, combinations, and other recapitalizations), or, if less, all of the Registrable Securities held by such Holder;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For the purposes of determining the number of shares of Registrable Securities held by a transferee, the holdings of a transferee (1) that is an Affiliate, limited partner, retired partner, member, retired member, or stockholder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including without limitation, the Investor’s affiliated partnership or funds management by such Investor or any of its respective directors, officers or partners.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8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Counterparts; Facsimile</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This Agreement may also be executed and delivered by facsimile signature, email signature, or other form of electronic transmission.</w:t>
      </w:r>
    </w:p>
    <w:p>
      <w:pPr>
        <w:spacing w:after="0" w:line="181"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given or made pursuant to this Agreement shall be in writing and shall be deemed effectively given, delivered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410" w:name="page411"/>
    <w:bookmarkEnd w:id="410"/>
    <w:p>
      <w:pPr>
        <w:ind w:right="40"/>
        <w:spacing w:after="0" w:line="271" w:lineRule="auto"/>
        <w:rPr>
          <w:sz w:val="20"/>
          <w:szCs w:val="20"/>
          <w:color w:val="auto"/>
        </w:rPr>
      </w:pPr>
      <w:r>
        <w:rPr>
          <w:rFonts w:ascii="Arial" w:cs="Arial" w:eastAsia="Arial" w:hAnsi="Arial"/>
          <w:sz w:val="17"/>
          <w:szCs w:val="17"/>
          <w:color w:val="auto"/>
        </w:rPr>
        <w:t xml:space="preserve">and received (i) upon personal delivery to the party to be notified; (ii) when sent by confirmed electronic mail or facsimile if sent during normal business hours of the recipient, and if not so confirmed, then on the next business day; (iii) five (5) days after having been sent by registered or certified mail, return receipt requested, postage prepaid; or (iv) one (1) business day after the business day of deposit with a nationally recognized overnight courier, specifying next-day delivery, with written verification of receipt. All communications shall be sent to the respective parties at their addresses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If notice is given to the Company, a copy, which shall not constitute notice, shall also be sent to Lia Der Marderosian, Esq. at Wilmer Cutler Pickering Hale and Dorr LLP, 60 State Street, Boston, MA 02109 and via electronic mail at Lia.DerMarderosian@wilmerhale.com.</w:t>
      </w:r>
    </w:p>
    <w:p>
      <w:pPr>
        <w:spacing w:after="0" w:line="179"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including without limitation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may be amended and the observance of any term of this Agreement may be waived (either generally or in a particular instance, and either retroactively or prospectively) only with the written consent of the Company and the holders representing the Requisite Vote;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Company may in its sole discretion waive compliance with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the Company’s failure to object promptly in writing after notification of a proposed assignment allegedly in violation of</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be deemed to be a waiver); and provided further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80" w:lineRule="exact"/>
        <w:rPr>
          <w:sz w:val="20"/>
          <w:szCs w:val="20"/>
          <w:color w:val="auto"/>
        </w:rPr>
      </w:pPr>
    </w:p>
    <w:p>
      <w:pPr>
        <w:jc w:val="both"/>
        <w:ind w:right="60" w:firstLine="1297"/>
        <w:spacing w:after="0" w:line="31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4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1" w:name="page412"/>
    <w:bookmarkEnd w:id="411"/>
    <w:p>
      <w:pPr>
        <w:jc w:val="both"/>
        <w:ind w:right="80" w:firstLine="1297"/>
        <w:spacing w:after="0" w:line="276"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the Series B Preferred Stock after the date hereof, any purchaser of such shares of Series B Preferred Stock may become a party to this Agreement by executing and delivering an additional counterpart signature page or joinder agreement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73"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71"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3"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parties hereto submit to the exclusive jurisdiction of any federal or state court located within the Commonwealth of Massachusetts over any dispute arising out of or relating to the Agreement or any of the transactions contemplated hereby and each party hereby agree that all claims in respect of such dispute or any suit, action or proceeding related thereto may be heard and determined in such courts. The parties waive, to the fullest extent permitted by applicable law, any objection which they may not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2" w:name="page413"/>
    <w:bookmarkEnd w:id="412"/>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Robert Gould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13" w:name="page414"/>
    <w:bookmarkEnd w:id="413"/>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THIRD ROCK VENTURES III, L.P.</w:t>
      </w:r>
    </w:p>
    <w:p>
      <w:pPr>
        <w:spacing w:after="0" w:line="229"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Third Rock Ventures GP III, L.P., its general partner</w:t>
      </w:r>
    </w:p>
    <w:p>
      <w:pPr>
        <w:spacing w:after="0" w:line="2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TRV GP III, LLC, its general partner</w:t>
      </w:r>
    </w:p>
    <w:p>
      <w:pPr>
        <w:spacing w:after="0" w:line="200" w:lineRule="exact"/>
        <w:rPr>
          <w:sz w:val="20"/>
          <w:szCs w:val="20"/>
          <w:color w:val="auto"/>
        </w:rPr>
      </w:pPr>
    </w:p>
    <w:p>
      <w:pPr>
        <w:spacing w:after="0" w:line="227"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Kevin Gillis</w:t>
      </w:r>
    </w:p>
    <w:p>
      <w:pPr>
        <w:spacing w:after="0" w:line="23" w:lineRule="exact"/>
        <w:rPr>
          <w:sz w:val="20"/>
          <w:szCs w:val="20"/>
          <w:color w:val="auto"/>
        </w:rPr>
      </w:pPr>
    </w:p>
    <w:p>
      <w:pPr>
        <w:ind w:left="5540"/>
        <w:spacing w:after="0"/>
        <w:tabs>
          <w:tab w:leader="none" w:pos="6260" w:val="left"/>
        </w:tabs>
        <w:rPr>
          <w:sz w:val="20"/>
          <w:szCs w:val="20"/>
          <w:color w:val="auto"/>
        </w:rPr>
      </w:pPr>
      <w:r>
        <w:rPr>
          <w:rFonts w:ascii="Arial" w:cs="Arial" w:eastAsia="Arial" w:hAnsi="Arial"/>
          <w:sz w:val="18"/>
          <w:szCs w:val="18"/>
          <w:color w:val="auto"/>
        </w:rPr>
        <w:t>Name:</w:t>
        <w:tab/>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THIRD ROCK VENTURES IV, L.P.</w:t>
      </w:r>
    </w:p>
    <w:p>
      <w:pPr>
        <w:spacing w:after="0" w:line="229"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Third Rock Ventures GP IV, L.P., its general partner</w:t>
      </w:r>
    </w:p>
    <w:p>
      <w:pPr>
        <w:spacing w:after="0" w:line="2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TRV GP IV, LLC, its general partner</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Kevin Gillis</w:t>
      </w:r>
    </w:p>
    <w:p>
      <w:pPr>
        <w:spacing w:after="0" w:line="23" w:lineRule="exact"/>
        <w:rPr>
          <w:sz w:val="20"/>
          <w:szCs w:val="20"/>
          <w:color w:val="auto"/>
        </w:rPr>
      </w:pPr>
    </w:p>
    <w:p>
      <w:pPr>
        <w:ind w:left="5540"/>
        <w:spacing w:after="0"/>
        <w:tabs>
          <w:tab w:leader="none" w:pos="6260" w:val="left"/>
        </w:tabs>
        <w:rPr>
          <w:sz w:val="20"/>
          <w:szCs w:val="20"/>
          <w:color w:val="auto"/>
        </w:rPr>
      </w:pPr>
      <w:r>
        <w:rPr>
          <w:rFonts w:ascii="Arial" w:cs="Arial" w:eastAsia="Arial" w:hAnsi="Arial"/>
          <w:sz w:val="18"/>
          <w:szCs w:val="18"/>
          <w:color w:val="auto"/>
        </w:rPr>
        <w:t>Name:</w:t>
        <w:tab/>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60"/>
          </w:cols>
          <w:pgMar w:left="900" w:top="341" w:right="639" w:bottom="1440" w:gutter="0" w:footer="0" w:header="0"/>
        </w:sectPr>
      </w:pPr>
    </w:p>
    <w:bookmarkStart w:id="414" w:name="page415"/>
    <w:bookmarkEnd w:id="414"/>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FORESITE CAPITAL FUND IV, L.P.</w:t>
      </w:r>
    </w:p>
    <w:p>
      <w:pPr>
        <w:spacing w:after="0" w:line="200" w:lineRule="exact"/>
        <w:rPr>
          <w:sz w:val="20"/>
          <w:szCs w:val="20"/>
          <w:color w:val="auto"/>
        </w:rPr>
      </w:pPr>
    </w:p>
    <w:p>
      <w:pPr>
        <w:spacing w:after="0" w:line="245"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Foresite Capital Management IV, LLC,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/s/ Dennis D Ryan</w:t>
      </w:r>
    </w:p>
    <w:p>
      <w:pPr>
        <w:spacing w:after="0" w:line="23" w:lineRule="exact"/>
        <w:rPr>
          <w:sz w:val="20"/>
          <w:szCs w:val="20"/>
          <w:color w:val="auto"/>
        </w:rPr>
      </w:pPr>
    </w:p>
    <w:tbl>
      <w:tblPr>
        <w:tblLayout w:type="fixed"/>
        <w:tblInd w:w="55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Dennis D. Ryan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2" w:right="239" w:bottom="1440" w:gutter="0" w:footer="0" w:header="0"/>
        </w:sectPr>
      </w:pPr>
    </w:p>
    <w:bookmarkStart w:id="415" w:name="page416"/>
    <w:bookmarkEnd w:id="415"/>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FIDELITY GROWTH COMPANY FUND</w:t>
      </w:r>
    </w:p>
    <w:p>
      <w:pPr>
        <w:spacing w:after="0" w:line="200" w:lineRule="exact"/>
        <w:rPr>
          <w:sz w:val="20"/>
          <w:szCs w:val="20"/>
          <w:color w:val="auto"/>
        </w:rPr>
      </w:pPr>
    </w:p>
    <w:p>
      <w:pPr>
        <w:spacing w:after="0" w:line="227"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Colm Hogan</w:t>
      </w:r>
    </w:p>
    <w:p>
      <w:pPr>
        <w:spacing w:after="0" w:line="23" w:lineRule="exact"/>
        <w:rPr>
          <w:sz w:val="20"/>
          <w:szCs w:val="20"/>
          <w:color w:val="auto"/>
        </w:rPr>
      </w:pPr>
    </w:p>
    <w:tbl>
      <w:tblPr>
        <w:tblLayout w:type="fixed"/>
        <w:tblInd w:w="554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Colm Hogan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FIDELITY SERIES GROWTH COMPANY FUND</w:t>
      </w:r>
    </w:p>
    <w:p>
      <w:pPr>
        <w:spacing w:after="0" w:line="200" w:lineRule="exact"/>
        <w:rPr>
          <w:sz w:val="20"/>
          <w:szCs w:val="20"/>
          <w:color w:val="auto"/>
        </w:rPr>
      </w:pPr>
    </w:p>
    <w:p>
      <w:pPr>
        <w:spacing w:after="0" w:line="227"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Colm Hogan</w:t>
      </w:r>
    </w:p>
    <w:p>
      <w:pPr>
        <w:spacing w:after="0" w:line="23" w:lineRule="exact"/>
        <w:rPr>
          <w:sz w:val="20"/>
          <w:szCs w:val="20"/>
          <w:color w:val="auto"/>
        </w:rPr>
      </w:pPr>
    </w:p>
    <w:tbl>
      <w:tblPr>
        <w:tblLayout w:type="fixed"/>
        <w:tblInd w:w="554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Colm Hogan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FIDELITY GROWTH COMPANY COMMINGLED POOL</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Fidelity Management Trust Company, as Trustee</w:t>
      </w:r>
    </w:p>
    <w:p>
      <w:pPr>
        <w:spacing w:after="0" w:line="200" w:lineRule="exact"/>
        <w:rPr>
          <w:sz w:val="20"/>
          <w:szCs w:val="20"/>
          <w:color w:val="auto"/>
        </w:rPr>
      </w:pPr>
    </w:p>
    <w:p>
      <w:pPr>
        <w:spacing w:after="0" w:line="24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Colm Hogan</w:t>
      </w:r>
    </w:p>
    <w:p>
      <w:pPr>
        <w:spacing w:after="0" w:line="23" w:lineRule="exact"/>
        <w:rPr>
          <w:sz w:val="20"/>
          <w:szCs w:val="20"/>
          <w:color w:val="auto"/>
        </w:rPr>
      </w:pPr>
    </w:p>
    <w:tbl>
      <w:tblPr>
        <w:tblLayout w:type="fixed"/>
        <w:tblInd w:w="554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Colm Hogan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CASDIN PARTNERS MASTER FUND, L.P.</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Casdin Partners GP, LLC, 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 Casdin</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Eli Casdin</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16" w:name="page417"/>
    <w:bookmarkEnd w:id="416"/>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6 DIMENSIONS CAPITAL, L.P.</w:t>
      </w:r>
    </w:p>
    <w:p>
      <w:pPr>
        <w:spacing w:after="0" w:line="200" w:lineRule="exact"/>
        <w:rPr>
          <w:sz w:val="20"/>
          <w:szCs w:val="20"/>
          <w:color w:val="auto"/>
        </w:rPr>
      </w:pPr>
    </w:p>
    <w:p>
      <w:pPr>
        <w:spacing w:after="0" w:line="24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Christina Chung</w:t>
            </w:r>
          </w:p>
        </w:tc>
      </w:tr>
      <w:tr>
        <w:trPr>
          <w:trHeight w:val="195"/>
        </w:trPr>
        <w:tc>
          <w:tcPr>
            <w:tcW w:w="6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140"/>
              <w:spacing w:after="0" w:line="195" w:lineRule="exact"/>
              <w:rPr>
                <w:sz w:val="20"/>
                <w:szCs w:val="20"/>
                <w:color w:val="auto"/>
              </w:rPr>
            </w:pPr>
            <w:r>
              <w:rPr>
                <w:rFonts w:ascii="Arial" w:cs="Arial" w:eastAsia="Arial" w:hAnsi="Arial"/>
                <w:sz w:val="18"/>
                <w:szCs w:val="18"/>
                <w:color w:val="auto"/>
              </w:rPr>
              <w:t>Christina Chung</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CFO</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6 DIMENSIONS AFFILIATES FUND, L.P.</w:t>
      </w:r>
    </w:p>
    <w:p>
      <w:pPr>
        <w:spacing w:after="0" w:line="200" w:lineRule="exact"/>
        <w:rPr>
          <w:sz w:val="20"/>
          <w:szCs w:val="20"/>
          <w:color w:val="auto"/>
        </w:rPr>
      </w:pPr>
    </w:p>
    <w:p>
      <w:pPr>
        <w:spacing w:after="0" w:line="24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Christina Chung</w:t>
            </w:r>
          </w:p>
        </w:tc>
      </w:tr>
      <w:tr>
        <w:trPr>
          <w:trHeight w:val="195"/>
        </w:trPr>
        <w:tc>
          <w:tcPr>
            <w:tcW w:w="6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140"/>
              <w:spacing w:after="0" w:line="195" w:lineRule="exact"/>
              <w:rPr>
                <w:sz w:val="20"/>
                <w:szCs w:val="20"/>
                <w:color w:val="auto"/>
              </w:rPr>
            </w:pPr>
            <w:r>
              <w:rPr>
                <w:rFonts w:ascii="Arial" w:cs="Arial" w:eastAsia="Arial" w:hAnsi="Arial"/>
                <w:sz w:val="18"/>
                <w:szCs w:val="18"/>
                <w:color w:val="auto"/>
              </w:rPr>
              <w:t>Christina Chung</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CFO</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17" w:name="page418"/>
    <w:bookmarkEnd w:id="417"/>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SECTION 32 FUND 2, LP</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Section 32 GP 2, LLC, 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Jennifer L. Kercher</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Jennifer L. Kercher</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Chief Operating Officer</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18" w:name="page419"/>
    <w:bookmarkEnd w:id="418"/>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AVENTIS INC.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Bernard Davitian</w:t>
      </w:r>
    </w:p>
    <w:p>
      <w:pPr>
        <w:spacing w:after="0" w:line="23" w:lineRule="exact"/>
        <w:rPr>
          <w:sz w:val="20"/>
          <w:szCs w:val="20"/>
          <w:color w:val="auto"/>
        </w:rPr>
      </w:pPr>
    </w:p>
    <w:tbl>
      <w:tblPr>
        <w:tblLayout w:type="fixed"/>
        <w:tblInd w:w="564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Bernard Davitian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SVP &amp; Managing Director, Sanofi Ventures</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19" w:name="page420"/>
    <w:bookmarkEnd w:id="419"/>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GBG-1 CORPORATION</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Junkyu Park</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Junkyu Park</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2" w:right="239" w:bottom="1440" w:gutter="0" w:footer="0" w:header="0"/>
        </w:sectPr>
      </w:pPr>
    </w:p>
    <w:bookmarkStart w:id="420" w:name="page421"/>
    <w:bookmarkEnd w:id="420"/>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MERITZ NS GLOBAL BIO FUND</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co-managing partners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NS Investment Co., Ltd.</w:t>
      </w:r>
    </w:p>
    <w:p>
      <w:pPr>
        <w:spacing w:after="0" w:line="22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Tae-Kyoung Sohn</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Tae-Kyoung Sohn</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Meritz Securities Co.,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Min-kyu Song</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Min-kyu Song</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Deputy General Manager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Paratus Investment Co.,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Chan-Ho Lee</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Chan-Ho Lee</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21" w:name="page422"/>
    <w:bookmarkEnd w:id="421"/>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LEERINK HOLDINGS LLC</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8"/>
          <w:szCs w:val="18"/>
          <w:color w:val="auto"/>
        </w:rPr>
        <w:t>By:</w:t>
        <w:tab/>
        <w:t>/s/ Joseph R. Gentile</w:t>
      </w:r>
    </w:p>
    <w:p>
      <w:pPr>
        <w:spacing w:after="0" w:line="23" w:lineRule="exact"/>
        <w:rPr>
          <w:sz w:val="20"/>
          <w:szCs w:val="20"/>
          <w:color w:val="auto"/>
        </w:rPr>
      </w:pPr>
    </w:p>
    <w:p>
      <w:pPr>
        <w:ind w:left="5600"/>
        <w:spacing w:after="0"/>
        <w:tabs>
          <w:tab w:leader="none" w:pos="6280" w:val="left"/>
        </w:tabs>
        <w:rPr>
          <w:sz w:val="20"/>
          <w:szCs w:val="20"/>
          <w:color w:val="auto"/>
        </w:rPr>
      </w:pPr>
      <w:r>
        <w:rPr>
          <w:rFonts w:ascii="Arial" w:cs="Arial" w:eastAsia="Arial" w:hAnsi="Arial"/>
          <w:sz w:val="18"/>
          <w:szCs w:val="18"/>
          <w:color w:val="auto"/>
        </w:rPr>
        <w:t>Name:</w:t>
        <w:tab/>
        <w:t>Joseph R.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-130810</wp:posOffset>
            </wp:positionV>
            <wp:extent cx="327596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60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CAO</w:t>
      </w:r>
    </w:p>
    <w:p>
      <w:pPr>
        <w:spacing w:after="0" w:line="200" w:lineRule="exact"/>
        <w:rPr>
          <w:sz w:val="20"/>
          <w:szCs w:val="20"/>
          <w:color w:val="auto"/>
        </w:rPr>
      </w:pPr>
    </w:p>
    <w:p>
      <w:pPr>
        <w:spacing w:after="0" w:line="2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LEERINK PARTNERS CO-INVESTMENT FUND, LLC</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8"/>
          <w:szCs w:val="18"/>
          <w:color w:val="auto"/>
        </w:rPr>
        <w:t>By:</w:t>
        <w:tab/>
        <w:t>/s/ Joseph R. Gentile</w:t>
      </w:r>
    </w:p>
    <w:p>
      <w:pPr>
        <w:spacing w:after="0" w:line="23" w:lineRule="exact"/>
        <w:rPr>
          <w:sz w:val="20"/>
          <w:szCs w:val="20"/>
          <w:color w:val="auto"/>
        </w:rPr>
      </w:pPr>
    </w:p>
    <w:p>
      <w:pPr>
        <w:ind w:left="5600"/>
        <w:spacing w:after="0"/>
        <w:tabs>
          <w:tab w:leader="none" w:pos="6280" w:val="left"/>
        </w:tabs>
        <w:rPr>
          <w:sz w:val="20"/>
          <w:szCs w:val="20"/>
          <w:color w:val="auto"/>
        </w:rPr>
      </w:pPr>
      <w:r>
        <w:rPr>
          <w:rFonts w:ascii="Arial" w:cs="Arial" w:eastAsia="Arial" w:hAnsi="Arial"/>
          <w:sz w:val="18"/>
          <w:szCs w:val="18"/>
          <w:color w:val="auto"/>
        </w:rPr>
        <w:t>Name:</w:t>
        <w:tab/>
        <w:t>Joseph R.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-130810</wp:posOffset>
            </wp:positionV>
            <wp:extent cx="327596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60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60"/>
          </w:cols>
          <w:pgMar w:left="900" w:top="341" w:right="639" w:bottom="1440" w:gutter="0" w:footer="0" w:header="0"/>
        </w:sectPr>
      </w:pPr>
    </w:p>
    <w:bookmarkStart w:id="422" w:name="page423"/>
    <w:bookmarkEnd w:id="422"/>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PORTLAND INVESTMENT — EP,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By: Partners Healthcare Master Trust for ERISA Assets, its Managing</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John R. Barker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John R.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Investment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PORTLAND INVESTMENT — PIA,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By: Partners HealthCare System Pooled Investment Accounts, LLC, its</w:t>
      </w:r>
    </w:p>
    <w:p>
      <w:pPr>
        <w:spacing w:after="0" w:line="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John R. Barker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John R.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Investment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PH INVESTMENTS,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Benjamin A. Gomez</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Benjamin A. 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SCUBED CAPITAL,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Mark Stevens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Mark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Managing Partner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FIFTH AVENUE PRIVATE EQUITY 14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Charles D. Bryceland</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Charles D. Bryceland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60"/>
          </w:cols>
          <w:pgMar w:left="900" w:top="341" w:right="639" w:bottom="1440" w:gutter="0" w:footer="0" w:header="0"/>
        </w:sectPr>
      </w:pPr>
    </w:p>
    <w:bookmarkStart w:id="423" w:name="page424"/>
    <w:bookmarkEnd w:id="423"/>
    <w:p>
      <w:pPr>
        <w:ind w:left="660"/>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SOBRATO CAPITAL,</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DBA of Sobrato Family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California limited liability company</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Matthew W. Sonsini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Matthew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 Chief Executive Officer, on behalf of Sobrato Family Holdings,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HARVARD MANAGEMENT PRIVATE EQUITY CORPORATION</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Elise McDonald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Elise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Richard W. Slocum</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Richard W. Slocum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ADOPTION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Adoption Agreement (“</w:t>
      </w:r>
      <w:r>
        <w:rPr>
          <w:rFonts w:ascii="Arial" w:cs="Arial" w:eastAsia="Arial" w:hAnsi="Arial"/>
          <w:sz w:val="16"/>
          <w:szCs w:val="16"/>
          <w:b w:val="1"/>
          <w:bCs w:val="1"/>
          <w:color w:val="auto"/>
        </w:rPr>
        <w:t>Adoption Agreement</w:t>
      </w:r>
      <w:r>
        <w:rPr>
          <w:rFonts w:ascii="Arial" w:cs="Arial" w:eastAsia="Arial" w:hAnsi="Arial"/>
          <w:sz w:val="16"/>
          <w:szCs w:val="16"/>
          <w:color w:val="auto"/>
        </w:rPr>
        <w:t>”) is executed on February 8, 2019, by the undersigned (the “</w:t>
      </w:r>
      <w:r>
        <w:rPr>
          <w:rFonts w:ascii="Arial" w:cs="Arial" w:eastAsia="Arial" w:hAnsi="Arial"/>
          <w:sz w:val="16"/>
          <w:szCs w:val="16"/>
          <w:b w:val="1"/>
          <w:bCs w:val="1"/>
          <w:color w:val="auto"/>
        </w:rPr>
        <w:t>Holder</w:t>
      </w:r>
      <w:r>
        <w:rPr>
          <w:rFonts w:ascii="Arial" w:cs="Arial" w:eastAsia="Arial" w:hAnsi="Arial"/>
          <w:sz w:val="16"/>
          <w:szCs w:val="16"/>
          <w:color w:val="auto"/>
        </w:rPr>
        <w:t>”) pursuant to the terms of</w:t>
      </w:r>
    </w:p>
    <w:p>
      <w:pPr>
        <w:spacing w:after="0" w:line="50" w:lineRule="exact"/>
        <w:rPr>
          <w:sz w:val="20"/>
          <w:szCs w:val="20"/>
          <w:color w:val="auto"/>
        </w:rPr>
      </w:pPr>
    </w:p>
    <w:p>
      <w:pPr>
        <w:ind w:right="60" w:firstLine="8"/>
        <w:spacing w:after="0" w:line="290" w:lineRule="auto"/>
        <w:tabs>
          <w:tab w:leader="none" w:pos="21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that certain Amended and Restated Stockholders Agreement dated as of August 24, 2018 (as amended, restated, or otherwise modified from time to time, the “</w:t>
      </w:r>
      <w:r>
        <w:rPr>
          <w:rFonts w:ascii="Arial" w:cs="Arial" w:eastAsia="Arial" w:hAnsi="Arial"/>
          <w:sz w:val="16"/>
          <w:szCs w:val="16"/>
          <w:b w:val="1"/>
          <w:bCs w:val="1"/>
          <w:color w:val="auto"/>
        </w:rPr>
        <w:t>Stockholders Agreement</w:t>
      </w:r>
      <w:r>
        <w:rPr>
          <w:rFonts w:ascii="Arial" w:cs="Arial" w:eastAsia="Arial" w:hAnsi="Arial"/>
          <w:sz w:val="16"/>
          <w:szCs w:val="16"/>
          <w:color w:val="auto"/>
        </w:rPr>
        <w:t>”), by and among the Company and certain of its Stockholders, as such Agreement may be amended or amended and restated hereafter and (ii) that certain Amended and Restated Investors’s Rights Agreement dated as of August 24, 2018 (as amended, restated, or otherwise modified from time to time, the “</w:t>
      </w:r>
      <w:r>
        <w:rPr>
          <w:rFonts w:ascii="Arial" w:cs="Arial" w:eastAsia="Arial" w:hAnsi="Arial"/>
          <w:sz w:val="16"/>
          <w:szCs w:val="16"/>
          <w:b w:val="1"/>
          <w:bCs w:val="1"/>
          <w:color w:val="auto"/>
        </w:rPr>
        <w:t>IRA</w:t>
      </w:r>
      <w:r>
        <w:rPr>
          <w:rFonts w:ascii="Arial" w:cs="Arial" w:eastAsia="Arial" w:hAnsi="Arial"/>
          <w:sz w:val="16"/>
          <w:szCs w:val="16"/>
          <w:color w:val="auto"/>
        </w:rPr>
        <w:t>”), by and among the Company and certain of its Stockholders, as such Agreement may be amended or amended and restated hereafter and Capitalized terms used but not defined in this Adoption Agreement shall have the respective meanings ascribed to such terms in the Stockholders Agreement and the IRA. By the execution of this Adoption Agreement, the Holder agrees as follows.</w:t>
      </w:r>
    </w:p>
    <w:p>
      <w:pPr>
        <w:spacing w:after="0" w:line="160" w:lineRule="exact"/>
        <w:rPr>
          <w:sz w:val="20"/>
          <w:szCs w:val="20"/>
          <w:color w:val="auto"/>
        </w:rPr>
      </w:pPr>
    </w:p>
    <w:p>
      <w:pPr>
        <w:ind w:right="400" w:firstLine="648"/>
        <w:spacing w:after="0" w:line="313"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Acknowledgement</w:t>
      </w:r>
      <w:r>
        <w:rPr>
          <w:rFonts w:ascii="Arial" w:cs="Arial" w:eastAsia="Arial" w:hAnsi="Arial"/>
          <w:sz w:val="17"/>
          <w:szCs w:val="17"/>
          <w:color w:val="auto"/>
        </w:rPr>
        <w:t>. Holder acknowledges that Holder is acquiring certain shares of the capital stock of the Company (the “</w:t>
      </w:r>
      <w:r>
        <w:rPr>
          <w:rFonts w:ascii="Arial" w:cs="Arial" w:eastAsia="Arial" w:hAnsi="Arial"/>
          <w:sz w:val="17"/>
          <w:szCs w:val="17"/>
          <w:b w:val="1"/>
          <w:bCs w:val="1"/>
          <w:color w:val="auto"/>
        </w:rPr>
        <w:t>Stock</w:t>
      </w:r>
      <w:r>
        <w:rPr>
          <w:rFonts w:ascii="Arial" w:cs="Arial" w:eastAsia="Arial" w:hAnsi="Arial"/>
          <w:sz w:val="17"/>
          <w:szCs w:val="17"/>
          <w:color w:val="auto"/>
        </w:rPr>
        <w:t>”) or options, warrants or other rights to purchase such Stock (the “</w:t>
      </w:r>
      <w:r>
        <w:rPr>
          <w:rFonts w:ascii="Arial" w:cs="Arial" w:eastAsia="Arial" w:hAnsi="Arial"/>
          <w:sz w:val="17"/>
          <w:szCs w:val="17"/>
          <w:b w:val="1"/>
          <w:bCs w:val="1"/>
          <w:color w:val="auto"/>
        </w:rPr>
        <w:t>Options</w:t>
      </w:r>
      <w:r>
        <w:rPr>
          <w:rFonts w:ascii="Arial" w:cs="Arial" w:eastAsia="Arial" w:hAnsi="Arial"/>
          <w:sz w:val="17"/>
          <w:szCs w:val="17"/>
          <w:color w:val="auto"/>
        </w:rPr>
        <w:t>”), for one of the following reasons (Check the correct box):</w:t>
      </w:r>
    </w:p>
    <w:p>
      <w:pPr>
        <w:spacing w:after="0" w:line="142" w:lineRule="exact"/>
        <w:rPr>
          <w:sz w:val="20"/>
          <w:szCs w:val="20"/>
          <w:color w:val="auto"/>
        </w:rPr>
      </w:pPr>
    </w:p>
    <w:p>
      <w:pPr>
        <w:ind w:left="660" w:hanging="4"/>
        <w:spacing w:after="0" w:line="277" w:lineRule="auto"/>
        <w:tabs>
          <w:tab w:leader="none" w:pos="12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a transferee of Shares from a party in such party’s capacity as an “Investor” bound by the Agreement, and after such transfer, Holder shall be considered an “Investor” and a “Stockholder” for all purposes of the Agreement.</w:t>
      </w:r>
    </w:p>
    <w:p>
      <w:pPr>
        <w:spacing w:after="0" w:line="170" w:lineRule="exact"/>
        <w:rPr>
          <w:rFonts w:ascii="Arial" w:cs="Arial" w:eastAsia="Arial" w:hAnsi="Arial"/>
          <w:sz w:val="18"/>
          <w:szCs w:val="18"/>
          <w:color w:val="auto"/>
        </w:rPr>
      </w:pPr>
    </w:p>
    <w:p>
      <w:pPr>
        <w:ind w:left="660" w:right="220" w:hanging="4"/>
        <w:spacing w:after="0" w:line="277" w:lineRule="auto"/>
        <w:tabs>
          <w:tab w:leader="none" w:pos="12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a transferee of Shares from a party in such party’s capacity as a “Key Holder” bound by the Agreement, and after such transfer, Holder shall be considered a “Key Holder” and a “Stockholder” for all purposes of the Agreement.</w:t>
      </w:r>
    </w:p>
    <w:p>
      <w:pPr>
        <w:spacing w:after="0" w:line="170" w:lineRule="exact"/>
        <w:rPr>
          <w:sz w:val="20"/>
          <w:szCs w:val="20"/>
          <w:color w:val="auto"/>
        </w:rPr>
      </w:pPr>
    </w:p>
    <w:p>
      <w:pPr>
        <w:ind w:left="660" w:right="40" w:hanging="4"/>
        <w:spacing w:after="0" w:line="257" w:lineRule="auto"/>
        <w:tabs>
          <w:tab w:leader="none" w:pos="120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as a new Investor in accordance with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of the Stockholders Agreement, in which case Holder will be an “Investor” and a “Stockholder” for all purposes of the Stockholders Agreement and in accordance with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of the IRA, in which case Holder will be an “Investor” and a “Holder” for all purposes under the IRA, and shall be deemed a “Major Investor” for all purposes under the IRA so long as Holder, individually or together with such Holder’s Affiliates (as defined in the IRA), holds at least 750,000 shares of Registrable Securities (as defined in the IRA) in accordance with Section 1.21 of the IRA.</w:t>
      </w:r>
    </w:p>
    <w:p>
      <w:pPr>
        <w:spacing w:after="0" w:line="188" w:lineRule="exact"/>
        <w:rPr>
          <w:sz w:val="20"/>
          <w:szCs w:val="20"/>
          <w:color w:val="auto"/>
        </w:rPr>
      </w:pPr>
    </w:p>
    <w:p>
      <w:pPr>
        <w:ind w:left="660" w:right="60" w:hanging="4"/>
        <w:spacing w:after="0" w:line="277" w:lineRule="auto"/>
        <w:tabs>
          <w:tab w:leader="none" w:pos="123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of the Agreement, as a new party who is not a new Investor, in which case Holder will be a “Key Holder” and a “Stockholder” for all purposes of the Agreement.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Agreement</w:t>
      </w:r>
      <w:r>
        <w:rPr>
          <w:rFonts w:ascii="Arial" w:cs="Arial" w:eastAsia="Arial" w:hAnsi="Arial"/>
          <w:sz w:val="17"/>
          <w:szCs w:val="17"/>
          <w:color w:val="auto"/>
        </w:rPr>
        <w:t>. Holder hereby (a) agrees that the Stock and any other shares of capital stock or securities required by the Stockholders Agreement and the IRA to be bound thereby, shall be bound by and subject to the terms of the Stockholders Agreement and IRA, respectively and (b) adopts the Stockholders Agreement and the IRA with the same force and effect as if Holder were originally a party to each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24" w:name="page425"/>
    <w:bookmarkEnd w:id="424"/>
    <w:p>
      <w:pPr>
        <w:ind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Stockholders Agreement and the IRA shall be given to Holder at the address or facsimile number listed below Holder’s signature hereto.</w:t>
      </w:r>
    </w:p>
    <w:p>
      <w:pPr>
        <w:spacing w:after="0" w:line="17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341" w:right="69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234"/>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GLAXO GROUP LIMITED</w:t>
            </w:r>
          </w:p>
        </w:tc>
        <w:tc>
          <w:tcPr>
            <w:tcW w:w="3140" w:type="dxa"/>
            <w:vAlign w:val="bottom"/>
          </w:tcPr>
          <w:p>
            <w:pPr>
              <w:ind w:left="280"/>
              <w:spacing w:after="0"/>
              <w:rPr>
                <w:sz w:val="20"/>
                <w:szCs w:val="20"/>
                <w:color w:val="auto"/>
              </w:rPr>
            </w:pPr>
            <w:r>
              <w:rPr>
                <w:rFonts w:ascii="Arial" w:cs="Arial" w:eastAsia="Arial" w:hAnsi="Arial"/>
                <w:sz w:val="18"/>
                <w:szCs w:val="18"/>
                <w:color w:val="auto"/>
              </w:rPr>
              <w:t>ACCEPTED AND AGREED:</w:t>
            </w:r>
          </w:p>
        </w:tc>
      </w:tr>
      <w:tr>
        <w:trPr>
          <w:trHeight w:val="432"/>
        </w:trPr>
        <w:tc>
          <w:tcPr>
            <w:tcW w:w="5440" w:type="dxa"/>
            <w:vAlign w:val="bottom"/>
            <w:gridSpan w:val="3"/>
          </w:tcPr>
          <w:p>
            <w:pPr>
              <w:spacing w:after="0"/>
              <w:rPr>
                <w:sz w:val="20"/>
                <w:szCs w:val="20"/>
                <w:color w:val="auto"/>
              </w:rPr>
            </w:pPr>
            <w:r>
              <w:rPr>
                <w:rFonts w:ascii="Arial" w:cs="Arial" w:eastAsia="Arial" w:hAnsi="Arial"/>
                <w:sz w:val="18"/>
                <w:szCs w:val="18"/>
                <w:color w:val="auto"/>
              </w:rPr>
              <w:t>By:   /s/ John Sadler</w:t>
            </w:r>
          </w:p>
        </w:tc>
        <w:tc>
          <w:tcPr>
            <w:tcW w:w="3140" w:type="dxa"/>
            <w:vAlign w:val="bottom"/>
          </w:tcPr>
          <w:p>
            <w:pPr>
              <w:ind w:left="280"/>
              <w:spacing w:after="0"/>
              <w:rPr>
                <w:sz w:val="20"/>
                <w:szCs w:val="20"/>
                <w:color w:val="auto"/>
              </w:rPr>
            </w:pPr>
            <w:r>
              <w:rPr>
                <w:rFonts w:ascii="Arial" w:cs="Arial" w:eastAsia="Arial" w:hAnsi="Arial"/>
                <w:sz w:val="18"/>
                <w:szCs w:val="18"/>
                <w:b w:val="1"/>
                <w:bCs w:val="1"/>
                <w:color w:val="auto"/>
              </w:rPr>
              <w:t>FULCRUM THERAPEUTICS, INC.</w:t>
            </w:r>
          </w:p>
        </w:tc>
      </w:tr>
      <w:tr>
        <w:trPr>
          <w:trHeight w:val="411"/>
        </w:trPr>
        <w:tc>
          <w:tcPr>
            <w:tcW w:w="500" w:type="dxa"/>
            <w:vAlign w:val="bottom"/>
          </w:tcPr>
          <w:p>
            <w:pPr>
              <w:spacing w:after="0"/>
              <w:rPr>
                <w:sz w:val="24"/>
                <w:szCs w:val="2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John Sadler</w:t>
            </w:r>
          </w:p>
        </w:tc>
        <w:tc>
          <w:tcPr>
            <w:tcW w:w="314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140"/>
              <w:spacing w:after="0"/>
              <w:rPr>
                <w:sz w:val="20"/>
                <w:szCs w:val="20"/>
                <w:color w:val="auto"/>
              </w:rPr>
            </w:pPr>
            <w:r>
              <w:rPr>
                <w:rFonts w:ascii="Arial" w:cs="Arial" w:eastAsia="Arial" w:hAnsi="Arial"/>
                <w:sz w:val="18"/>
                <w:szCs w:val="18"/>
                <w:color w:val="auto"/>
              </w:rPr>
              <w:t>Authorised Signatory</w:t>
            </w:r>
          </w:p>
        </w:tc>
        <w:tc>
          <w:tcPr>
            <w:tcW w:w="31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For and on behalf of</w:t>
            </w:r>
          </w:p>
        </w:tc>
        <w:tc>
          <w:tcPr>
            <w:tcW w:w="31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Edinburgh Pharmaceutical</w:t>
            </w:r>
          </w:p>
        </w:tc>
        <w:tc>
          <w:tcPr>
            <w:tcW w:w="31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Industries Limited</w:t>
            </w:r>
          </w:p>
        </w:tc>
        <w:tc>
          <w:tcPr>
            <w:tcW w:w="31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Corporate Director</w:t>
            </w:r>
          </w:p>
        </w:tc>
        <w:tc>
          <w:tcPr>
            <w:tcW w:w="3140" w:type="dxa"/>
            <w:vAlign w:val="bottom"/>
          </w:tcPr>
          <w:p>
            <w:pPr>
              <w:spacing w:after="0"/>
              <w:rPr>
                <w:sz w:val="20"/>
                <w:szCs w:val="20"/>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c>
          <w:tcPr>
            <w:tcW w:w="40" w:type="dxa"/>
            <w:vAlign w:val="bottom"/>
          </w:tcPr>
          <w:p>
            <w:pPr>
              <w:spacing w:after="0"/>
              <w:rPr>
                <w:sz w:val="20"/>
                <w:szCs w:val="20"/>
                <w:color w:val="auto"/>
              </w:rPr>
            </w:pPr>
          </w:p>
        </w:tc>
      </w:tr>
      <w:tr>
        <w:trPr>
          <w:trHeight w:val="182"/>
        </w:trPr>
        <w:tc>
          <w:tcPr>
            <w:tcW w:w="3640" w:type="dxa"/>
            <w:vAlign w:val="bottom"/>
          </w:tcPr>
          <w:p>
            <w:pPr>
              <w:spacing w:after="0" w:line="182" w:lineRule="exact"/>
              <w:rPr>
                <w:sz w:val="20"/>
                <w:szCs w:val="20"/>
                <w:color w:val="auto"/>
              </w:rPr>
            </w:pPr>
            <w:r>
              <w:rPr>
                <w:rFonts w:ascii="Arial" w:cs="Arial" w:eastAsia="Arial" w:hAnsi="Arial"/>
                <w:sz w:val="18"/>
                <w:szCs w:val="18"/>
                <w:color w:val="auto"/>
              </w:rPr>
              <w:t>980 Great West Road</w:t>
            </w:r>
          </w:p>
        </w:tc>
        <w:tc>
          <w:tcPr>
            <w:tcW w:w="26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Brentford, Middlesex</w:t>
            </w: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c>
          <w:tcPr>
            <w:tcW w:w="40" w:type="dxa"/>
            <w:vAlign w:val="bottom"/>
          </w:tcPr>
          <w:p>
            <w:pPr>
              <w:spacing w:after="0"/>
              <w:rPr>
                <w:sz w:val="20"/>
                <w:szCs w:val="20"/>
                <w:color w:val="auto"/>
              </w:rPr>
            </w:pP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TW8 9GS England</w:t>
            </w:r>
          </w:p>
        </w:tc>
        <w:tc>
          <w:tcPr>
            <w:tcW w:w="26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4"/>
        </w:trPr>
        <w:tc>
          <w:tcPr>
            <w:tcW w:w="36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6" w:name="page427"/>
    <w:bookmarkEnd w:id="426"/>
    <w:p>
      <w:pPr>
        <w:jc w:val="center"/>
        <w:ind w:right="-120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right"/>
        <w:ind w:right="3319"/>
        <w:spacing w:after="0"/>
        <w:rPr>
          <w:sz w:val="20"/>
          <w:szCs w:val="20"/>
          <w:color w:val="auto"/>
        </w:rPr>
      </w:pPr>
      <w:r>
        <w:rPr>
          <w:rFonts w:ascii="Arial" w:cs="Arial" w:eastAsia="Arial" w:hAnsi="Arial"/>
          <w:sz w:val="18"/>
          <w:szCs w:val="18"/>
          <w:b w:val="1"/>
          <w:bCs w:val="1"/>
          <w:color w:val="auto"/>
        </w:rPr>
        <w:t>Name and Contact of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ROCK VENTURES III, L.P.</w:t>
      </w:r>
    </w:p>
    <w:p>
      <w:pPr>
        <w:spacing w:after="0" w:line="222" w:lineRule="auto"/>
        <w:rPr>
          <w:sz w:val="20"/>
          <w:szCs w:val="20"/>
          <w:color w:val="auto"/>
        </w:rPr>
      </w:pPr>
      <w:r>
        <w:rPr>
          <w:rFonts w:ascii="Arial" w:cs="Arial" w:eastAsia="Arial" w:hAnsi="Arial"/>
          <w:sz w:val="18"/>
          <w:szCs w:val="18"/>
          <w:color w:val="auto"/>
        </w:rPr>
        <w:t>29 Newbury Street;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2016,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Daphne Chang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GV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1600 Amphitheatre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ROCK VENTURES IV, L.P.</w:t>
      </w:r>
    </w:p>
    <w:p>
      <w:pPr>
        <w:spacing w:after="0" w:line="222" w:lineRule="auto"/>
        <w:rPr>
          <w:sz w:val="20"/>
          <w:szCs w:val="20"/>
          <w:color w:val="auto"/>
        </w:rPr>
      </w:pPr>
      <w:r>
        <w:rPr>
          <w:rFonts w:ascii="Arial" w:cs="Arial" w:eastAsia="Arial" w:hAnsi="Arial"/>
          <w:sz w:val="18"/>
          <w:szCs w:val="18"/>
          <w:color w:val="auto"/>
        </w:rPr>
        <w:t>29 Newbury Street;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FORESITE CAPITAL FUND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AVENTIS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55 Corporate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Bridgewater, New Jersey 08807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 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should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Sanofi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Binney Street — 02142 CAMBRIDGE —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Jason Hafler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FUND 2,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2033 San Elijo Avenue, #565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Cardiff by the Sea, CA 92007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 INVESTMENTS,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Pilot House, Lewis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Ben Gomez; John Vander Vort;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Robinson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SCUBED CAPITAL,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2061 Avy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Mark Stevens; Margo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b w:val="1"/>
          <w:bCs w:val="1"/>
          <w:color w:val="auto"/>
        </w:rPr>
        <w:t>SOBRATO CAPITAL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Sobrato Family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10600 N. De Anza Blvd.,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Cupertino, CA 95014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Matt Sonsini and Albert Chiang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HARVARD MANAGEMENT PRIVATE EQUITY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600 Atlantic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Elise McDonald and Emily Carroll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PORTLAND INVESTMENT — EP,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Partners HealthCare Investment Office</w:t>
      </w:r>
    </w:p>
    <w:p>
      <w:pPr>
        <w:spacing w:after="0" w:line="205" w:lineRule="auto"/>
        <w:rPr>
          <w:sz w:val="20"/>
          <w:szCs w:val="20"/>
          <w:color w:val="auto"/>
        </w:rPr>
      </w:pPr>
      <w:r>
        <w:rPr>
          <w:rFonts w:ascii="Arial" w:cs="Arial" w:eastAsia="Arial" w:hAnsi="Arial"/>
          <w:sz w:val="18"/>
          <w:szCs w:val="18"/>
          <w:color w:val="auto"/>
        </w:rPr>
        <w:t>101 Merrimac St.,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Kate Kamm, Portfolio Manager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PORTLAND INVESTMENT — PIA,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Partners HealthCare Investment Office</w:t>
      </w:r>
    </w:p>
    <w:p>
      <w:pPr>
        <w:spacing w:after="0" w:line="205" w:lineRule="auto"/>
        <w:rPr>
          <w:sz w:val="20"/>
          <w:szCs w:val="20"/>
          <w:color w:val="auto"/>
        </w:rPr>
      </w:pPr>
      <w:r>
        <w:rPr>
          <w:rFonts w:ascii="Arial" w:cs="Arial" w:eastAsia="Arial" w:hAnsi="Arial"/>
          <w:sz w:val="18"/>
          <w:szCs w:val="18"/>
          <w:color w:val="auto"/>
        </w:rPr>
        <w:t>101 Merrimac St.,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Kate Kamm, Portfolio Manager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FIFTH AVENUE PRIVATE EQUITY 14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630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PARTNERS CO-INVESTMENT FUND,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CASDIN PARTNERS MASTER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1350 Avenue of the Americas, Suite 2405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b w:val="1"/>
          <w:bCs w:val="1"/>
          <w:color w:val="auto"/>
        </w:rPr>
        <w:t>FIDELITY MT. VERNON STREET TRUST: FIDELITY GROWTH COMPANY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BNY Mellon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Stacey Wolfe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William Penn Place Rm 0400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15259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MT. VERNON STREET TRUST: FIDELITY SERIES GROWTH COMPANY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 Street Bank &amp;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WAVELENGTH + CO Fidelity Mt. Vernon Street Trust: Fidelity Series Growth Company Fund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GROWTH COMPANY COMMINGLED POOL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Mag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Brown Brothers Harriman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Actions /Vault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140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DIMENSIONS CAPITAL,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 Box 309, Ugland House 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 Cayman Islands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DIMENSIONS AFFILIATES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 Box 309, Ugland House 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 Cayman Islands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GBG-1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Walkers Corporate Limited, Cayman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 Hospital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Town, Grand Cayman KY1-9008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MERITZ NS GLOBAL BIO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15, Gukjegeumyung-ro 6-gil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Yeongdeungpo-gu, 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Republic of Korea 07330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GLAXO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980 Great West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Brentford, Middlesex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TW8 9GS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29" w:name="page430"/>
    <w:bookmarkEnd w:id="42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2016 STOCK INCENTIVE PLAN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(Adopted by the Board of Directors and approved by the stockholders on July 11, 2016)</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(First amendment adopted by the Board of Directors on August 2, 2017)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(First amendment approved by the stockholders on August 9, 2017)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amendment adopted by the Board of Directors on January 23,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amendment approved by the stockholders on January 23,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(Third amendment adopted by the Board of Directors on August 23,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(Third amendment approved by the stockholders on August 23,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(Fourth amendment adopted by the Board of Directors on February 6, 2019)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(Fourth amendment approved by the stockholders on February 7, 2019)</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430" w:name="page431"/>
    <w:bookmarkEnd w:id="430"/>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80" w:type="dxa"/>
            <w:vAlign w:val="bottom"/>
            <w:vMerge w:val="restart"/>
          </w:tcPr>
          <w:p>
            <w:pPr>
              <w:spacing w:after="0"/>
              <w:rPr>
                <w:sz w:val="20"/>
                <w:szCs w:val="20"/>
                <w:color w:val="auto"/>
              </w:rPr>
            </w:pPr>
            <w:r>
              <w:rPr>
                <w:rFonts w:ascii="Arial" w:cs="Arial" w:eastAsia="Arial" w:hAnsi="Arial"/>
                <w:sz w:val="18"/>
                <w:szCs w:val="18"/>
                <w:color w:val="auto"/>
              </w:rPr>
              <w:t>1.</w:t>
            </w:r>
          </w:p>
        </w:tc>
        <w:tc>
          <w:tcPr>
            <w:tcW w:w="9500" w:type="dxa"/>
            <w:vAlign w:val="bottom"/>
            <w:vMerge w:val="restart"/>
          </w:tcPr>
          <w:p>
            <w:pPr>
              <w:ind w:left="280"/>
              <w:spacing w:after="0"/>
              <w:rPr>
                <w:sz w:val="20"/>
                <w:szCs w:val="20"/>
                <w:color w:val="auto"/>
              </w:rPr>
            </w:pPr>
            <w:r>
              <w:rPr>
                <w:rFonts w:ascii="Arial" w:cs="Arial" w:eastAsia="Arial" w:hAnsi="Arial"/>
                <w:sz w:val="18"/>
                <w:szCs w:val="18"/>
                <w:color w:val="auto"/>
              </w:rPr>
              <w:t>Purpose</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780" w:type="dxa"/>
            <w:vAlign w:val="bottom"/>
            <w:vMerge w:val="continue"/>
          </w:tcPr>
          <w:p>
            <w:pPr>
              <w:spacing w:after="0"/>
              <w:rPr>
                <w:sz w:val="16"/>
                <w:szCs w:val="16"/>
                <w:color w:val="auto"/>
              </w:rPr>
            </w:pPr>
          </w:p>
        </w:tc>
        <w:tc>
          <w:tcPr>
            <w:tcW w:w="9500" w:type="dxa"/>
            <w:vAlign w:val="bottom"/>
            <w:vMerge w:val="continue"/>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w:t>
            </w:r>
          </w:p>
        </w:tc>
        <w:tc>
          <w:tcPr>
            <w:tcW w:w="9500" w:type="dxa"/>
            <w:vAlign w:val="bottom"/>
          </w:tcPr>
          <w:p>
            <w:pPr>
              <w:ind w:left="280"/>
              <w:spacing w:after="0"/>
              <w:rPr>
                <w:sz w:val="20"/>
                <w:szCs w:val="20"/>
                <w:color w:val="auto"/>
              </w:rPr>
            </w:pPr>
            <w:r>
              <w:rPr>
                <w:rFonts w:ascii="Arial" w:cs="Arial" w:eastAsia="Arial" w:hAnsi="Arial"/>
                <w:sz w:val="18"/>
                <w:szCs w:val="18"/>
                <w:color w:val="auto"/>
              </w:rPr>
              <w:t>Eligibility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w:t>
            </w:r>
          </w:p>
        </w:tc>
        <w:tc>
          <w:tcPr>
            <w:tcW w:w="9500" w:type="dxa"/>
            <w:vAlign w:val="bottom"/>
          </w:tcPr>
          <w:p>
            <w:pPr>
              <w:ind w:left="280"/>
              <w:spacing w:after="0"/>
              <w:rPr>
                <w:sz w:val="20"/>
                <w:szCs w:val="20"/>
                <w:color w:val="auto"/>
              </w:rPr>
            </w:pPr>
            <w:r>
              <w:rPr>
                <w:rFonts w:ascii="Arial" w:cs="Arial" w:eastAsia="Arial" w:hAnsi="Arial"/>
                <w:sz w:val="18"/>
                <w:szCs w:val="18"/>
                <w:color w:val="auto"/>
              </w:rPr>
              <w:t>Administration and Delegation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Administration by the Board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Appointment of Committees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w:t>
            </w:r>
          </w:p>
        </w:tc>
        <w:tc>
          <w:tcPr>
            <w:tcW w:w="9500" w:type="dxa"/>
            <w:vAlign w:val="bottom"/>
          </w:tcPr>
          <w:p>
            <w:pPr>
              <w:ind w:left="280"/>
              <w:spacing w:after="0"/>
              <w:rPr>
                <w:sz w:val="20"/>
                <w:szCs w:val="20"/>
                <w:color w:val="auto"/>
              </w:rPr>
            </w:pPr>
            <w:r>
              <w:rPr>
                <w:rFonts w:ascii="Arial" w:cs="Arial" w:eastAsia="Arial" w:hAnsi="Arial"/>
                <w:sz w:val="18"/>
                <w:szCs w:val="18"/>
                <w:color w:val="auto"/>
              </w:rPr>
              <w:t>Stock Available for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Number of Shares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Substitute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5.</w:t>
            </w:r>
          </w:p>
        </w:tc>
        <w:tc>
          <w:tcPr>
            <w:tcW w:w="950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Incentive Stock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(c)</w:t>
            </w:r>
          </w:p>
        </w:tc>
        <w:tc>
          <w:tcPr>
            <w:tcW w:w="9500" w:type="dxa"/>
            <w:vAlign w:val="bottom"/>
          </w:tcPr>
          <w:p>
            <w:pPr>
              <w:ind w:left="460"/>
              <w:spacing w:after="0"/>
              <w:rPr>
                <w:sz w:val="20"/>
                <w:szCs w:val="20"/>
                <w:color w:val="auto"/>
              </w:rPr>
            </w:pPr>
            <w:r>
              <w:rPr>
                <w:rFonts w:ascii="Arial" w:cs="Arial" w:eastAsia="Arial" w:hAnsi="Arial"/>
                <w:sz w:val="18"/>
                <w:szCs w:val="18"/>
                <w:color w:val="auto"/>
              </w:rPr>
              <w:t>Exercise Price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(d)</w:t>
            </w:r>
          </w:p>
        </w:tc>
        <w:tc>
          <w:tcPr>
            <w:tcW w:w="9500" w:type="dxa"/>
            <w:vAlign w:val="bottom"/>
          </w:tcPr>
          <w:p>
            <w:pPr>
              <w:ind w:left="460"/>
              <w:spacing w:after="0"/>
              <w:rPr>
                <w:sz w:val="20"/>
                <w:szCs w:val="20"/>
                <w:color w:val="auto"/>
              </w:rPr>
            </w:pPr>
            <w:r>
              <w:rPr>
                <w:rFonts w:ascii="Arial" w:cs="Arial" w:eastAsia="Arial" w:hAnsi="Arial"/>
                <w:sz w:val="18"/>
                <w:szCs w:val="18"/>
                <w:color w:val="auto"/>
              </w:rPr>
              <w:t>Duration of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(e)</w:t>
            </w:r>
          </w:p>
        </w:tc>
        <w:tc>
          <w:tcPr>
            <w:tcW w:w="9500" w:type="dxa"/>
            <w:vAlign w:val="bottom"/>
          </w:tcPr>
          <w:p>
            <w:pPr>
              <w:ind w:left="460"/>
              <w:spacing w:after="0"/>
              <w:rPr>
                <w:sz w:val="20"/>
                <w:szCs w:val="20"/>
                <w:color w:val="auto"/>
              </w:rPr>
            </w:pPr>
            <w:r>
              <w:rPr>
                <w:rFonts w:ascii="Arial" w:cs="Arial" w:eastAsia="Arial" w:hAnsi="Arial"/>
                <w:sz w:val="18"/>
                <w:szCs w:val="18"/>
                <w:color w:val="auto"/>
              </w:rPr>
              <w:t>Exercise of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(f)</w:t>
            </w:r>
          </w:p>
        </w:tc>
        <w:tc>
          <w:tcPr>
            <w:tcW w:w="9500" w:type="dxa"/>
            <w:vAlign w:val="bottom"/>
          </w:tcPr>
          <w:p>
            <w:pPr>
              <w:ind w:left="460"/>
              <w:spacing w:after="0"/>
              <w:rPr>
                <w:sz w:val="20"/>
                <w:szCs w:val="20"/>
                <w:color w:val="auto"/>
              </w:rPr>
            </w:pPr>
            <w:r>
              <w:rPr>
                <w:rFonts w:ascii="Arial" w:cs="Arial" w:eastAsia="Arial" w:hAnsi="Arial"/>
                <w:sz w:val="18"/>
                <w:szCs w:val="18"/>
                <w:color w:val="auto"/>
              </w:rPr>
              <w:t>Payment Upon Exercise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6.</w:t>
            </w:r>
          </w:p>
        </w:tc>
        <w:tc>
          <w:tcPr>
            <w:tcW w:w="9500" w:type="dxa"/>
            <w:vAlign w:val="bottom"/>
          </w:tcPr>
          <w:p>
            <w:pPr>
              <w:ind w:left="280"/>
              <w:spacing w:after="0"/>
              <w:rPr>
                <w:sz w:val="20"/>
                <w:szCs w:val="20"/>
                <w:color w:val="auto"/>
              </w:rPr>
            </w:pPr>
            <w:r>
              <w:rPr>
                <w:rFonts w:ascii="Arial" w:cs="Arial" w:eastAsia="Arial" w:hAnsi="Arial"/>
                <w:sz w:val="18"/>
                <w:szCs w:val="18"/>
                <w:color w:val="auto"/>
              </w:rPr>
              <w:t>Stock Appreciation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Measurement Price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(c)</w:t>
            </w:r>
          </w:p>
        </w:tc>
        <w:tc>
          <w:tcPr>
            <w:tcW w:w="9500" w:type="dxa"/>
            <w:vAlign w:val="bottom"/>
          </w:tcPr>
          <w:p>
            <w:pPr>
              <w:ind w:left="460"/>
              <w:spacing w:after="0"/>
              <w:rPr>
                <w:sz w:val="20"/>
                <w:szCs w:val="20"/>
                <w:color w:val="auto"/>
              </w:rPr>
            </w:pPr>
            <w:r>
              <w:rPr>
                <w:rFonts w:ascii="Arial" w:cs="Arial" w:eastAsia="Arial" w:hAnsi="Arial"/>
                <w:sz w:val="18"/>
                <w:szCs w:val="18"/>
                <w:color w:val="auto"/>
              </w:rPr>
              <w:t>Duration of SARs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(d)</w:t>
            </w:r>
          </w:p>
        </w:tc>
        <w:tc>
          <w:tcPr>
            <w:tcW w:w="9500" w:type="dxa"/>
            <w:vAlign w:val="bottom"/>
          </w:tcPr>
          <w:p>
            <w:pPr>
              <w:ind w:left="460"/>
              <w:spacing w:after="0"/>
              <w:rPr>
                <w:sz w:val="20"/>
                <w:szCs w:val="20"/>
                <w:color w:val="auto"/>
              </w:rPr>
            </w:pPr>
            <w:r>
              <w:rPr>
                <w:rFonts w:ascii="Arial" w:cs="Arial" w:eastAsia="Arial" w:hAnsi="Arial"/>
                <w:sz w:val="18"/>
                <w:szCs w:val="18"/>
                <w:color w:val="auto"/>
              </w:rPr>
              <w:t>Exercise of SARs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7.</w:t>
            </w:r>
          </w:p>
        </w:tc>
        <w:tc>
          <w:tcPr>
            <w:tcW w:w="9500" w:type="dxa"/>
            <w:vAlign w:val="bottom"/>
          </w:tcPr>
          <w:p>
            <w:pPr>
              <w:ind w:left="280"/>
              <w:spacing w:after="0"/>
              <w:rPr>
                <w:sz w:val="20"/>
                <w:szCs w:val="20"/>
                <w:color w:val="auto"/>
              </w:rPr>
            </w:pPr>
            <w:r>
              <w:rPr>
                <w:rFonts w:ascii="Arial" w:cs="Arial" w:eastAsia="Arial" w:hAnsi="Arial"/>
                <w:sz w:val="18"/>
                <w:szCs w:val="18"/>
                <w:color w:val="auto"/>
              </w:rPr>
              <w:t>Restricted Stock; Restricted Stock Units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Terms and Conditions for All Restricted Stock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(c)</w:t>
            </w:r>
          </w:p>
        </w:tc>
        <w:tc>
          <w:tcPr>
            <w:tcW w:w="9500" w:type="dxa"/>
            <w:vAlign w:val="bottom"/>
          </w:tcPr>
          <w:p>
            <w:pPr>
              <w:ind w:left="460"/>
              <w:spacing w:after="0"/>
              <w:rPr>
                <w:sz w:val="20"/>
                <w:szCs w:val="20"/>
                <w:color w:val="auto"/>
              </w:rPr>
            </w:pPr>
            <w:r>
              <w:rPr>
                <w:rFonts w:ascii="Arial" w:cs="Arial" w:eastAsia="Arial" w:hAnsi="Arial"/>
                <w:sz w:val="18"/>
                <w:szCs w:val="18"/>
                <w:color w:val="auto"/>
              </w:rPr>
              <w:t>Additional Provisions Relating to Restricted Stock</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(d)</w:t>
            </w:r>
          </w:p>
        </w:tc>
        <w:tc>
          <w:tcPr>
            <w:tcW w:w="9500" w:type="dxa"/>
            <w:vAlign w:val="bottom"/>
          </w:tcPr>
          <w:p>
            <w:pPr>
              <w:ind w:left="460"/>
              <w:spacing w:after="0"/>
              <w:rPr>
                <w:sz w:val="20"/>
                <w:szCs w:val="20"/>
                <w:color w:val="auto"/>
              </w:rPr>
            </w:pPr>
            <w:r>
              <w:rPr>
                <w:rFonts w:ascii="Arial" w:cs="Arial" w:eastAsia="Arial" w:hAnsi="Arial"/>
                <w:sz w:val="18"/>
                <w:szCs w:val="18"/>
                <w:color w:val="auto"/>
              </w:rPr>
              <w:t>Additional Provisions Relating to Restricted Stock Units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8.</w:t>
            </w:r>
          </w:p>
        </w:tc>
        <w:tc>
          <w:tcPr>
            <w:tcW w:w="9500" w:type="dxa"/>
            <w:vAlign w:val="bottom"/>
          </w:tcPr>
          <w:p>
            <w:pPr>
              <w:ind w:left="280"/>
              <w:spacing w:after="0"/>
              <w:rPr>
                <w:sz w:val="20"/>
                <w:szCs w:val="20"/>
                <w:color w:val="auto"/>
              </w:rPr>
            </w:pPr>
            <w:r>
              <w:rPr>
                <w:rFonts w:ascii="Arial" w:cs="Arial" w:eastAsia="Arial" w:hAnsi="Arial"/>
                <w:sz w:val="18"/>
                <w:szCs w:val="18"/>
                <w:color w:val="auto"/>
              </w:rPr>
              <w:t>Other Stock-Based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Terms and Conditions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9.</w:t>
            </w:r>
          </w:p>
        </w:tc>
        <w:tc>
          <w:tcPr>
            <w:tcW w:w="9500" w:type="dxa"/>
            <w:vAlign w:val="bottom"/>
          </w:tcPr>
          <w:p>
            <w:pPr>
              <w:ind w:left="280"/>
              <w:spacing w:after="0"/>
              <w:rPr>
                <w:sz w:val="20"/>
                <w:szCs w:val="20"/>
                <w:color w:val="auto"/>
              </w:rPr>
            </w:pPr>
            <w:r>
              <w:rPr>
                <w:rFonts w:ascii="Arial" w:cs="Arial" w:eastAsia="Arial" w:hAnsi="Arial"/>
                <w:sz w:val="18"/>
                <w:szCs w:val="18"/>
                <w:color w:val="auto"/>
              </w:rPr>
              <w:t>Adjustments for Changes in Common Stock and Certain Other Events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Changes in Capitalization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Reorganization Events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w:t>
            </w:r>
          </w:p>
        </w:tc>
        <w:tc>
          <w:tcPr>
            <w:tcW w:w="9500" w:type="dxa"/>
            <w:vAlign w:val="bottom"/>
          </w:tcPr>
          <w:p>
            <w:pPr>
              <w:ind w:left="280"/>
              <w:spacing w:after="0"/>
              <w:rPr>
                <w:sz w:val="20"/>
                <w:szCs w:val="20"/>
                <w:color w:val="auto"/>
              </w:rPr>
            </w:pPr>
            <w:r>
              <w:rPr>
                <w:rFonts w:ascii="Arial" w:cs="Arial" w:eastAsia="Arial" w:hAnsi="Arial"/>
                <w:sz w:val="18"/>
                <w:szCs w:val="18"/>
                <w:color w:val="auto"/>
              </w:rPr>
              <w:t>General Provisions Applicable to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Transferability of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Documentation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(c)</w:t>
            </w:r>
          </w:p>
        </w:tc>
        <w:tc>
          <w:tcPr>
            <w:tcW w:w="9500" w:type="dxa"/>
            <w:vAlign w:val="bottom"/>
          </w:tcPr>
          <w:p>
            <w:pPr>
              <w:ind w:left="460"/>
              <w:spacing w:after="0"/>
              <w:rPr>
                <w:sz w:val="20"/>
                <w:szCs w:val="20"/>
                <w:color w:val="auto"/>
              </w:rPr>
            </w:pPr>
            <w:r>
              <w:rPr>
                <w:rFonts w:ascii="Arial" w:cs="Arial" w:eastAsia="Arial" w:hAnsi="Arial"/>
                <w:sz w:val="18"/>
                <w:szCs w:val="18"/>
                <w:color w:val="auto"/>
              </w:rPr>
              <w:t>Board Discretion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(d)</w:t>
            </w:r>
          </w:p>
        </w:tc>
        <w:tc>
          <w:tcPr>
            <w:tcW w:w="9500" w:type="dxa"/>
            <w:vAlign w:val="bottom"/>
          </w:tcPr>
          <w:p>
            <w:pPr>
              <w:ind w:left="460"/>
              <w:spacing w:after="0"/>
              <w:rPr>
                <w:sz w:val="20"/>
                <w:szCs w:val="20"/>
                <w:color w:val="auto"/>
              </w:rPr>
            </w:pPr>
            <w:r>
              <w:rPr>
                <w:rFonts w:ascii="Arial" w:cs="Arial" w:eastAsia="Arial" w:hAnsi="Arial"/>
                <w:sz w:val="18"/>
                <w:szCs w:val="18"/>
                <w:color w:val="auto"/>
              </w:rPr>
              <w:t>Termination of Status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(e)</w:t>
            </w:r>
          </w:p>
        </w:tc>
        <w:tc>
          <w:tcPr>
            <w:tcW w:w="9500" w:type="dxa"/>
            <w:vAlign w:val="bottom"/>
          </w:tcPr>
          <w:p>
            <w:pPr>
              <w:ind w:left="460"/>
              <w:spacing w:after="0"/>
              <w:rPr>
                <w:sz w:val="20"/>
                <w:szCs w:val="20"/>
                <w:color w:val="auto"/>
              </w:rPr>
            </w:pPr>
            <w:r>
              <w:rPr>
                <w:rFonts w:ascii="Arial" w:cs="Arial" w:eastAsia="Arial" w:hAnsi="Arial"/>
                <w:sz w:val="18"/>
                <w:szCs w:val="18"/>
                <w:color w:val="auto"/>
              </w:rPr>
              <w:t>Withholding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(f)</w:t>
            </w:r>
          </w:p>
        </w:tc>
        <w:tc>
          <w:tcPr>
            <w:tcW w:w="9500" w:type="dxa"/>
            <w:vAlign w:val="bottom"/>
          </w:tcPr>
          <w:p>
            <w:pPr>
              <w:ind w:left="460"/>
              <w:spacing w:after="0"/>
              <w:rPr>
                <w:sz w:val="20"/>
                <w:szCs w:val="20"/>
                <w:color w:val="auto"/>
              </w:rPr>
            </w:pPr>
            <w:r>
              <w:rPr>
                <w:rFonts w:ascii="Arial" w:cs="Arial" w:eastAsia="Arial" w:hAnsi="Arial"/>
                <w:sz w:val="18"/>
                <w:szCs w:val="18"/>
                <w:color w:val="auto"/>
              </w:rPr>
              <w:t>Amendment of Award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(g)</w:t>
            </w:r>
          </w:p>
        </w:tc>
        <w:tc>
          <w:tcPr>
            <w:tcW w:w="9500" w:type="dxa"/>
            <w:vAlign w:val="bottom"/>
          </w:tcPr>
          <w:p>
            <w:pPr>
              <w:ind w:left="460"/>
              <w:spacing w:after="0"/>
              <w:rPr>
                <w:sz w:val="20"/>
                <w:szCs w:val="20"/>
                <w:color w:val="auto"/>
              </w:rPr>
            </w:pPr>
            <w:r>
              <w:rPr>
                <w:rFonts w:ascii="Arial" w:cs="Arial" w:eastAsia="Arial" w:hAnsi="Arial"/>
                <w:sz w:val="18"/>
                <w:szCs w:val="18"/>
                <w:color w:val="auto"/>
              </w:rPr>
              <w:t>Conditions on Delivery of Stock</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(h)</w:t>
            </w:r>
          </w:p>
        </w:tc>
        <w:tc>
          <w:tcPr>
            <w:tcW w:w="9500" w:type="dxa"/>
            <w:vAlign w:val="bottom"/>
          </w:tcPr>
          <w:p>
            <w:pPr>
              <w:ind w:left="460"/>
              <w:spacing w:after="0"/>
              <w:rPr>
                <w:sz w:val="20"/>
                <w:szCs w:val="20"/>
                <w:color w:val="auto"/>
              </w:rPr>
            </w:pPr>
            <w:r>
              <w:rPr>
                <w:rFonts w:ascii="Arial" w:cs="Arial" w:eastAsia="Arial" w:hAnsi="Arial"/>
                <w:sz w:val="18"/>
                <w:szCs w:val="18"/>
                <w:color w:val="auto"/>
              </w:rPr>
              <w:t>Acceleration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11.</w:t>
            </w:r>
          </w:p>
        </w:tc>
        <w:tc>
          <w:tcPr>
            <w:tcW w:w="9500" w:type="dxa"/>
            <w:vAlign w:val="bottom"/>
          </w:tcPr>
          <w:p>
            <w:pPr>
              <w:ind w:left="280"/>
              <w:spacing w:after="0"/>
              <w:rPr>
                <w:sz w:val="20"/>
                <w:szCs w:val="20"/>
                <w:color w:val="auto"/>
              </w:rPr>
            </w:pPr>
            <w:r>
              <w:rPr>
                <w:rFonts w:ascii="Arial" w:cs="Arial" w:eastAsia="Arial" w:hAnsi="Arial"/>
                <w:sz w:val="18"/>
                <w:szCs w:val="18"/>
                <w:color w:val="auto"/>
              </w:rPr>
              <w:t>Miscellaneous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No Right To Employment or Other Status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95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1" w:name="page432"/>
    <w:bookmarkEnd w:id="431"/>
    <w:tbl>
      <w:tblPr>
        <w:tblLayout w:type="fixed"/>
        <w:tblInd w:w="3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w:t>
            </w:r>
          </w:p>
        </w:tc>
        <w:tc>
          <w:tcPr>
            <w:tcW w:w="7900" w:type="dxa"/>
            <w:vAlign w:val="bottom"/>
          </w:tcPr>
          <w:p>
            <w:pPr>
              <w:ind w:left="360"/>
              <w:spacing w:after="0"/>
              <w:rPr>
                <w:sz w:val="20"/>
                <w:szCs w:val="20"/>
                <w:color w:val="auto"/>
              </w:rPr>
            </w:pPr>
            <w:r>
              <w:rPr>
                <w:rFonts w:ascii="Arial" w:cs="Arial" w:eastAsia="Arial" w:hAnsi="Arial"/>
                <w:sz w:val="18"/>
                <w:szCs w:val="18"/>
                <w:color w:val="auto"/>
              </w:rPr>
              <w:t>No Rights As Stockholder</w:t>
            </w: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(c)</w:t>
            </w:r>
          </w:p>
        </w:tc>
        <w:tc>
          <w:tcPr>
            <w:tcW w:w="7900" w:type="dxa"/>
            <w:vAlign w:val="bottom"/>
          </w:tcPr>
          <w:p>
            <w:pPr>
              <w:ind w:left="360"/>
              <w:spacing w:after="0"/>
              <w:rPr>
                <w:sz w:val="20"/>
                <w:szCs w:val="20"/>
                <w:color w:val="auto"/>
              </w:rPr>
            </w:pPr>
            <w:r>
              <w:rPr>
                <w:rFonts w:ascii="Arial" w:cs="Arial" w:eastAsia="Arial" w:hAnsi="Arial"/>
                <w:sz w:val="18"/>
                <w:szCs w:val="18"/>
                <w:color w:val="auto"/>
              </w:rPr>
              <w:t>Effective Date and Term of Plan</w:t>
            </w: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(d)</w:t>
            </w:r>
          </w:p>
        </w:tc>
        <w:tc>
          <w:tcPr>
            <w:tcW w:w="7900" w:type="dxa"/>
            <w:vAlign w:val="bottom"/>
          </w:tcPr>
          <w:p>
            <w:pPr>
              <w:ind w:left="360"/>
              <w:spacing w:after="0"/>
              <w:rPr>
                <w:sz w:val="20"/>
                <w:szCs w:val="20"/>
                <w:color w:val="auto"/>
              </w:rPr>
            </w:pPr>
            <w:r>
              <w:rPr>
                <w:rFonts w:ascii="Arial" w:cs="Arial" w:eastAsia="Arial" w:hAnsi="Arial"/>
                <w:sz w:val="18"/>
                <w:szCs w:val="18"/>
                <w:color w:val="auto"/>
              </w:rPr>
              <w:t>Amendment of Plan</w:t>
            </w: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(e)</w:t>
            </w:r>
          </w:p>
        </w:tc>
        <w:tc>
          <w:tcPr>
            <w:tcW w:w="7900" w:type="dxa"/>
            <w:vAlign w:val="bottom"/>
          </w:tcPr>
          <w:p>
            <w:pPr>
              <w:ind w:left="360"/>
              <w:spacing w:after="0"/>
              <w:rPr>
                <w:sz w:val="20"/>
                <w:szCs w:val="20"/>
                <w:color w:val="auto"/>
              </w:rPr>
            </w:pPr>
            <w:r>
              <w:rPr>
                <w:rFonts w:ascii="Arial" w:cs="Arial" w:eastAsia="Arial" w:hAnsi="Arial"/>
                <w:sz w:val="18"/>
                <w:szCs w:val="18"/>
                <w:color w:val="auto"/>
              </w:rPr>
              <w:t>Authorization of Sub-Plans (including Grants to non-U.S. Employees)</w:t>
            </w:r>
          </w:p>
        </w:tc>
        <w:tc>
          <w:tcPr>
            <w:tcW w:w="2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(f)</w:t>
            </w:r>
          </w:p>
        </w:tc>
        <w:tc>
          <w:tcPr>
            <w:tcW w:w="7900" w:type="dxa"/>
            <w:vAlign w:val="bottom"/>
          </w:tcPr>
          <w:p>
            <w:pPr>
              <w:ind w:left="360"/>
              <w:spacing w:after="0"/>
              <w:rPr>
                <w:sz w:val="20"/>
                <w:szCs w:val="20"/>
                <w:color w:val="auto"/>
              </w:rPr>
            </w:pPr>
            <w:r>
              <w:rPr>
                <w:rFonts w:ascii="Arial" w:cs="Arial" w:eastAsia="Arial" w:hAnsi="Arial"/>
                <w:sz w:val="18"/>
                <w:szCs w:val="18"/>
                <w:color w:val="auto"/>
              </w:rPr>
              <w:t>Compliance with Section 409A of the Code</w:t>
            </w:r>
          </w:p>
        </w:tc>
        <w:tc>
          <w:tcPr>
            <w:tcW w:w="2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(g)</w:t>
            </w:r>
          </w:p>
        </w:tc>
        <w:tc>
          <w:tcPr>
            <w:tcW w:w="7900" w:type="dxa"/>
            <w:vAlign w:val="bottom"/>
          </w:tcPr>
          <w:p>
            <w:pPr>
              <w:ind w:left="360"/>
              <w:spacing w:after="0"/>
              <w:rPr>
                <w:sz w:val="20"/>
                <w:szCs w:val="20"/>
                <w:color w:val="auto"/>
              </w:rPr>
            </w:pPr>
            <w:r>
              <w:rPr>
                <w:rFonts w:ascii="Arial" w:cs="Arial" w:eastAsia="Arial" w:hAnsi="Arial"/>
                <w:sz w:val="18"/>
                <w:szCs w:val="18"/>
                <w:color w:val="auto"/>
              </w:rPr>
              <w:t>Limitations on Liability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(h)</w:t>
            </w:r>
          </w:p>
        </w:tc>
        <w:tc>
          <w:tcPr>
            <w:tcW w:w="790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26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60" w:hanging="652"/>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22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purpose of this 2016 Stock Incentive Plan (the “</w:t>
      </w:r>
      <w:r>
        <w:rPr>
          <w:rFonts w:ascii="Arial" w:cs="Arial" w:eastAsia="Arial" w:hAnsi="Arial"/>
          <w:sz w:val="17"/>
          <w:szCs w:val="17"/>
          <w:b w:val="1"/>
          <w:bCs w:val="1"/>
          <w:color w:val="auto"/>
        </w:rPr>
        <w:t>Plan</w:t>
      </w:r>
      <w:r>
        <w:rPr>
          <w:rFonts w:ascii="Arial" w:cs="Arial" w:eastAsia="Arial" w:hAnsi="Arial"/>
          <w:sz w:val="17"/>
          <w:szCs w:val="17"/>
          <w:color w:val="auto"/>
        </w:rPr>
        <w:t>”) of Fulcrum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Arial" w:cs="Arial" w:eastAsia="Arial" w:hAnsi="Arial"/>
          <w:sz w:val="17"/>
          <w:szCs w:val="17"/>
          <w:b w:val="1"/>
          <w:bCs w:val="1"/>
          <w:color w:val="auto"/>
        </w:rPr>
        <w:t>Company</w:t>
      </w:r>
      <w:r>
        <w:rPr>
          <w:rFonts w:ascii="Arial" w:cs="Arial" w:eastAsia="Arial" w:hAnsi="Arial"/>
          <w:sz w:val="17"/>
          <w:szCs w:val="17"/>
          <w:color w:val="auto"/>
        </w:rPr>
        <w:t>” shall include any of the Company’s present or future parent or subsidiary corporations as defined in Sections 424(e) or (f) of the Internal Revenue Code of 1986, as amended, and any regulations thereunder (the “</w:t>
      </w:r>
      <w:r>
        <w:rPr>
          <w:rFonts w:ascii="Arial" w:cs="Arial" w:eastAsia="Arial" w:hAnsi="Arial"/>
          <w:sz w:val="17"/>
          <w:szCs w:val="17"/>
          <w:b w:val="1"/>
          <w:bCs w:val="1"/>
          <w:color w:val="auto"/>
        </w:rPr>
        <w:t>Code</w:t>
      </w:r>
      <w:r>
        <w:rPr>
          <w:rFonts w:ascii="Arial" w:cs="Arial" w:eastAsia="Arial" w:hAnsi="Arial"/>
          <w:sz w:val="17"/>
          <w:szCs w:val="17"/>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other business ventures shall be limited to entities that, where required by Section 409A of the Code, are eligible issuers of service recipient stock (as defined in Treas. Reg. Section 1.409A-1(b)(5)(iii)(E), or applicable successor regulation).</w:t>
      </w:r>
    </w:p>
    <w:p>
      <w:pPr>
        <w:spacing w:after="0" w:line="178"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All of the Company’s employees, officers and directors, as well as consultants and advisors to the Company (as such terms consultants and advisors are defined and interpreted for purposes of Rule 701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any successor rule)) are eligible to be granted Awards under the Plan. Each person who is granted an Award under the Plan is deemed a “</w:t>
      </w:r>
      <w:r>
        <w:rPr>
          <w:rFonts w:ascii="Arial" w:cs="Arial" w:eastAsia="Arial" w:hAnsi="Arial"/>
          <w:sz w:val="18"/>
          <w:szCs w:val="18"/>
          <w:b w:val="1"/>
          <w:bCs w:val="1"/>
          <w:color w:val="auto"/>
        </w:rPr>
        <w:t>Participant</w:t>
      </w:r>
      <w:r>
        <w:rPr>
          <w:rFonts w:ascii="Arial" w:cs="Arial" w:eastAsia="Arial" w:hAnsi="Arial"/>
          <w:sz w:val="18"/>
          <w:szCs w:val="18"/>
          <w:color w:val="auto"/>
        </w:rPr>
        <w:t>.” “</w:t>
      </w:r>
      <w:r>
        <w:rPr>
          <w:rFonts w:ascii="Arial" w:cs="Arial" w:eastAsia="Arial" w:hAnsi="Arial"/>
          <w:sz w:val="18"/>
          <w:szCs w:val="18"/>
          <w:b w:val="1"/>
          <w:bCs w:val="1"/>
          <w:color w:val="auto"/>
        </w:rPr>
        <w:t>Award</w:t>
      </w:r>
      <w:r>
        <w:rPr>
          <w:rFonts w:ascii="Arial" w:cs="Arial" w:eastAsia="Arial" w:hAnsi="Arial"/>
          <w:sz w:val="18"/>
          <w:szCs w:val="18"/>
          <w:color w:val="auto"/>
        </w:rPr>
        <w:t>” means Options (as defined in Section 5), SARs (as defined in Section 6), Restricted Stock (as defined in Section 7), Restricted Stock Units (as defined in Section 7) and Other Stock-Based Awards (as defined in Section 8).</w:t>
      </w:r>
    </w:p>
    <w:p>
      <w:pPr>
        <w:spacing w:after="0" w:line="188"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225" w:lineRule="exact"/>
        <w:rPr>
          <w:rFonts w:ascii="Arial" w:cs="Arial" w:eastAsia="Arial" w:hAnsi="Arial"/>
          <w:sz w:val="18"/>
          <w:szCs w:val="18"/>
          <w:color w:val="auto"/>
        </w:rPr>
      </w:pPr>
    </w:p>
    <w:p>
      <w:pPr>
        <w:ind w:right="60" w:firstLine="656"/>
        <w:spacing w:after="0" w:line="255" w:lineRule="auto"/>
        <w:tabs>
          <w:tab w:leader="none" w:pos="1294"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Administration by the Board</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2" w:name="page433"/>
    <w:bookmarkEnd w:id="432"/>
    <w:p>
      <w:pPr>
        <w:ind w:right="160" w:firstLine="656"/>
        <w:spacing w:after="0" w:line="286" w:lineRule="auto"/>
        <w:tabs>
          <w:tab w:leader="none" w:pos="1304" w:val="left"/>
        </w:tabs>
        <w:numPr>
          <w:ilvl w:val="1"/>
          <w:numId w:val="270"/>
        </w:numPr>
        <w:rPr>
          <w:rFonts w:ascii="Arial" w:cs="Arial" w:eastAsia="Arial" w:hAnsi="Arial"/>
          <w:sz w:val="17"/>
          <w:szCs w:val="17"/>
          <w:color w:val="auto"/>
        </w:rPr>
      </w:pP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To the extent permitted by applicable law, the Board may delegate any or all of its powers under the Plan to one or more committees or subcommittees of the Board (each, a “</w:t>
      </w:r>
      <w:r>
        <w:rPr>
          <w:rFonts w:ascii="Arial" w:cs="Arial" w:eastAsia="Arial" w:hAnsi="Arial"/>
          <w:sz w:val="17"/>
          <w:szCs w:val="17"/>
          <w:b w:val="1"/>
          <w:bCs w:val="1"/>
          <w:color w:val="auto"/>
        </w:rPr>
        <w:t>Committee</w:t>
      </w:r>
      <w:r>
        <w:rPr>
          <w:rFonts w:ascii="Arial" w:cs="Arial" w:eastAsia="Arial" w:hAnsi="Arial"/>
          <w:sz w:val="17"/>
          <w:szCs w:val="17"/>
          <w:color w:val="auto"/>
        </w:rPr>
        <w:t>”). All references in the Plan to the “</w:t>
      </w:r>
      <w:r>
        <w:rPr>
          <w:rFonts w:ascii="Arial" w:cs="Arial" w:eastAsia="Arial" w:hAnsi="Arial"/>
          <w:sz w:val="17"/>
          <w:szCs w:val="17"/>
          <w:b w:val="1"/>
          <w:bCs w:val="1"/>
          <w:color w:val="auto"/>
        </w:rPr>
        <w:t>Board</w:t>
      </w:r>
      <w:r>
        <w:rPr>
          <w:rFonts w:ascii="Arial" w:cs="Arial" w:eastAsia="Arial" w:hAnsi="Arial"/>
          <w:sz w:val="17"/>
          <w:szCs w:val="17"/>
          <w:color w:val="auto"/>
        </w:rPr>
        <w:t>” shall mean the Board or a Committee of the Board to the extent that the Board’s powers or authority under the Plan have been delegated to such Committee.</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225" w:lineRule="exact"/>
        <w:rPr>
          <w:rFonts w:ascii="Arial" w:cs="Arial" w:eastAsia="Arial" w:hAnsi="Arial"/>
          <w:sz w:val="18"/>
          <w:szCs w:val="18"/>
          <w:color w:val="auto"/>
        </w:rPr>
      </w:pPr>
    </w:p>
    <w:p>
      <w:pPr>
        <w:ind w:firstLine="656"/>
        <w:spacing w:after="0" w:line="270" w:lineRule="auto"/>
        <w:tabs>
          <w:tab w:leader="none" w:pos="1294" w:val="left"/>
        </w:tabs>
        <w:numPr>
          <w:ilvl w:val="1"/>
          <w:numId w:val="271"/>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adjustment under Section 9, Awards may be made under the Plan for up to 24,965,000 shares of common stock, $0.001 par value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any or all of which Awards may be in the form of Incentive Stock Options (as defined in Section 5(b)).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Further, shares of Common Stock tendered to the Company by a Participant to exercise an Award or to satisfy tax withholding obligations arising with respect to an Award shall be added to the number of shares of Common Stock available for the grant of Awards under the Plan. However, in the case of Incentive Stock Options, the two immediately preceding sentences shall be subject to any limitations under the Code. Shares issued under the Plan may consist in whole or in part of authorized but unissued shares or treasury shares.</w:t>
      </w:r>
    </w:p>
    <w:p>
      <w:pPr>
        <w:spacing w:after="0" w:line="181" w:lineRule="exact"/>
        <w:rPr>
          <w:rFonts w:ascii="Arial" w:cs="Arial" w:eastAsia="Arial" w:hAnsi="Arial"/>
          <w:sz w:val="17"/>
          <w:szCs w:val="17"/>
          <w:color w:val="auto"/>
        </w:rPr>
      </w:pPr>
    </w:p>
    <w:p>
      <w:pPr>
        <w:ind w:right="120" w:firstLine="656"/>
        <w:spacing w:after="0" w:line="257" w:lineRule="auto"/>
        <w:tabs>
          <w:tab w:leader="none" w:pos="1304"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221" w:lineRule="exact"/>
        <w:rPr>
          <w:rFonts w:ascii="Arial" w:cs="Arial" w:eastAsia="Arial" w:hAnsi="Arial"/>
          <w:sz w:val="18"/>
          <w:szCs w:val="18"/>
          <w:color w:val="auto"/>
        </w:rPr>
      </w:pPr>
    </w:p>
    <w:p>
      <w:pPr>
        <w:ind w:right="120" w:firstLine="656"/>
        <w:spacing w:after="0" w:line="266" w:lineRule="auto"/>
        <w:tabs>
          <w:tab w:leader="none" w:pos="1294"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w:t>
      </w:r>
      <w:r>
        <w:rPr>
          <w:rFonts w:ascii="Arial" w:cs="Arial" w:eastAsia="Arial" w:hAnsi="Arial"/>
          <w:sz w:val="18"/>
          <w:szCs w:val="18"/>
          <w:b w:val="1"/>
          <w:bCs w:val="1"/>
          <w:color w:val="auto"/>
        </w:rPr>
        <w:t>Option</w:t>
      </w:r>
      <w:r>
        <w:rPr>
          <w:rFonts w:ascii="Arial" w:cs="Arial" w:eastAsia="Arial" w:hAnsi="Arial"/>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spacing w:after="0" w:line="180" w:lineRule="exact"/>
        <w:rPr>
          <w:rFonts w:ascii="Arial" w:cs="Arial" w:eastAsia="Arial" w:hAnsi="Arial"/>
          <w:sz w:val="18"/>
          <w:szCs w:val="18"/>
          <w:color w:val="auto"/>
        </w:rPr>
      </w:pPr>
    </w:p>
    <w:p>
      <w:pPr>
        <w:ind w:left="1320" w:hanging="664"/>
        <w:spacing w:after="0"/>
        <w:tabs>
          <w:tab w:leader="none" w:pos="1320" w:val="left"/>
        </w:tabs>
        <w:numPr>
          <w:ilvl w:val="1"/>
          <w:numId w:val="271"/>
        </w:numPr>
        <w:rPr>
          <w:rFonts w:ascii="Arial" w:cs="Arial" w:eastAsia="Arial" w:hAnsi="Arial"/>
          <w:sz w:val="17"/>
          <w:szCs w:val="17"/>
          <w:color w:val="auto"/>
        </w:rPr>
      </w:pPr>
      <w:r>
        <w:rPr>
          <w:rFonts w:ascii="Arial" w:cs="Arial" w:eastAsia="Arial" w:hAnsi="Arial"/>
          <w:sz w:val="17"/>
          <w:szCs w:val="17"/>
          <w:u w:val="single" w:color="auto"/>
          <w:color w:val="auto"/>
        </w:rPr>
        <w:t>Incentive Stock Options</w:t>
      </w:r>
      <w:r>
        <w:rPr>
          <w:rFonts w:ascii="Arial" w:cs="Arial" w:eastAsia="Arial" w:hAnsi="Arial"/>
          <w:sz w:val="17"/>
          <w:szCs w:val="17"/>
          <w:color w:val="auto"/>
        </w:rPr>
        <w:t>. An Option that the Board intends to be an “incentive stock option” as defined in Section 422 of the Code (an</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shall only be granted to employees of Fulcrum Therapeutics, Inc., any of Fulcrum Therapeutics,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3" w:name="page434"/>
    <w:bookmarkEnd w:id="433"/>
    <w:p>
      <w:pPr>
        <w:ind w:right="40"/>
        <w:spacing w:after="0" w:line="266" w:lineRule="auto"/>
        <w:rPr>
          <w:sz w:val="20"/>
          <w:szCs w:val="20"/>
          <w:color w:val="auto"/>
        </w:rPr>
      </w:pPr>
      <w:r>
        <w:rPr>
          <w:rFonts w:ascii="Arial" w:cs="Arial" w:eastAsia="Arial" w:hAnsi="Arial"/>
          <w:sz w:val="18"/>
          <w:szCs w:val="18"/>
          <w:color w:val="auto"/>
        </w:rPr>
        <w:t>designated a “</w:t>
      </w:r>
      <w:r>
        <w:rPr>
          <w:rFonts w:ascii="Arial" w:cs="Arial" w:eastAsia="Arial" w:hAnsi="Arial"/>
          <w:sz w:val="18"/>
          <w:szCs w:val="18"/>
          <w:b w:val="1"/>
          <w:bCs w:val="1"/>
          <w:color w:val="auto"/>
        </w:rPr>
        <w:t>Nonstatutory Stock Option</w:t>
      </w:r>
      <w:r>
        <w:rPr>
          <w:rFonts w:ascii="Arial" w:cs="Arial" w:eastAsia="Arial" w:hAnsi="Arial"/>
          <w:sz w:val="18"/>
          <w:szCs w:val="18"/>
          <w:color w:val="auto"/>
        </w:rPr>
        <w:t>.” The Company shall have no liability to a Participant, or any other party, if an Option (or any part thereof) that is intended to be an Incentive Stock Option is not an Incentive Stock Option or if the Company converts an Incentive Stock Option to a Nonstatutory Stock Option.</w:t>
      </w:r>
    </w:p>
    <w:p>
      <w:pPr>
        <w:spacing w:after="0" w:line="180" w:lineRule="exact"/>
        <w:rPr>
          <w:sz w:val="20"/>
          <w:szCs w:val="20"/>
          <w:color w:val="auto"/>
        </w:rPr>
      </w:pPr>
    </w:p>
    <w:p>
      <w:pPr>
        <w:ind w:right="80" w:firstLine="656"/>
        <w:spacing w:after="0" w:line="259" w:lineRule="auto"/>
        <w:tabs>
          <w:tab w:leader="none" w:pos="1307"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Board shall establish the exercise price of each Option and specify the exercise price in the applicable Option agreement. The exercise price shall be not less than 100% of the fair market value per share of Common Stock, as determined by (or in a manner approved by) the Board (“</w:t>
      </w:r>
      <w:r>
        <w:rPr>
          <w:rFonts w:ascii="Arial" w:cs="Arial" w:eastAsia="Arial" w:hAnsi="Arial"/>
          <w:sz w:val="18"/>
          <w:szCs w:val="18"/>
          <w:b w:val="1"/>
          <w:bCs w:val="1"/>
          <w:color w:val="auto"/>
        </w:rPr>
        <w:t>Fair Market Value</w:t>
      </w:r>
      <w:r>
        <w:rPr>
          <w:rFonts w:ascii="Arial" w:cs="Arial" w:eastAsia="Arial" w:hAnsi="Arial"/>
          <w:sz w:val="18"/>
          <w:szCs w:val="18"/>
          <w:color w:val="auto"/>
        </w:rPr>
        <w:t>”), on the date the Option is granted. “</w:t>
      </w:r>
      <w:r>
        <w:rPr>
          <w:rFonts w:ascii="Arial" w:cs="Arial" w:eastAsia="Arial" w:hAnsi="Arial"/>
          <w:sz w:val="18"/>
          <w:szCs w:val="18"/>
          <w:b w:val="1"/>
          <w:bCs w:val="1"/>
          <w:color w:val="auto"/>
        </w:rPr>
        <w:t>Fair Market Value</w:t>
      </w:r>
      <w:r>
        <w:rPr>
          <w:rFonts w:ascii="Arial" w:cs="Arial" w:eastAsia="Arial" w:hAnsi="Arial"/>
          <w:sz w:val="18"/>
          <w:szCs w:val="18"/>
          <w:color w:val="auto"/>
        </w:rPr>
        <w:t>” of a share of Common Stock for purposes of the Plan will be determined as follows:</w:t>
      </w:r>
    </w:p>
    <w:p>
      <w:pPr>
        <w:spacing w:after="0" w:line="186" w:lineRule="exact"/>
        <w:rPr>
          <w:rFonts w:ascii="Arial" w:cs="Arial" w:eastAsia="Arial" w:hAnsi="Arial"/>
          <w:sz w:val="18"/>
          <w:szCs w:val="18"/>
          <w:color w:val="auto"/>
        </w:rPr>
      </w:pPr>
    </w:p>
    <w:p>
      <w:pPr>
        <w:ind w:right="340" w:firstLine="1305"/>
        <w:spacing w:after="0" w:line="264" w:lineRule="auto"/>
        <w:tabs>
          <w:tab w:leader="none" w:pos="195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if the Common Stock is not publicly traded, the Board will determine the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if the Common Stock trades on a national securities exchange, the closing sale price (for the primary trading session) on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 or</w:t>
      </w:r>
    </w:p>
    <w:p>
      <w:pPr>
        <w:spacing w:after="0" w:line="210" w:lineRule="exact"/>
        <w:rPr>
          <w:rFonts w:ascii="Arial" w:cs="Arial" w:eastAsia="Arial" w:hAnsi="Arial"/>
          <w:sz w:val="16"/>
          <w:szCs w:val="16"/>
          <w:color w:val="auto"/>
        </w:rPr>
      </w:pPr>
    </w:p>
    <w:p>
      <w:pPr>
        <w:ind w:right="500" w:firstLine="1305"/>
        <w:spacing w:after="0" w:line="277" w:lineRule="auto"/>
        <w:tabs>
          <w:tab w:leader="none" w:pos="195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if the Common Stock does not trade on any such exchange, the average of the closing bid and asked prices as reported by an authorized OTCBB market data vendor as listed on the OTCBB website (otcbb.com) on the date of grant.</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For any date that is not a trading day, the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88"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Board has sole discretion to determine the Fair Market Value for purposes of the Plan, and all Awards are conditioned on the participants’ agreement that the Board’s determination is conclusive and binding even though others might make a different determination.</w:t>
      </w:r>
    </w:p>
    <w:p>
      <w:pPr>
        <w:spacing w:after="0" w:line="147" w:lineRule="exact"/>
        <w:rPr>
          <w:sz w:val="20"/>
          <w:szCs w:val="20"/>
          <w:color w:val="auto"/>
        </w:rPr>
      </w:pPr>
    </w:p>
    <w:p>
      <w:pPr>
        <w:ind w:right="160" w:firstLine="656"/>
        <w:spacing w:after="0" w:line="277" w:lineRule="auto"/>
        <w:tabs>
          <w:tab w:leader="none" w:pos="1304"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xml:space="preserve">. Each Option shall be exercisable at such times and subject to such terms and conditions as the Board may specify in the applicable option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Option will be granted with a term in excess of 10 years.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0" w:firstLine="1305"/>
        <w:spacing w:after="0" w:line="308" w:lineRule="auto"/>
        <w:tabs>
          <w:tab w:leader="none" w:pos="1952" w:val="left"/>
        </w:tabs>
        <w:numPr>
          <w:ilvl w:val="1"/>
          <w:numId w:val="273"/>
        </w:numPr>
        <w:rPr>
          <w:rFonts w:ascii="Arial" w:cs="Arial" w:eastAsia="Arial" w:hAnsi="Arial"/>
          <w:sz w:val="17"/>
          <w:szCs w:val="17"/>
          <w:color w:val="auto"/>
        </w:rPr>
      </w:pPr>
      <w:r>
        <w:rPr>
          <w:rFonts w:ascii="Arial" w:cs="Arial" w:eastAsia="Arial" w:hAnsi="Arial"/>
          <w:sz w:val="17"/>
          <w:szCs w:val="17"/>
          <w:color w:val="auto"/>
        </w:rPr>
        <w:t>Options may be exercised by delivery to the Company of a notice of exercise in a form of notice (which may be electronic) approved by the Company, together with payment in full (in a manner specified in Section 5(f)) of the exercise price for the number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4" w:name="page435"/>
    <w:bookmarkEnd w:id="434"/>
    <w:p>
      <w:pPr>
        <w:ind w:right="100"/>
        <w:spacing w:after="0" w:line="277" w:lineRule="auto"/>
        <w:rPr>
          <w:sz w:val="20"/>
          <w:szCs w:val="20"/>
          <w:color w:val="auto"/>
        </w:rPr>
      </w:pPr>
      <w:r>
        <w:rPr>
          <w:rFonts w:ascii="Arial" w:cs="Arial" w:eastAsia="Arial" w:hAnsi="Arial"/>
          <w:sz w:val="18"/>
          <w:szCs w:val="18"/>
          <w:color w:val="auto"/>
        </w:rPr>
        <w:t>shares for which the Option is exercised. Shares of Common Stock subject to the Option will be delivered by the Company as soon as practicable following exercise.</w:t>
      </w:r>
    </w:p>
    <w:p>
      <w:pPr>
        <w:spacing w:after="0" w:line="170" w:lineRule="exact"/>
        <w:rPr>
          <w:sz w:val="20"/>
          <w:szCs w:val="20"/>
          <w:color w:val="auto"/>
        </w:rPr>
      </w:pPr>
    </w:p>
    <w:p>
      <w:pPr>
        <w:ind w:left="1300" w:hanging="644"/>
        <w:spacing w:after="0"/>
        <w:tabs>
          <w:tab w:leader="none" w:pos="1300"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xml:space="preserve"> Common Stock purchased upon the exercise of an Option granted under the Plan shall be paid for as follows: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221" w:lineRule="exact"/>
        <w:rPr>
          <w:rFonts w:ascii="Arial" w:cs="Arial" w:eastAsia="Arial" w:hAnsi="Arial"/>
          <w:sz w:val="18"/>
          <w:szCs w:val="18"/>
          <w:color w:val="auto"/>
        </w:rPr>
      </w:pPr>
    </w:p>
    <w:p>
      <w:pPr>
        <w:ind w:right="200" w:firstLine="1305"/>
        <w:spacing w:after="0" w:line="277" w:lineRule="auto"/>
        <w:tabs>
          <w:tab w:leader="none" w:pos="1952" w:val="left"/>
        </w:tabs>
        <w:numPr>
          <w:ilvl w:val="1"/>
          <w:numId w:val="274"/>
        </w:numPr>
        <w:rPr>
          <w:rFonts w:ascii="Arial" w:cs="Arial" w:eastAsia="Arial" w:hAnsi="Arial"/>
          <w:sz w:val="17"/>
          <w:szCs w:val="17"/>
          <w:color w:val="auto"/>
        </w:rPr>
      </w:pPr>
      <w:r>
        <w:rPr>
          <w:rFonts w:ascii="Arial" w:cs="Arial" w:eastAsia="Arial" w:hAnsi="Arial"/>
          <w:sz w:val="17"/>
          <w:szCs w:val="17"/>
          <w:color w:val="auto"/>
        </w:rPr>
        <w:t>when the Common Stock is registered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except as may otherwise be provided in the applicable Option agreement or approved by the Board, in its sole discretion,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72" w:lineRule="exact"/>
        <w:rPr>
          <w:rFonts w:ascii="Arial" w:cs="Arial" w:eastAsia="Arial" w:hAnsi="Arial"/>
          <w:sz w:val="17"/>
          <w:szCs w:val="17"/>
          <w:color w:val="auto"/>
        </w:rPr>
      </w:pPr>
    </w:p>
    <w:p>
      <w:pPr>
        <w:ind w:right="100" w:firstLine="1305"/>
        <w:spacing w:after="0" w:line="276" w:lineRule="auto"/>
        <w:tabs>
          <w:tab w:leader="none" w:pos="1952" w:val="left"/>
        </w:tabs>
        <w:numPr>
          <w:ilvl w:val="1"/>
          <w:numId w:val="274"/>
        </w:numPr>
        <w:rPr>
          <w:rFonts w:ascii="Arial" w:cs="Arial" w:eastAsia="Arial" w:hAnsi="Arial"/>
          <w:sz w:val="17"/>
          <w:szCs w:val="17"/>
          <w:color w:val="auto"/>
        </w:rPr>
      </w:pPr>
      <w:r>
        <w:rPr>
          <w:rFonts w:ascii="Arial" w:cs="Arial" w:eastAsia="Arial" w:hAnsi="Arial"/>
          <w:sz w:val="17"/>
          <w:szCs w:val="17"/>
          <w:color w:val="auto"/>
        </w:rPr>
        <w:t xml:space="preserve">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72" w:lineRule="exact"/>
        <w:rPr>
          <w:rFonts w:ascii="Arial" w:cs="Arial" w:eastAsia="Arial" w:hAnsi="Arial"/>
          <w:sz w:val="17"/>
          <w:szCs w:val="17"/>
          <w:color w:val="auto"/>
        </w:rPr>
      </w:pPr>
    </w:p>
    <w:p>
      <w:pPr>
        <w:jc w:val="both"/>
        <w:ind w:right="100" w:firstLine="1305"/>
        <w:spacing w:after="0" w:line="259" w:lineRule="auto"/>
        <w:tabs>
          <w:tab w:leader="none" w:pos="195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to the extent provided for in the applicable Nonstatutory Stock Option agreement or approved by the Board in its sole discretion, by delivery of a notice of “net exercise” to the Company, as a result of which the Participant would pay the exercise price for the portion of the Option being exercised by cancelling a portion of the Option for such number of shares as is equal to the exercise price divided by the excess of the Fair Market Value on the date of exercise over the Option exercise price per share.</w:t>
      </w:r>
    </w:p>
    <w:p>
      <w:pPr>
        <w:spacing w:after="0" w:line="186" w:lineRule="exact"/>
        <w:rPr>
          <w:rFonts w:ascii="Arial" w:cs="Arial" w:eastAsia="Arial" w:hAnsi="Arial"/>
          <w:sz w:val="18"/>
          <w:szCs w:val="18"/>
          <w:color w:val="auto"/>
        </w:rPr>
      </w:pPr>
    </w:p>
    <w:p>
      <w:pPr>
        <w:ind w:firstLine="1305"/>
        <w:spacing w:after="0" w:line="264" w:lineRule="auto"/>
        <w:tabs>
          <w:tab w:leader="none" w:pos="195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5" w:name="page436"/>
    <w:bookmarkEnd w:id="435"/>
    <w:p>
      <w:pPr>
        <w:ind w:left="652" w:hanging="652"/>
        <w:spacing w:after="0"/>
        <w:tabs>
          <w:tab w:leader="none" w:pos="65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221" w:lineRule="exact"/>
        <w:rPr>
          <w:rFonts w:ascii="Arial" w:cs="Arial" w:eastAsia="Arial" w:hAnsi="Arial"/>
          <w:sz w:val="18"/>
          <w:szCs w:val="18"/>
          <w:color w:val="auto"/>
        </w:rPr>
      </w:pPr>
    </w:p>
    <w:p>
      <w:pPr>
        <w:ind w:left="-8" w:right="40" w:firstLine="656"/>
        <w:spacing w:after="0" w:line="261" w:lineRule="auto"/>
        <w:tabs>
          <w:tab w:leader="none" w:pos="1286"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stock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over the measurement price established pursuant to Section 6(b). The date as of which such appreciation is determined shall be the exercise date.</w:t>
      </w:r>
    </w:p>
    <w:p>
      <w:pPr>
        <w:spacing w:after="0" w:line="184" w:lineRule="exact"/>
        <w:rPr>
          <w:rFonts w:ascii="Arial" w:cs="Arial" w:eastAsia="Arial" w:hAnsi="Arial"/>
          <w:sz w:val="18"/>
          <w:szCs w:val="18"/>
          <w:color w:val="auto"/>
        </w:rPr>
      </w:pPr>
    </w:p>
    <w:p>
      <w:pPr>
        <w:ind w:left="-8" w:right="200" w:firstLine="656"/>
        <w:spacing w:after="0" w:line="277" w:lineRule="auto"/>
        <w:tabs>
          <w:tab w:leader="none" w:pos="1296"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Measurement Price</w:t>
      </w:r>
      <w:r>
        <w:rPr>
          <w:rFonts w:ascii="Arial" w:cs="Arial" w:eastAsia="Arial" w:hAnsi="Arial"/>
          <w:sz w:val="18"/>
          <w:szCs w:val="18"/>
          <w:color w:val="auto"/>
        </w:rPr>
        <w:t>. The Board shall establish the measurement price of each SAR and specify it in the applicable SAR agreement. The measurement price shall not be less than 100% of the Fair Market Value on the date the SAR is granted.</w:t>
      </w:r>
    </w:p>
    <w:p>
      <w:pPr>
        <w:spacing w:after="0" w:line="170" w:lineRule="exact"/>
        <w:rPr>
          <w:rFonts w:ascii="Arial" w:cs="Arial" w:eastAsia="Arial" w:hAnsi="Arial"/>
          <w:sz w:val="18"/>
          <w:szCs w:val="18"/>
          <w:color w:val="auto"/>
        </w:rPr>
      </w:pPr>
    </w:p>
    <w:p>
      <w:pPr>
        <w:ind w:left="-8" w:right="140" w:firstLine="656"/>
        <w:spacing w:after="0" w:line="277" w:lineRule="auto"/>
        <w:tabs>
          <w:tab w:leader="none" w:pos="1299"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Duration of SARs</w:t>
      </w:r>
      <w:r>
        <w:rPr>
          <w:rFonts w:ascii="Arial" w:cs="Arial" w:eastAsia="Arial" w:hAnsi="Arial"/>
          <w:sz w:val="18"/>
          <w:szCs w:val="18"/>
          <w:color w:val="auto"/>
        </w:rPr>
        <w:t xml:space="preserve">. Each SAR shall be exercisable at such times and subject to such terms and conditions as the Board may specify in the applicable SAR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SAR will be granted with a term in excess of 10 years.</w:t>
      </w:r>
    </w:p>
    <w:p>
      <w:pPr>
        <w:spacing w:after="0" w:line="170" w:lineRule="exact"/>
        <w:rPr>
          <w:rFonts w:ascii="Arial" w:cs="Arial" w:eastAsia="Arial" w:hAnsi="Arial"/>
          <w:sz w:val="18"/>
          <w:szCs w:val="18"/>
          <w:color w:val="auto"/>
        </w:rPr>
      </w:pPr>
    </w:p>
    <w:p>
      <w:pPr>
        <w:ind w:left="-8" w:right="600" w:firstLine="656"/>
        <w:spacing w:after="0" w:line="277" w:lineRule="auto"/>
        <w:tabs>
          <w:tab w:leader="none" w:pos="1296"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Exercise of SARs</w:t>
      </w:r>
      <w:r>
        <w:rPr>
          <w:rFonts w:ascii="Arial" w:cs="Arial" w:eastAsia="Arial" w:hAnsi="Arial"/>
          <w:sz w:val="18"/>
          <w:szCs w:val="18"/>
          <w:color w:val="auto"/>
        </w:rPr>
        <w:t>. SARs may be exercised by delivery to the Company of a notice of exercise in a form (which may be electronic) approved by the Company, together with any other documents required by the Board.</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p>
    <w:p>
      <w:pPr>
        <w:spacing w:after="0" w:line="221" w:lineRule="exact"/>
        <w:rPr>
          <w:rFonts w:ascii="Arial" w:cs="Arial" w:eastAsia="Arial" w:hAnsi="Arial"/>
          <w:sz w:val="18"/>
          <w:szCs w:val="18"/>
          <w:color w:val="auto"/>
        </w:rPr>
      </w:pPr>
    </w:p>
    <w:p>
      <w:pPr>
        <w:ind w:left="-8" w:firstLine="656"/>
        <w:spacing w:after="0" w:line="256" w:lineRule="auto"/>
        <w:tabs>
          <w:tab w:leader="none" w:pos="1286"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w:t>
      </w:r>
      <w:r>
        <w:rPr>
          <w:rFonts w:ascii="Arial" w:cs="Arial" w:eastAsia="Arial" w:hAnsi="Arial"/>
          <w:sz w:val="18"/>
          <w:szCs w:val="18"/>
          <w:b w:val="1"/>
          <w:bCs w:val="1"/>
          <w:color w:val="auto"/>
        </w:rPr>
        <w:t>Restricted Stock</w:t>
      </w:r>
      <w:r>
        <w:rPr>
          <w:rFonts w:ascii="Arial" w:cs="Arial" w:eastAsia="Arial" w:hAnsi="Arial"/>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w:t>
      </w:r>
      <w:r>
        <w:rPr>
          <w:rFonts w:ascii="Arial" w:cs="Arial" w:eastAsia="Arial" w:hAnsi="Arial"/>
          <w:sz w:val="18"/>
          <w:szCs w:val="18"/>
          <w:b w:val="1"/>
          <w:bCs w:val="1"/>
          <w:color w:val="auto"/>
        </w:rPr>
        <w:t>Restricted Stock Units</w:t>
      </w:r>
      <w:r>
        <w:rPr>
          <w:rFonts w:ascii="Arial" w:cs="Arial" w:eastAsia="Arial" w:hAnsi="Arial"/>
          <w:sz w:val="18"/>
          <w:szCs w:val="18"/>
          <w:color w:val="auto"/>
        </w:rPr>
        <w:t>”) (Restricted Stock and Restricted Stock Units are each referred to herein as a “</w:t>
      </w:r>
      <w:r>
        <w:rPr>
          <w:rFonts w:ascii="Arial" w:cs="Arial" w:eastAsia="Arial" w:hAnsi="Arial"/>
          <w:sz w:val="18"/>
          <w:szCs w:val="18"/>
          <w:b w:val="1"/>
          <w:bCs w:val="1"/>
          <w:color w:val="auto"/>
        </w:rPr>
        <w:t>Restricted Stock Award</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8" w:right="140" w:firstLine="656"/>
        <w:spacing w:after="0" w:line="277" w:lineRule="auto"/>
        <w:tabs>
          <w:tab w:leader="none" w:pos="1296"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Terms and Conditions for All Restricted Stock Awards</w:t>
      </w:r>
      <w:r>
        <w:rPr>
          <w:rFonts w:ascii="Arial" w:cs="Arial" w:eastAsia="Arial" w:hAnsi="Arial"/>
          <w:sz w:val="18"/>
          <w:szCs w:val="18"/>
          <w:color w:val="auto"/>
        </w:rPr>
        <w:t>. The Board shall determine the terms and conditions of a Restricted Stock Award, including the conditions for vesting and repurchase (or forfeiture) and the issue price, if any.</w:t>
      </w:r>
    </w:p>
    <w:p>
      <w:pPr>
        <w:spacing w:after="0" w:line="170" w:lineRule="exact"/>
        <w:rPr>
          <w:rFonts w:ascii="Arial" w:cs="Arial" w:eastAsia="Arial" w:hAnsi="Arial"/>
          <w:sz w:val="18"/>
          <w:szCs w:val="18"/>
          <w:color w:val="auto"/>
        </w:rPr>
      </w:pPr>
    </w:p>
    <w:p>
      <w:pPr>
        <w:ind w:left="1312" w:hanging="664"/>
        <w:spacing w:after="0"/>
        <w:tabs>
          <w:tab w:leader="none" w:pos="1312"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1305"/>
        <w:spacing w:after="0" w:line="297" w:lineRule="auto"/>
        <w:tabs>
          <w:tab w:leader="none" w:pos="1944" w:val="left"/>
        </w:tabs>
        <w:numPr>
          <w:ilvl w:val="2"/>
          <w:numId w:val="275"/>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Unless otherwise provided in the applicable Award agreement, any dividends (whether paid in cash, stock or property) declared and paid by the Company with respect to shares of Restricted Stock (“</w:t>
      </w:r>
      <w:r>
        <w:rPr>
          <w:rFonts w:ascii="Arial" w:cs="Arial" w:eastAsia="Arial" w:hAnsi="Arial"/>
          <w:sz w:val="16"/>
          <w:szCs w:val="16"/>
          <w:b w:val="1"/>
          <w:bCs w:val="1"/>
          <w:color w:val="auto"/>
        </w:rPr>
        <w:t>Accrued Dividends</w:t>
      </w:r>
      <w:r>
        <w:rPr>
          <w:rFonts w:ascii="Arial" w:cs="Arial" w:eastAsia="Arial" w:hAnsi="Arial"/>
          <w:sz w:val="16"/>
          <w:szCs w:val="16"/>
          <w:color w:val="auto"/>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436" w:name="page437"/>
    <w:bookmarkEnd w:id="436"/>
    <w:p>
      <w:pPr>
        <w:ind w:left="-8" w:right="40" w:firstLine="1305"/>
        <w:spacing w:after="0" w:line="293" w:lineRule="auto"/>
        <w:tabs>
          <w:tab w:leader="none" w:pos="1944" w:val="left"/>
        </w:tabs>
        <w:numPr>
          <w:ilvl w:val="2"/>
          <w:numId w:val="276"/>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Participant’s Designated Beneficiary. “</w:t>
      </w:r>
      <w:r>
        <w:rPr>
          <w:rFonts w:ascii="Arial" w:cs="Arial" w:eastAsia="Arial" w:hAnsi="Arial"/>
          <w:sz w:val="16"/>
          <w:szCs w:val="16"/>
          <w:b w:val="1"/>
          <w:bCs w:val="1"/>
          <w:color w:val="auto"/>
        </w:rPr>
        <w:t>Designated Beneficiary</w:t>
      </w:r>
      <w:r>
        <w:rPr>
          <w:rFonts w:ascii="Arial" w:cs="Arial" w:eastAsia="Arial" w:hAnsi="Arial"/>
          <w:sz w:val="16"/>
          <w:szCs w:val="16"/>
          <w:color w:val="auto"/>
        </w:rPr>
        <w:t>” means (i) the beneficiary designated, in a manner determined by the Board, by a Participant to receive amounts due or exercise rights of the Participant in the event of the Participant’s death or (ii) in the absence of an effective designation by a Participant, “</w:t>
      </w:r>
      <w:r>
        <w:rPr>
          <w:rFonts w:ascii="Arial" w:cs="Arial" w:eastAsia="Arial" w:hAnsi="Arial"/>
          <w:sz w:val="16"/>
          <w:szCs w:val="16"/>
          <w:b w:val="1"/>
          <w:bCs w:val="1"/>
          <w:color w:val="auto"/>
        </w:rPr>
        <w:t>Designated Beneficiary</w:t>
      </w:r>
      <w:r>
        <w:rPr>
          <w:rFonts w:ascii="Arial" w:cs="Arial" w:eastAsia="Arial" w:hAnsi="Arial"/>
          <w:sz w:val="16"/>
          <w:szCs w:val="16"/>
          <w:color w:val="auto"/>
        </w:rPr>
        <w:t>” means the Participant’s estate.</w:t>
      </w:r>
    </w:p>
    <w:p>
      <w:pPr>
        <w:spacing w:after="0" w:line="164" w:lineRule="exact"/>
        <w:rPr>
          <w:rFonts w:ascii="Arial" w:cs="Arial" w:eastAsia="Arial" w:hAnsi="Arial"/>
          <w:sz w:val="16"/>
          <w:szCs w:val="16"/>
          <w:color w:val="auto"/>
        </w:rPr>
      </w:pPr>
    </w:p>
    <w:p>
      <w:pPr>
        <w:ind w:left="1312" w:hanging="664"/>
        <w:spacing w:after="0"/>
        <w:tabs>
          <w:tab w:leader="none" w:pos="1312"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140" w:firstLine="1305"/>
        <w:spacing w:after="0" w:line="302" w:lineRule="auto"/>
        <w:tabs>
          <w:tab w:leader="none" w:pos="1944" w:val="left"/>
        </w:tabs>
        <w:numPr>
          <w:ilvl w:val="2"/>
          <w:numId w:val="277"/>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Upon the vesting of and/or lapsing of any other restrictions (i.e., settlement) with respect to each Restricted Stock Unit, the Participant shall be entitled to receive from the Company one share of Common Stock or (if so provided in the applicable Award agreement) an amount of cash equal to the Fair Market Value of one share of Common Stock. The Board may, in its discretion, provide that settlement of Restricted Stock Units shall be deferred, on a mandatory basis or at the election of the Participant in a manner that complies with Section 409A of the Code.</w:t>
      </w:r>
    </w:p>
    <w:p>
      <w:pPr>
        <w:spacing w:after="0" w:line="154" w:lineRule="exact"/>
        <w:rPr>
          <w:rFonts w:ascii="Arial" w:cs="Arial" w:eastAsia="Arial" w:hAnsi="Arial"/>
          <w:sz w:val="16"/>
          <w:szCs w:val="16"/>
          <w:color w:val="auto"/>
        </w:rPr>
      </w:pPr>
    </w:p>
    <w:p>
      <w:pPr>
        <w:ind w:left="1952" w:hanging="655"/>
        <w:spacing w:after="0"/>
        <w:tabs>
          <w:tab w:leader="none" w:pos="1952" w:val="left"/>
        </w:tabs>
        <w:numPr>
          <w:ilvl w:val="2"/>
          <w:numId w:val="27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225" w:lineRule="exact"/>
        <w:rPr>
          <w:rFonts w:ascii="Arial" w:cs="Arial" w:eastAsia="Arial" w:hAnsi="Arial"/>
          <w:sz w:val="18"/>
          <w:szCs w:val="18"/>
          <w:color w:val="auto"/>
        </w:rPr>
      </w:pPr>
    </w:p>
    <w:p>
      <w:pPr>
        <w:ind w:left="-8" w:right="180" w:firstLine="1305"/>
        <w:spacing w:after="0" w:line="257" w:lineRule="auto"/>
        <w:tabs>
          <w:tab w:leader="none" w:pos="1944" w:val="left"/>
        </w:tabs>
        <w:numPr>
          <w:ilvl w:val="2"/>
          <w:numId w:val="277"/>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Award agreement for Restricted Stock Units may provide Participants with the right to receive an amount equal to any dividends or other distributions declared and paid on an equal number of outstanding shares of Common Stock (“</w:t>
      </w:r>
      <w:r>
        <w:rPr>
          <w:rFonts w:ascii="Arial" w:cs="Arial" w:eastAsia="Arial" w:hAnsi="Arial"/>
          <w:sz w:val="18"/>
          <w:szCs w:val="18"/>
          <w:b w:val="1"/>
          <w:bCs w:val="1"/>
          <w:color w:val="auto"/>
        </w:rPr>
        <w:t>Dividend</w:t>
      </w:r>
      <w:r>
        <w:rPr>
          <w:rFonts w:ascii="Arial" w:cs="Arial" w:eastAsia="Arial" w:hAnsi="Arial"/>
          <w:sz w:val="18"/>
          <w:szCs w:val="18"/>
          <w:color w:val="auto"/>
        </w:rPr>
        <w:t xml:space="preserve"> </w:t>
      </w:r>
      <w:r>
        <w:rPr>
          <w:rFonts w:ascii="Arial" w:cs="Arial" w:eastAsia="Arial" w:hAnsi="Arial"/>
          <w:sz w:val="18"/>
          <w:szCs w:val="18"/>
          <w:b w:val="1"/>
          <w:bCs w:val="1"/>
          <w:color w:val="auto"/>
        </w:rPr>
        <w:t>Equivalents</w:t>
      </w:r>
      <w:r>
        <w:rPr>
          <w:rFonts w:ascii="Arial" w:cs="Arial" w:eastAsia="Arial" w:hAnsi="Arial"/>
          <w:sz w:val="18"/>
          <w:szCs w:val="18"/>
          <w:color w:val="auto"/>
        </w:rPr>
        <w:t>”). Dividend Equivalents may be paid currently or credited to an account for the Participants, may be settled in cash and/or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may be subject to the same restrictions on transfer and forfeitability as the Restricted Stock Units with respect to which paid, in each case to the extent provided in the applicable Award agreement.</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p>
    <w:p>
      <w:pPr>
        <w:spacing w:after="0" w:line="225" w:lineRule="exact"/>
        <w:rPr>
          <w:rFonts w:ascii="Arial" w:cs="Arial" w:eastAsia="Arial" w:hAnsi="Arial"/>
          <w:sz w:val="18"/>
          <w:szCs w:val="18"/>
          <w:color w:val="auto"/>
        </w:rPr>
      </w:pPr>
    </w:p>
    <w:p>
      <w:pPr>
        <w:ind w:left="-8" w:right="60" w:firstLine="656"/>
        <w:spacing w:after="0" w:line="302" w:lineRule="auto"/>
        <w:tabs>
          <w:tab w:leader="none" w:pos="1286"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Other Awards of shares of Common Stock, and other Awards that are valued in whole or in part by reference to, or are otherwise based on, shares of Common Stock or other property, may be granted hereunder to Participants (“</w:t>
      </w:r>
      <w:r>
        <w:rPr>
          <w:rFonts w:ascii="Arial" w:cs="Arial" w:eastAsia="Arial" w:hAnsi="Arial"/>
          <w:sz w:val="16"/>
          <w:szCs w:val="16"/>
          <w:b w:val="1"/>
          <w:bCs w:val="1"/>
          <w:color w:val="auto"/>
        </w:rPr>
        <w:t>Other Stock-Based Awards</w:t>
      </w:r>
      <w:r>
        <w:rPr>
          <w:rFonts w:ascii="Arial" w:cs="Arial" w:eastAsia="Arial" w:hAnsi="Arial"/>
          <w:sz w:val="16"/>
          <w:szCs w:val="16"/>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154" w:lineRule="exact"/>
        <w:rPr>
          <w:rFonts w:ascii="Arial" w:cs="Arial" w:eastAsia="Arial" w:hAnsi="Arial"/>
          <w:sz w:val="16"/>
          <w:szCs w:val="16"/>
          <w:color w:val="auto"/>
        </w:rPr>
      </w:pPr>
    </w:p>
    <w:p>
      <w:pPr>
        <w:ind w:left="-8" w:firstLine="656"/>
        <w:spacing w:after="0" w:line="277" w:lineRule="auto"/>
        <w:tabs>
          <w:tab w:leader="none" w:pos="1296"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Subject to the provisions of the Plan, the Board shall determine the terms and conditions of each Other Stock-Based Award, including any purchase price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437" w:name="page438"/>
    <w:bookmarkEnd w:id="437"/>
    <w:p>
      <w:pPr>
        <w:ind w:left="652" w:hanging="652"/>
        <w:spacing w:after="0"/>
        <w:tabs>
          <w:tab w:leader="none" w:pos="652"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225" w:lineRule="exact"/>
        <w:rPr>
          <w:rFonts w:ascii="Arial" w:cs="Arial" w:eastAsia="Arial" w:hAnsi="Arial"/>
          <w:sz w:val="18"/>
          <w:szCs w:val="18"/>
          <w:color w:val="auto"/>
        </w:rPr>
      </w:pPr>
    </w:p>
    <w:p>
      <w:pPr>
        <w:ind w:left="-8" w:firstLine="656"/>
        <w:spacing w:after="0" w:line="287" w:lineRule="auto"/>
        <w:tabs>
          <w:tab w:leader="none" w:pos="1286"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number and class of securities and exercise price per share of each outstanding Option, (iii) the share and per-share provisions and the measurement price of each outstanding SAR, (iv) the number of shares subject to and the repurchase price per share subject to each outstanding Restricted Stock Award and (v) the share and per-share-related provisions and the purchase price, if any, of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72" w:lineRule="exact"/>
        <w:rPr>
          <w:rFonts w:ascii="Arial" w:cs="Arial" w:eastAsia="Arial" w:hAnsi="Arial"/>
          <w:sz w:val="16"/>
          <w:szCs w:val="16"/>
          <w:color w:val="auto"/>
        </w:rPr>
      </w:pPr>
    </w:p>
    <w:p>
      <w:pPr>
        <w:ind w:left="1312" w:hanging="664"/>
        <w:spacing w:after="0"/>
        <w:tabs>
          <w:tab w:leader="none" w:pos="1312"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8" w:firstLine="1305"/>
        <w:spacing w:after="0" w:line="261" w:lineRule="auto"/>
        <w:tabs>
          <w:tab w:leader="none" w:pos="1944" w:val="left"/>
        </w:tabs>
        <w:numPr>
          <w:ilvl w:val="2"/>
          <w:numId w:val="279"/>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w:t>
      </w:r>
      <w:r>
        <w:rPr>
          <w:rFonts w:ascii="Arial" w:cs="Arial" w:eastAsia="Arial" w:hAnsi="Arial"/>
          <w:sz w:val="18"/>
          <w:szCs w:val="18"/>
          <w:b w:val="1"/>
          <w:bCs w:val="1"/>
          <w:color w:val="auto"/>
        </w:rPr>
        <w:t>Reorganization Event</w:t>
      </w:r>
      <w:r>
        <w:rPr>
          <w:rFonts w:ascii="Arial" w:cs="Arial" w:eastAsia="Arial" w:hAnsi="Arial"/>
          <w:sz w:val="18"/>
          <w:szCs w:val="18"/>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184" w:lineRule="exact"/>
        <w:rPr>
          <w:rFonts w:ascii="Arial" w:cs="Arial" w:eastAsia="Arial" w:hAnsi="Arial"/>
          <w:sz w:val="18"/>
          <w:szCs w:val="18"/>
          <w:color w:val="auto"/>
        </w:rPr>
      </w:pPr>
    </w:p>
    <w:p>
      <w:pPr>
        <w:ind w:left="1952" w:hanging="655"/>
        <w:spacing w:after="0"/>
        <w:tabs>
          <w:tab w:leader="none" w:pos="1952" w:val="left"/>
        </w:tabs>
        <w:numPr>
          <w:ilvl w:val="2"/>
          <w:numId w:val="279"/>
        </w:numPr>
        <w:rPr>
          <w:rFonts w:ascii="Arial" w:cs="Arial" w:eastAsia="Arial" w:hAnsi="Arial"/>
          <w:sz w:val="18"/>
          <w:szCs w:val="18"/>
          <w:color w:val="auto"/>
        </w:rPr>
      </w:pPr>
      <w:r>
        <w:rPr>
          <w:rFonts w:ascii="Arial" w:cs="Arial" w:eastAsia="Arial" w:hAnsi="Arial"/>
          <w:sz w:val="18"/>
          <w:szCs w:val="18"/>
          <w:u w:val="single" w:color="auto"/>
          <w:color w:val="auto"/>
        </w:rPr>
        <w:t>Consequences of a Reorganization Event on Awards Other than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0" w:firstLine="1953"/>
        <w:spacing w:after="0" w:line="290" w:lineRule="auto"/>
        <w:tabs>
          <w:tab w:leader="none" w:pos="2606" w:val="left"/>
        </w:tabs>
        <w:numPr>
          <w:ilvl w:val="3"/>
          <w:numId w:val="279"/>
        </w:numPr>
        <w:rPr>
          <w:rFonts w:ascii="Arial" w:cs="Arial" w:eastAsia="Arial" w:hAnsi="Arial"/>
          <w:sz w:val="16"/>
          <w:szCs w:val="16"/>
          <w:color w:val="auto"/>
        </w:rPr>
      </w:pPr>
      <w:r>
        <w:rPr>
          <w:rFonts w:ascii="Arial" w:cs="Arial" w:eastAsia="Arial" w:hAnsi="Arial"/>
          <w:sz w:val="16"/>
          <w:szCs w:val="16"/>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438" w:name="page439"/>
    <w:bookmarkEnd w:id="438"/>
    <w:p>
      <w:pPr>
        <w:spacing w:after="0" w:line="272" w:lineRule="auto"/>
        <w:rPr>
          <w:sz w:val="20"/>
          <w:szCs w:val="20"/>
          <w:color w:val="auto"/>
        </w:rPr>
      </w:pPr>
      <w:r>
        <w:rPr>
          <w:rFonts w:ascii="Arial" w:cs="Arial" w:eastAsia="Arial" w:hAnsi="Arial"/>
          <w:sz w:val="17"/>
          <w:szCs w:val="17"/>
          <w:color w:val="auto"/>
        </w:rPr>
        <w:t>consummation thereof a cash payment for each share surrendered in the Reorganization Event (the “</w:t>
      </w:r>
      <w:r>
        <w:rPr>
          <w:rFonts w:ascii="Arial" w:cs="Arial" w:eastAsia="Arial" w:hAnsi="Arial"/>
          <w:sz w:val="17"/>
          <w:szCs w:val="17"/>
          <w:b w:val="1"/>
          <w:bCs w:val="1"/>
          <w:color w:val="auto"/>
        </w:rPr>
        <w:t>Acquisition Price</w:t>
      </w:r>
      <w:r>
        <w:rPr>
          <w:rFonts w:ascii="Arial" w:cs="Arial" w:eastAsia="Arial" w:hAnsi="Arial"/>
          <w:sz w:val="17"/>
          <w:szCs w:val="17"/>
          <w:color w:val="auto"/>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spacing w:after="0" w:line="176" w:lineRule="exact"/>
        <w:rPr>
          <w:sz w:val="20"/>
          <w:szCs w:val="20"/>
          <w:color w:val="auto"/>
        </w:rPr>
      </w:pPr>
    </w:p>
    <w:p>
      <w:pPr>
        <w:ind w:right="260" w:firstLine="1953"/>
        <w:spacing w:after="0" w:line="285" w:lineRule="auto"/>
        <w:tabs>
          <w:tab w:leader="none" w:pos="2624" w:val="left"/>
        </w:tabs>
        <w:numPr>
          <w:ilvl w:val="1"/>
          <w:numId w:val="280"/>
        </w:numPr>
        <w:rPr>
          <w:rFonts w:ascii="Arial" w:cs="Arial" w:eastAsia="Arial" w:hAnsi="Arial"/>
          <w:sz w:val="16"/>
          <w:szCs w:val="16"/>
          <w:color w:val="auto"/>
        </w:rPr>
      </w:pPr>
      <w:r>
        <w:rPr>
          <w:rFonts w:ascii="Arial" w:cs="Arial" w:eastAsia="Arial" w:hAnsi="Arial"/>
          <w:sz w:val="16"/>
          <w:szCs w:val="16"/>
          <w:color w:val="auto"/>
        </w:rPr>
        <w:t>Notwithstanding the terms of Section 9(b)(2)(i), in the case of outstanding Restricted Stock Units that are subject to 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9(b)(2)(i)(i) and the Restricted Stock Units shall instead be settled in accordance with the terms of the applicable Restricted Stock Unit agreement; and (ii) the Board may only undertake the actions set forth in clauses (iii),</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or (v) of Section 9(b)(2)(i) if the Reorganization Event constitutes a “change in control event” as defined under Treasury Regulation Section 1.409A-3(i)</w:t>
      </w:r>
    </w:p>
    <w:p>
      <w:pPr>
        <w:spacing w:after="0" w:line="32" w:lineRule="exact"/>
        <w:rPr>
          <w:rFonts w:ascii="Arial" w:cs="Arial" w:eastAsia="Arial" w:hAnsi="Arial"/>
          <w:sz w:val="16"/>
          <w:szCs w:val="16"/>
          <w:color w:val="auto"/>
        </w:rPr>
      </w:pPr>
    </w:p>
    <w:p>
      <w:pPr>
        <w:ind w:right="240"/>
        <w:spacing w:after="0" w:line="254" w:lineRule="auto"/>
        <w:rPr>
          <w:rFonts w:ascii="Arial" w:cs="Arial" w:eastAsia="Arial" w:hAnsi="Arial"/>
          <w:sz w:val="16"/>
          <w:szCs w:val="16"/>
          <w:color w:val="auto"/>
        </w:rPr>
      </w:pPr>
      <w:r>
        <w:rPr>
          <w:rFonts w:ascii="Arial" w:cs="Arial" w:eastAsia="Arial" w:hAnsi="Arial"/>
          <w:sz w:val="18"/>
          <w:szCs w:val="18"/>
          <w:color w:val="auto"/>
        </w:rPr>
        <w:t>(5)(i)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9(b)(2)(i), then the unvested Restricted Stock Units shall terminate immediately prior to the consummation of the Reorganization Event without any payment in exchange therefor.</w:t>
      </w:r>
    </w:p>
    <w:p>
      <w:pPr>
        <w:spacing w:after="0" w:line="189" w:lineRule="exact"/>
        <w:rPr>
          <w:rFonts w:ascii="Arial" w:cs="Arial" w:eastAsia="Arial" w:hAnsi="Arial"/>
          <w:sz w:val="16"/>
          <w:szCs w:val="16"/>
          <w:color w:val="auto"/>
        </w:rPr>
      </w:pPr>
    </w:p>
    <w:p>
      <w:pPr>
        <w:ind w:firstLine="1953"/>
        <w:spacing w:after="0" w:line="270" w:lineRule="auto"/>
        <w:tabs>
          <w:tab w:leader="none" w:pos="2633" w:val="left"/>
        </w:tabs>
        <w:numPr>
          <w:ilvl w:val="1"/>
          <w:numId w:val="281"/>
        </w:numPr>
        <w:rPr>
          <w:rFonts w:ascii="Arial" w:cs="Arial" w:eastAsia="Arial" w:hAnsi="Arial"/>
          <w:sz w:val="17"/>
          <w:szCs w:val="17"/>
          <w:color w:val="auto"/>
        </w:rPr>
      </w:pPr>
      <w:r>
        <w:rPr>
          <w:rFonts w:ascii="Arial" w:cs="Arial" w:eastAsia="Arial" w:hAnsi="Arial"/>
          <w:sz w:val="17"/>
          <w:szCs w:val="17"/>
          <w:color w:val="auto"/>
        </w:rPr>
        <w:t xml:space="preserve">For purposes of Section 9(b)(2)(i)(i),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color w:val="auto"/>
        </w:rPr>
        <w:t>Board) to the per share consideration received by holders of outstanding shares of Common Stock as a result of the Reorganization Event.</w:t>
      </w:r>
    </w:p>
    <w:p>
      <w:pPr>
        <w:spacing w:after="0" w:line="225" w:lineRule="exact"/>
        <w:rPr>
          <w:sz w:val="20"/>
          <w:szCs w:val="20"/>
          <w:color w:val="auto"/>
        </w:rPr>
      </w:pPr>
    </w:p>
    <w:p>
      <w:pPr>
        <w:ind w:right="20" w:firstLine="1305"/>
        <w:spacing w:after="0" w:line="270" w:lineRule="auto"/>
        <w:tabs>
          <w:tab w:leader="none" w:pos="1952" w:val="left"/>
        </w:tabs>
        <w:numPr>
          <w:ilvl w:val="2"/>
          <w:numId w:val="282"/>
        </w:numPr>
        <w:rPr>
          <w:rFonts w:ascii="Arial" w:cs="Arial" w:eastAsia="Arial" w:hAnsi="Arial"/>
          <w:sz w:val="17"/>
          <w:szCs w:val="17"/>
          <w:color w:val="auto"/>
        </w:rPr>
      </w:pPr>
      <w:r>
        <w:rPr>
          <w:rFonts w:ascii="Arial" w:cs="Arial" w:eastAsia="Arial" w:hAnsi="Arial"/>
          <w:sz w:val="17"/>
          <w:szCs w:val="17"/>
          <w:u w:val="single" w:color="auto"/>
          <w:color w:val="auto"/>
        </w:rPr>
        <w:t>Consequences of a Reorganization Event on Restricted Stock</w:t>
      </w:r>
      <w:r>
        <w:rPr>
          <w:rFonts w:ascii="Arial" w:cs="Arial" w:eastAsia="Arial" w:hAnsi="Arial"/>
          <w:sz w:val="17"/>
          <w:szCs w:val="17"/>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81" w:lineRule="exact"/>
        <w:rPr>
          <w:rFonts w:ascii="Arial" w:cs="Arial" w:eastAsia="Arial" w:hAnsi="Arial"/>
          <w:sz w:val="17"/>
          <w:szCs w:val="17"/>
          <w:color w:val="auto"/>
        </w:rPr>
      </w:pPr>
    </w:p>
    <w:p>
      <w:pPr>
        <w:ind w:left="660" w:hanging="652"/>
        <w:spacing w:after="0"/>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69" w:lineRule="auto"/>
        <w:tabs>
          <w:tab w:leader="none" w:pos="1294"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Awards (or any interest in an Award, including, prior to exercise, any interest in shares of Common Stock issuable upon exercise of an Option or SAR) shall not be sold, assigned, transferred (including by establishing any short position, put equivalent position (as defined in Rule 16a-1 issued under the Exchange Act) or call equivalent position (as defined in Rule 16a-1 issued under the Exchange Act)), pledged, hypothecated or otherwise encumbered by the person to whom they are granted, either voluntarily or by operation of law, and, during the life of the Participant, shall be exercisable only by the Participant; except that Awards, other than Awards subject to Section 409A of the Code, may be transferred to family members (as defined in Rule 701(c)(3) under the Securities Act) through gifts or (other than Incentive Stock Options) domestic relations orders or to an executor or guardian upon the death of the Participant. The Company shall not be required to recognize any such permitted transfer until such time as such permitted transferee shall deliver to the Company a written instrument, as a condition to such transfer,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82" w:lineRule="exact"/>
        <w:rPr>
          <w:rFonts w:ascii="Arial" w:cs="Arial" w:eastAsia="Arial" w:hAnsi="Arial"/>
          <w:sz w:val="17"/>
          <w:szCs w:val="17"/>
          <w:color w:val="auto"/>
        </w:rPr>
      </w:pPr>
    </w:p>
    <w:p>
      <w:pPr>
        <w:ind w:right="120" w:firstLine="656"/>
        <w:spacing w:after="0" w:line="277" w:lineRule="auto"/>
        <w:tabs>
          <w:tab w:leader="none" w:pos="1304"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170" w:lineRule="exact"/>
        <w:rPr>
          <w:rFonts w:ascii="Arial" w:cs="Arial" w:eastAsia="Arial" w:hAnsi="Arial"/>
          <w:sz w:val="18"/>
          <w:szCs w:val="18"/>
          <w:color w:val="auto"/>
        </w:rPr>
      </w:pPr>
    </w:p>
    <w:p>
      <w:pPr>
        <w:ind w:right="460" w:firstLine="656"/>
        <w:spacing w:after="0" w:line="277" w:lineRule="auto"/>
        <w:tabs>
          <w:tab w:leader="none" w:pos="1307"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0" w:name="page441"/>
    <w:bookmarkEnd w:id="440"/>
    <w:p>
      <w:pPr>
        <w:ind w:right="300" w:firstLine="656"/>
        <w:spacing w:after="0" w:line="312" w:lineRule="auto"/>
        <w:tabs>
          <w:tab w:leader="none" w:pos="1304"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46" w:lineRule="exact"/>
        <w:rPr>
          <w:rFonts w:ascii="Arial" w:cs="Arial" w:eastAsia="Arial" w:hAnsi="Arial"/>
          <w:sz w:val="16"/>
          <w:szCs w:val="16"/>
          <w:color w:val="auto"/>
        </w:rPr>
      </w:pPr>
    </w:p>
    <w:p>
      <w:pPr>
        <w:ind w:right="60" w:firstLine="656"/>
        <w:spacing w:after="0" w:line="269" w:lineRule="auto"/>
        <w:tabs>
          <w:tab w:leader="none" w:pos="1307"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in its sole discretion, a Participant may satisfy such tax obligations in whole or in part by delivery (either by actual delivery or attestation) of shares of Common Stock, including shares retained from the Award creating the tax obligation, valued at their Fair Market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except as otherwise provided by the Board, that the total tax withholding where stock is being used to satisfy such tax obligations cannot exceed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minimum statutory withholding obligations (based on minimum statutory withholding rates for federal and state tax purposes, including payroll taxes, that are applicable to such supplemental taxable income). Shares used to satisfy tax withholding requirements cannot be subject to any repurchase, forfeiture, unfulfilled vesting or other similar requirements.</w:t>
      </w:r>
    </w:p>
    <w:p>
      <w:pPr>
        <w:spacing w:after="0" w:line="179" w:lineRule="exact"/>
        <w:rPr>
          <w:rFonts w:ascii="Arial" w:cs="Arial" w:eastAsia="Arial" w:hAnsi="Arial"/>
          <w:sz w:val="17"/>
          <w:szCs w:val="17"/>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Amendment of Award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79" w:lineRule="auto"/>
        <w:tabs>
          <w:tab w:leader="none" w:pos="1952"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spacing w:after="0" w:line="171" w:lineRule="exact"/>
        <w:rPr>
          <w:rFonts w:ascii="Arial" w:cs="Arial" w:eastAsia="Arial" w:hAnsi="Arial"/>
          <w:sz w:val="17"/>
          <w:szCs w:val="17"/>
          <w:color w:val="auto"/>
        </w:rPr>
      </w:pPr>
    </w:p>
    <w:p>
      <w:pPr>
        <w:jc w:val="both"/>
        <w:ind w:right="140" w:firstLine="1305"/>
        <w:spacing w:after="0" w:line="302" w:lineRule="auto"/>
        <w:tabs>
          <w:tab w:leader="none" w:pos="1952" w:val="left"/>
        </w:tabs>
        <w:numPr>
          <w:ilvl w:val="1"/>
          <w:numId w:val="284"/>
        </w:numPr>
        <w:rPr>
          <w:rFonts w:ascii="Arial" w:cs="Arial" w:eastAsia="Arial" w:hAnsi="Arial"/>
          <w:sz w:val="16"/>
          <w:szCs w:val="16"/>
          <w:color w:val="auto"/>
        </w:rPr>
      </w:pPr>
      <w:r>
        <w:rPr>
          <w:rFonts w:ascii="Arial" w:cs="Arial" w:eastAsia="Arial" w:hAnsi="Arial"/>
          <w:sz w:val="16"/>
          <w:szCs w:val="16"/>
          <w:color w:val="auto"/>
        </w:rPr>
        <w:t>The Board may, without stockholder approval, amend any outstanding Award granted under the Plan to provide an exercise price per share that is lower than the then-current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w:t>
      </w:r>
    </w:p>
    <w:p>
      <w:pPr>
        <w:spacing w:after="0" w:line="154" w:lineRule="exact"/>
        <w:rPr>
          <w:rFonts w:ascii="Arial" w:cs="Arial" w:eastAsia="Arial" w:hAnsi="Arial"/>
          <w:sz w:val="16"/>
          <w:szCs w:val="16"/>
          <w:color w:val="auto"/>
        </w:rPr>
      </w:pPr>
    </w:p>
    <w:p>
      <w:pPr>
        <w:ind w:right="320" w:firstLine="656"/>
        <w:spacing w:after="0" w:line="308" w:lineRule="auto"/>
        <w:tabs>
          <w:tab w:leader="none" w:pos="1317"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Conditions on Delivery of Stock</w:t>
      </w:r>
      <w:r>
        <w:rPr>
          <w:rFonts w:ascii="Arial" w:cs="Arial" w:eastAsia="Arial" w:hAnsi="Arial"/>
          <w:sz w:val="17"/>
          <w:szCs w:val="17"/>
          <w:color w:val="auto"/>
        </w:rPr>
        <w:t>. The Company will not be obligated to deliver any shares of Common Stock pursuant to the Plan or to remove restrictions from shares previously issued or delivered under the Plan until (i) all conditions of the Award have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7" w:lineRule="exact"/>
        <w:rPr>
          <w:sz w:val="20"/>
          <w:szCs w:val="20"/>
          <w:color w:val="auto"/>
        </w:rPr>
      </w:pPr>
    </w:p>
    <w:p>
      <w:pPr>
        <w:ind w:firstLine="656"/>
        <w:spacing w:after="0" w:line="277" w:lineRule="auto"/>
        <w:tabs>
          <w:tab w:leader="none" w:pos="1304"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The Board may at any time provide that any Award shall become immediately exercisable in whole or in part, free of some or all restrictions or conditions, or otherwise realizable in whole or in part, as the case may be.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20" w:firstLine="656"/>
        <w:spacing w:after="0" w:line="259" w:lineRule="auto"/>
        <w:tabs>
          <w:tab w:leader="none" w:pos="1294"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86" w:lineRule="exact"/>
        <w:rPr>
          <w:rFonts w:ascii="Arial" w:cs="Arial" w:eastAsia="Arial" w:hAnsi="Arial"/>
          <w:sz w:val="18"/>
          <w:szCs w:val="18"/>
          <w:color w:val="auto"/>
        </w:rPr>
      </w:pPr>
    </w:p>
    <w:p>
      <w:pPr>
        <w:ind w:right="420" w:firstLine="656"/>
        <w:spacing w:after="0" w:line="264" w:lineRule="auto"/>
        <w:tabs>
          <w:tab w:leader="none" w:pos="1304"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181" w:lineRule="exact"/>
        <w:rPr>
          <w:rFonts w:ascii="Arial" w:cs="Arial" w:eastAsia="Arial" w:hAnsi="Arial"/>
          <w:sz w:val="18"/>
          <w:szCs w:val="18"/>
          <w:color w:val="auto"/>
        </w:rPr>
      </w:pPr>
    </w:p>
    <w:p>
      <w:pPr>
        <w:ind w:right="60" w:firstLine="656"/>
        <w:spacing w:after="0" w:line="264" w:lineRule="auto"/>
        <w:tabs>
          <w:tab w:leader="none" w:pos="1307"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spacing w:after="0" w:line="181" w:lineRule="exact"/>
        <w:rPr>
          <w:rFonts w:ascii="Arial" w:cs="Arial" w:eastAsia="Arial" w:hAnsi="Arial"/>
          <w:sz w:val="18"/>
          <w:szCs w:val="18"/>
          <w:color w:val="auto"/>
        </w:rPr>
      </w:pPr>
    </w:p>
    <w:p>
      <w:pPr>
        <w:ind w:firstLine="656"/>
        <w:spacing w:after="0" w:line="255" w:lineRule="auto"/>
        <w:tabs>
          <w:tab w:leader="none" w:pos="1304"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Amendment of Plan</w:t>
      </w:r>
      <w:r>
        <w:rPr>
          <w:rFonts w:ascii="Arial" w:cs="Arial" w:eastAsia="Arial" w:hAnsi="Arial"/>
          <w:sz w:val="18"/>
          <w:szCs w:val="18"/>
          <w:color w:val="auto"/>
        </w:rPr>
        <w:t xml:space="preserve">. The Board may amend, suspend or terminate the Plan or any portion thereof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the approval of the Company’s stockholders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spacing w:after="0" w:line="193" w:lineRule="exact"/>
        <w:rPr>
          <w:rFonts w:ascii="Arial" w:cs="Arial" w:eastAsia="Arial" w:hAnsi="Arial"/>
          <w:sz w:val="18"/>
          <w:szCs w:val="18"/>
          <w:color w:val="auto"/>
        </w:rPr>
      </w:pPr>
    </w:p>
    <w:p>
      <w:pPr>
        <w:ind w:right="20" w:firstLine="656"/>
        <w:spacing w:after="0" w:line="312" w:lineRule="auto"/>
        <w:tabs>
          <w:tab w:leader="none" w:pos="1307"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Authorization of Sub-Plans (including Grants to non-U.S. Employees)</w:t>
      </w:r>
      <w:r>
        <w:rPr>
          <w:rFonts w:ascii="Arial" w:cs="Arial" w:eastAsia="Arial" w:hAnsi="Arial"/>
          <w:sz w:val="16"/>
          <w:szCs w:val="16"/>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991" w:gutter="0" w:footer="0" w:header="0"/>
        </w:sectPr>
      </w:pPr>
    </w:p>
    <w:bookmarkStart w:id="441" w:name="page442"/>
    <w:bookmarkEnd w:id="441"/>
    <w:p>
      <w:pPr>
        <w:ind w:right="100"/>
        <w:spacing w:after="0" w:line="286" w:lineRule="auto"/>
        <w:rPr>
          <w:sz w:val="20"/>
          <w:szCs w:val="20"/>
          <w:color w:val="auto"/>
        </w:rPr>
      </w:pPr>
      <w:r>
        <w:rPr>
          <w:rFonts w:ascii="Arial" w:cs="Arial" w:eastAsia="Arial" w:hAnsi="Arial"/>
          <w:sz w:val="17"/>
          <w:szCs w:val="17"/>
          <w:color w:val="auto"/>
        </w:rPr>
        <w:t>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66" w:lineRule="exact"/>
        <w:rPr>
          <w:sz w:val="20"/>
          <w:szCs w:val="20"/>
          <w:color w:val="auto"/>
        </w:rPr>
      </w:pPr>
    </w:p>
    <w:p>
      <w:pPr>
        <w:ind w:firstLine="656"/>
        <w:spacing w:after="0" w:line="270" w:lineRule="auto"/>
        <w:tabs>
          <w:tab w:leader="none" w:pos="1301"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Compliance with Section 409A of the Code</w:t>
      </w:r>
      <w:r>
        <w:rPr>
          <w:rFonts w:ascii="Arial" w:cs="Arial" w:eastAsia="Arial" w:hAnsi="Arial"/>
          <w:sz w:val="17"/>
          <w:szCs w:val="17"/>
          <w:color w:val="auto"/>
        </w:rPr>
        <w:t>. Except as provided in individual Award agreements initially or by amendment, if and to the extent (i) any portion of any payment, compensation or other benefit provided to a Participant pursuant to the Plan in connection with Participant’s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the Participant is bound, such portion of the payment, compensation or other benefit shall not be paid before the day that is six months plus one day after the date of “separation from service” (as determined under Section 409A of the Code) (the “</w:t>
      </w:r>
      <w:r>
        <w:rPr>
          <w:rFonts w:ascii="Arial" w:cs="Arial" w:eastAsia="Arial" w:hAnsi="Arial"/>
          <w:sz w:val="17"/>
          <w:szCs w:val="17"/>
          <w:b w:val="1"/>
          <w:bCs w:val="1"/>
          <w:color w:val="auto"/>
        </w:rPr>
        <w:t>New Payment Date</w:t>
      </w:r>
      <w:r>
        <w:rPr>
          <w:rFonts w:ascii="Arial" w:cs="Arial" w:eastAsia="Arial" w:hAnsi="Arial"/>
          <w:sz w:val="17"/>
          <w:szCs w:val="17"/>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8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81" w:lineRule="exact"/>
        <w:rPr>
          <w:sz w:val="20"/>
          <w:szCs w:val="20"/>
          <w:color w:val="auto"/>
        </w:rPr>
      </w:pPr>
    </w:p>
    <w:p>
      <w:pPr>
        <w:ind w:right="200" w:firstLine="656"/>
        <w:spacing w:after="0" w:line="291" w:lineRule="auto"/>
        <w:tabs>
          <w:tab w:leader="none" w:pos="1317"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Limitations on Liability</w:t>
      </w:r>
      <w:r>
        <w:rPr>
          <w:rFonts w:ascii="Arial" w:cs="Arial" w:eastAsia="Arial" w:hAnsi="Arial"/>
          <w:sz w:val="16"/>
          <w:szCs w:val="16"/>
          <w:color w:val="auto"/>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such individual’s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67" w:lineRule="exact"/>
        <w:rPr>
          <w:rFonts w:ascii="Arial" w:cs="Arial" w:eastAsia="Arial" w:hAnsi="Arial"/>
          <w:sz w:val="16"/>
          <w:szCs w:val="16"/>
          <w:color w:val="auto"/>
        </w:rPr>
      </w:pPr>
    </w:p>
    <w:p>
      <w:pPr>
        <w:ind w:right="40" w:firstLine="656"/>
        <w:spacing w:after="0" w:line="264" w:lineRule="auto"/>
        <w:tabs>
          <w:tab w:leader="none" w:pos="1304"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181"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42" w:name="page443"/>
    <w:bookmarkEnd w:id="442"/>
    <w:p>
      <w:pPr>
        <w:jc w:val="center"/>
        <w:ind w:right="-19"/>
        <w:spacing w:after="0"/>
        <w:rPr>
          <w:sz w:val="20"/>
          <w:szCs w:val="20"/>
          <w:color w:val="auto"/>
        </w:rPr>
      </w:pPr>
      <w:r>
        <w:rPr>
          <w:rFonts w:ascii="Arial" w:cs="Arial" w:eastAsia="Arial" w:hAnsi="Arial"/>
          <w:sz w:val="18"/>
          <w:szCs w:val="18"/>
          <w:b w:val="1"/>
          <w:bCs w:val="1"/>
          <w:color w:val="auto"/>
        </w:rPr>
        <w:t>FULCRUM THERAPEUTICS, INC. 2016 STOCK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CALIFORNIA SUPPLEMENT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Section 11(e) of the Plan, the Board has adopted this supplement for purposes of satisfying the requirements of Section 25102(o)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California Law:</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Awards granted under the Plan to a Participant who is a resident of the State of California on the date of grant (a “</w:t>
      </w:r>
      <w:r>
        <w:rPr>
          <w:rFonts w:ascii="Arial" w:cs="Arial" w:eastAsia="Arial" w:hAnsi="Arial"/>
          <w:sz w:val="17"/>
          <w:szCs w:val="17"/>
          <w:b w:val="1"/>
          <w:bCs w:val="1"/>
          <w:color w:val="auto"/>
        </w:rPr>
        <w:t>California Participant</w:t>
      </w:r>
      <w:r>
        <w:rPr>
          <w:rFonts w:ascii="Arial" w:cs="Arial" w:eastAsia="Arial" w:hAnsi="Arial"/>
          <w:sz w:val="17"/>
          <w:szCs w:val="17"/>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shall be subject to the following additional limitations, terms and conditions:</w:t>
      </w:r>
    </w:p>
    <w:p>
      <w:pPr>
        <w:spacing w:after="0" w:line="211" w:lineRule="exact"/>
        <w:rPr>
          <w:sz w:val="20"/>
          <w:szCs w:val="20"/>
          <w:color w:val="auto"/>
        </w:rPr>
      </w:pPr>
    </w:p>
    <w:p>
      <w:pPr>
        <w:ind w:left="660" w:hanging="652"/>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Additional Limitations on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656"/>
        <w:spacing w:after="0" w:line="277" w:lineRule="auto"/>
        <w:tabs>
          <w:tab w:leader="none" w:pos="1294"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Maximum Duration of Options</w:t>
      </w:r>
      <w:r>
        <w:rPr>
          <w:rFonts w:ascii="Arial" w:cs="Arial" w:eastAsia="Arial" w:hAnsi="Arial"/>
          <w:sz w:val="18"/>
          <w:szCs w:val="18"/>
          <w:color w:val="auto"/>
        </w:rPr>
        <w:t>. No Options granted to California Participants shall have a term in excess of 10 years measured from the Option grant date.</w:t>
      </w:r>
    </w:p>
    <w:p>
      <w:pPr>
        <w:spacing w:after="0" w:line="170" w:lineRule="exact"/>
        <w:rPr>
          <w:rFonts w:ascii="Arial" w:cs="Arial" w:eastAsia="Arial" w:hAnsi="Arial"/>
          <w:sz w:val="18"/>
          <w:szCs w:val="18"/>
          <w:color w:val="auto"/>
        </w:rPr>
      </w:pPr>
    </w:p>
    <w:p>
      <w:pPr>
        <w:ind w:firstLine="656"/>
        <w:spacing w:after="0" w:line="297" w:lineRule="auto"/>
        <w:tabs>
          <w:tab w:leader="none" w:pos="1304"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Minimum Exercise Period Following Termination</w:t>
      </w:r>
      <w:r>
        <w:rPr>
          <w:rFonts w:ascii="Arial" w:cs="Arial" w:eastAsia="Arial" w:hAnsi="Arial"/>
          <w:sz w:val="16"/>
          <w:szCs w:val="16"/>
          <w:color w:val="auto"/>
        </w:rPr>
        <w:t>. Unless a California Participant’s employment is terminated for cause (as defined by applicable law, the terms of the Plan or option grant or a contract of employment), in the event of termination of employment of such Participant, such Participant shall have the right to exercise an Option, to the extent that such Participant is entitled to exercise such Option on the date employment terminated, until the earlier of: (i) at least six months from the date of termination, if termination was caused by such Participant’s death or disability, (ii) at least 30 days from the date of termination, if termination was caused other than by such Participant’s death or disability and (iii) the Option expiration date.</w:t>
      </w:r>
    </w:p>
    <w:p>
      <w:pPr>
        <w:spacing w:after="0" w:line="158" w:lineRule="exact"/>
        <w:rPr>
          <w:rFonts w:ascii="Arial" w:cs="Arial" w:eastAsia="Arial" w:hAnsi="Arial"/>
          <w:sz w:val="16"/>
          <w:szCs w:val="16"/>
          <w:color w:val="auto"/>
        </w:rPr>
      </w:pPr>
    </w:p>
    <w:p>
      <w:pPr>
        <w:ind w:right="100" w:firstLine="8"/>
        <w:spacing w:after="0" w:line="277" w:lineRule="auto"/>
        <w:tabs>
          <w:tab w:leader="none" w:pos="648"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Additional Limitations for Other Stock-Based Awards</w:t>
      </w:r>
      <w:r>
        <w:rPr>
          <w:rFonts w:ascii="Arial" w:cs="Arial" w:eastAsia="Arial" w:hAnsi="Arial"/>
          <w:sz w:val="18"/>
          <w:szCs w:val="18"/>
          <w:color w:val="auto"/>
        </w:rPr>
        <w:t>. The terms of all Awards granted to a California Participant under Section 8 of the Plan shall comply, to the extent applicable, with Sections 260.140.42, 260.140.45 and 260.140.46 of the California Code of Regulations.</w:t>
      </w:r>
    </w:p>
    <w:p>
      <w:pPr>
        <w:spacing w:after="0" w:line="170" w:lineRule="exact"/>
        <w:rPr>
          <w:rFonts w:ascii="Arial" w:cs="Arial" w:eastAsia="Arial" w:hAnsi="Arial"/>
          <w:sz w:val="18"/>
          <w:szCs w:val="18"/>
          <w:color w:val="auto"/>
        </w:rPr>
      </w:pPr>
    </w:p>
    <w:p>
      <w:pPr>
        <w:ind w:right="500" w:firstLine="8"/>
        <w:spacing w:after="0" w:line="291" w:lineRule="auto"/>
        <w:tabs>
          <w:tab w:leader="none" w:pos="648"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Additional Limitations on Timing of Awards</w:t>
      </w:r>
      <w:r>
        <w:rPr>
          <w:rFonts w:ascii="Arial" w:cs="Arial" w:eastAsia="Arial" w:hAnsi="Arial"/>
          <w:sz w:val="16"/>
          <w:szCs w:val="16"/>
          <w:color w:val="auto"/>
        </w:rPr>
        <w:t>. No Award granted to a California Participant shall become exercisable, vested or realizable, as applicable to such Award, unless the Plan has been approved by the holders of a majority of the Company’s outstanding voting securities by the later of</w:t>
      </w:r>
    </w:p>
    <w:p>
      <w:pPr>
        <w:ind w:right="680"/>
        <w:spacing w:after="0" w:line="261" w:lineRule="auto"/>
        <w:rPr>
          <w:rFonts w:ascii="Arial" w:cs="Arial" w:eastAsia="Arial" w:hAnsi="Arial"/>
          <w:sz w:val="16"/>
          <w:szCs w:val="16"/>
          <w:color w:val="auto"/>
        </w:rPr>
      </w:pPr>
      <w:r>
        <w:rPr>
          <w:rFonts w:ascii="Arial" w:cs="Arial" w:eastAsia="Arial" w:hAnsi="Arial"/>
          <w:sz w:val="18"/>
          <w:szCs w:val="18"/>
          <w:color w:val="auto"/>
        </w:rPr>
        <w:t>(i) within 12 months before or after the date the Plan was adopted by the Board, or (ii) prior to or within 12 months of the granting of any Award to a California Participant.</w:t>
      </w:r>
    </w:p>
    <w:p>
      <w:pPr>
        <w:spacing w:after="0" w:line="183" w:lineRule="exact"/>
        <w:rPr>
          <w:rFonts w:ascii="Arial" w:cs="Arial" w:eastAsia="Arial" w:hAnsi="Arial"/>
          <w:sz w:val="16"/>
          <w:szCs w:val="16"/>
          <w:color w:val="auto"/>
        </w:rPr>
      </w:pPr>
    </w:p>
    <w:p>
      <w:pPr>
        <w:ind w:right="140" w:firstLine="8"/>
        <w:spacing w:after="0" w:line="259" w:lineRule="auto"/>
        <w:tabs>
          <w:tab w:leader="none" w:pos="648"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Additional Restriction Regarding Recapitalizations, Stock Splits, Etc.</w:t>
      </w:r>
      <w:r>
        <w:rPr>
          <w:rFonts w:ascii="Arial" w:cs="Arial" w:eastAsia="Arial" w:hAnsi="Arial"/>
          <w:sz w:val="18"/>
          <w:szCs w:val="18"/>
          <w:color w:val="auto"/>
        </w:rPr>
        <w:t xml:space="preserve"> For purposes of Section 9 of the Plan, in the event of a stock split, reverse stock split, stock dividend, recapitalization, combination, reclassification or other distribution of the Company’s securities underlying the Award without the receipt of consideration by the Company, the number of securities purchasable, and in the case of Options, the exercise price of such Options, must be proportionately adjusted.</w:t>
      </w:r>
    </w:p>
    <w:p>
      <w:pPr>
        <w:spacing w:after="0" w:line="186" w:lineRule="exact"/>
        <w:rPr>
          <w:rFonts w:ascii="Arial" w:cs="Arial" w:eastAsia="Arial" w:hAnsi="Arial"/>
          <w:sz w:val="18"/>
          <w:szCs w:val="18"/>
          <w:color w:val="auto"/>
        </w:rPr>
      </w:pPr>
    </w:p>
    <w:p>
      <w:pPr>
        <w:ind w:right="120" w:firstLine="8"/>
        <w:spacing w:after="0" w:line="277" w:lineRule="auto"/>
        <w:tabs>
          <w:tab w:leader="none" w:pos="648"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Additional Limitations on Transferability of Awards.</w:t>
      </w:r>
      <w:r>
        <w:rPr>
          <w:rFonts w:ascii="Arial" w:cs="Arial" w:eastAsia="Arial" w:hAnsi="Arial"/>
          <w:sz w:val="18"/>
          <w:szCs w:val="18"/>
          <w:color w:val="auto"/>
        </w:rPr>
        <w:t xml:space="preserve"> Notwithstanding the provisions of Section 10(a) of the Plan, an Award granted to a California Participant may not be transferred to an executor or guardian upon the disability of the Participant.</w:t>
      </w:r>
    </w:p>
    <w:p>
      <w:pPr>
        <w:spacing w:after="0" w:line="170"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GRANTED UNDER 2016 STOCK INCENTIVE PLAN</w:t>
      </w:r>
    </w:p>
    <w:p>
      <w:pPr>
        <w:spacing w:after="0" w:line="211" w:lineRule="exact"/>
        <w:rPr>
          <w:sz w:val="20"/>
          <w:szCs w:val="20"/>
          <w:color w:val="auto"/>
        </w:rPr>
      </w:pPr>
    </w:p>
    <w:p>
      <w:pPr>
        <w:ind w:left="660" w:hanging="652"/>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This Incentive Stock Option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evidences the grant by Fulcrum Therapeutics, Inc., a Delaware corporation (the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on [ , 20 ] (the “</w:t>
      </w:r>
      <w:r>
        <w:rPr>
          <w:rFonts w:ascii="Arial" w:cs="Arial" w:eastAsia="Arial" w:hAnsi="Arial"/>
          <w:sz w:val="18"/>
          <w:szCs w:val="18"/>
          <w:b w:val="1"/>
          <w:bCs w:val="1"/>
          <w:color w:val="auto"/>
        </w:rPr>
        <w:t>Grant Date</w:t>
      </w:r>
      <w:r>
        <w:rPr>
          <w:rFonts w:ascii="Arial" w:cs="Arial" w:eastAsia="Arial" w:hAnsi="Arial"/>
          <w:sz w:val="18"/>
          <w:szCs w:val="18"/>
          <w:color w:val="auto"/>
        </w:rPr>
        <w:t>”) to [ ], an employee of the Company (the “</w:t>
      </w:r>
      <w:r>
        <w:rPr>
          <w:rFonts w:ascii="Arial" w:cs="Arial" w:eastAsia="Arial" w:hAnsi="Arial"/>
          <w:sz w:val="18"/>
          <w:szCs w:val="18"/>
          <w:b w:val="1"/>
          <w:bCs w:val="1"/>
          <w:color w:val="auto"/>
        </w:rPr>
        <w:t>Participant</w:t>
      </w:r>
      <w:r>
        <w:rPr>
          <w:rFonts w:ascii="Arial" w:cs="Arial" w:eastAsia="Arial" w:hAnsi="Arial"/>
          <w:sz w:val="18"/>
          <w:szCs w:val="18"/>
          <w:color w:val="auto"/>
        </w:rPr>
        <w:t>”), of an option to purchase, in whole or in part, on the terms provided herein and in the Company’s 2016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 total of [ ] shares (the “</w:t>
      </w:r>
      <w:r>
        <w:rPr>
          <w:rFonts w:ascii="Arial" w:cs="Arial" w:eastAsia="Arial" w:hAnsi="Arial"/>
          <w:sz w:val="18"/>
          <w:szCs w:val="18"/>
          <w:b w:val="1"/>
          <w:bCs w:val="1"/>
          <w:color w:val="auto"/>
        </w:rPr>
        <w:t>Shares</w:t>
      </w:r>
      <w:r>
        <w:rPr>
          <w:rFonts w:ascii="Arial" w:cs="Arial" w:eastAsia="Arial" w:hAnsi="Arial"/>
          <w:sz w:val="18"/>
          <w:szCs w:val="18"/>
          <w:color w:val="auto"/>
        </w:rPr>
        <w:t>”) of common stock, $0.001 par value per share, of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at $[ </w:t>
      </w:r>
      <w:r>
        <w:rPr>
          <w:rFonts w:ascii="Arial" w:cs="Arial" w:eastAsia="Arial" w:hAnsi="Arial"/>
          <w:sz w:val="18"/>
          <w:szCs w:val="18"/>
          <w:u w:val="single" w:color="auto"/>
          <w:color w:val="auto"/>
        </w:rPr>
        <w:t>]</w:t>
      </w:r>
      <w:r>
        <w:rPr>
          <w:rFonts w:ascii="Arial" w:cs="Arial" w:eastAsia="Arial" w:hAnsi="Arial"/>
          <w:sz w:val="18"/>
          <w:szCs w:val="18"/>
          <w:color w:val="auto"/>
        </w:rPr>
        <w:t xml:space="preserve"> per Share. Unless earlier terminated, this option shall expire at 5:00 p.m., Eastern time, on [ , 20 ] [date is ten years minus one day from grant date] (the “</w:t>
      </w:r>
      <w:r>
        <w:rPr>
          <w:rFonts w:ascii="Arial" w:cs="Arial" w:eastAsia="Arial" w:hAnsi="Arial"/>
          <w:sz w:val="18"/>
          <w:szCs w:val="18"/>
          <w:b w:val="1"/>
          <w:bCs w:val="1"/>
          <w:color w:val="auto"/>
        </w:rPr>
        <w:t>Final Exercise Da</w:t>
      </w:r>
      <w:r>
        <w:rPr>
          <w:rFonts w:ascii="Arial" w:cs="Arial" w:eastAsia="Arial" w:hAnsi="Arial"/>
          <w:sz w:val="18"/>
          <w:szCs w:val="18"/>
          <w:color w:val="auto"/>
        </w:rPr>
        <w:t>te”).</w:t>
      </w:r>
    </w:p>
    <w:p>
      <w:pPr>
        <w:spacing w:after="0" w:line="19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It is intended that the option evidenced by this Agreement shall be an incentive stock option as defined in Section 422 of the Internal Revenue Code of 1986, as amended, and any regulations promulgated thereunder (the “</w:t>
      </w:r>
      <w:r>
        <w:rPr>
          <w:rFonts w:ascii="Arial" w:cs="Arial" w:eastAsia="Arial" w:hAnsi="Arial"/>
          <w:sz w:val="16"/>
          <w:szCs w:val="16"/>
          <w:b w:val="1"/>
          <w:bCs w:val="1"/>
          <w:color w:val="auto"/>
        </w:rPr>
        <w:t>Code</w:t>
      </w:r>
      <w:r>
        <w:rPr>
          <w:rFonts w:ascii="Arial" w:cs="Arial" w:eastAsia="Arial" w:hAnsi="Arial"/>
          <w:sz w:val="16"/>
          <w:szCs w:val="16"/>
          <w:color w:val="auto"/>
        </w:rPr>
        <w:t>”). To the extent not designated as an incentive stock option, or to the extent that the option does not qualify as an incentive stock option, the option shall be a nonstatutory stock option. Except as otherwise indicated by the context, the term “</w:t>
      </w:r>
      <w:r>
        <w:rPr>
          <w:rFonts w:ascii="Arial" w:cs="Arial" w:eastAsia="Arial" w:hAnsi="Arial"/>
          <w:sz w:val="16"/>
          <w:szCs w:val="16"/>
          <w:b w:val="1"/>
          <w:bCs w:val="1"/>
          <w:color w:val="auto"/>
        </w:rPr>
        <w:t>Participant</w:t>
      </w:r>
      <w:r>
        <w:rPr>
          <w:rFonts w:ascii="Arial" w:cs="Arial" w:eastAsia="Arial" w:hAnsi="Arial"/>
          <w:sz w:val="16"/>
          <w:szCs w:val="16"/>
          <w:color w:val="auto"/>
        </w:rPr>
        <w:t>”, as used in this option, shall be deemed to include any person who acquires the right to exercise this option validly under its terms.</w:t>
      </w:r>
    </w:p>
    <w:p>
      <w:pPr>
        <w:spacing w:after="0" w:line="154" w:lineRule="exact"/>
        <w:rPr>
          <w:sz w:val="20"/>
          <w:szCs w:val="20"/>
          <w:color w:val="auto"/>
        </w:rPr>
      </w:pPr>
    </w:p>
    <w:p>
      <w:pPr>
        <w:ind w:left="660" w:hanging="652"/>
        <w:spacing w:after="0"/>
        <w:tabs>
          <w:tab w:leader="none" w:pos="66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4840" w:val="left"/>
        </w:tabs>
        <w:rPr>
          <w:sz w:val="20"/>
          <w:szCs w:val="20"/>
          <w:color w:val="auto"/>
        </w:rPr>
      </w:pPr>
      <w:r>
        <w:rPr>
          <w:rFonts w:ascii="Arial" w:cs="Arial" w:eastAsia="Arial" w:hAnsi="Arial"/>
          <w:sz w:val="18"/>
          <w:szCs w:val="18"/>
          <w:color w:val="auto"/>
        </w:rPr>
        <w:t>This option will become exercisable (“</w:t>
      </w:r>
      <w:r>
        <w:rPr>
          <w:rFonts w:ascii="Arial" w:cs="Arial" w:eastAsia="Arial" w:hAnsi="Arial"/>
          <w:sz w:val="18"/>
          <w:szCs w:val="18"/>
          <w:b w:val="1"/>
          <w:bCs w:val="1"/>
          <w:color w:val="auto"/>
        </w:rPr>
        <w:t>vest</w:t>
      </w:r>
      <w:r>
        <w:rPr>
          <w:rFonts w:ascii="Arial" w:cs="Arial" w:eastAsia="Arial" w:hAnsi="Arial"/>
          <w:sz w:val="18"/>
          <w:szCs w:val="18"/>
          <w:color w:val="auto"/>
        </w:rPr>
        <w:t>”) as to [</w:t>
      </w:r>
      <w:r>
        <w:rPr>
          <w:sz w:val="20"/>
          <w:szCs w:val="20"/>
          <w:color w:val="auto"/>
        </w:rPr>
        <w:tab/>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Vesting Commencement Date</w:t>
      </w:r>
      <w:r>
        <w:rPr>
          <w:rFonts w:ascii="Arial" w:cs="Arial" w:eastAsia="Arial" w:hAnsi="Arial"/>
          <w:sz w:val="16"/>
          <w:szCs w:val="16"/>
          <w:color w:val="auto"/>
        </w:rPr>
        <w:t>” shall mean</w:t>
      </w:r>
    </w:p>
    <w:p>
      <w:pPr>
        <w:spacing w:after="0" w:line="27" w:lineRule="exact"/>
        <w:rPr>
          <w:sz w:val="20"/>
          <w:szCs w:val="20"/>
          <w:color w:val="auto"/>
        </w:rPr>
      </w:pPr>
    </w:p>
    <w:p>
      <w:pPr>
        <w:ind w:left="880" w:hanging="872"/>
        <w:spacing w:after="0"/>
        <w:tabs>
          <w:tab w:leader="none" w:pos="8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81" w:lineRule="exact"/>
        <w:rPr>
          <w:sz w:val="20"/>
          <w:szCs w:val="20"/>
          <w:color w:val="auto"/>
        </w:rPr>
      </w:pPr>
    </w:p>
    <w:p>
      <w:pPr>
        <w:ind w:left="660" w:hanging="652"/>
        <w:spacing w:after="0"/>
        <w:tabs>
          <w:tab w:leader="none" w:pos="66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656"/>
        <w:spacing w:after="0" w:line="259" w:lineRule="auto"/>
        <w:tabs>
          <w:tab w:leader="none" w:pos="1294"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Form of Exercise</w:t>
      </w:r>
      <w:r>
        <w:rPr>
          <w:rFonts w:ascii="Arial" w:cs="Arial" w:eastAsia="Arial" w:hAnsi="Arial"/>
          <w:sz w:val="18"/>
          <w:szCs w:val="18"/>
          <w:color w:val="auto"/>
        </w:rPr>
        <w:t xml:space="preserve">. Each election to exercise this option shall be accompanied by a completed Notice of Stock Option Exercise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spacing w:after="0" w:line="186" w:lineRule="exact"/>
        <w:rPr>
          <w:rFonts w:ascii="Arial" w:cs="Arial" w:eastAsia="Arial" w:hAnsi="Arial"/>
          <w:sz w:val="18"/>
          <w:szCs w:val="18"/>
          <w:color w:val="auto"/>
        </w:rPr>
      </w:pPr>
    </w:p>
    <w:p>
      <w:pPr>
        <w:ind w:right="340" w:firstLine="656"/>
        <w:spacing w:after="0" w:line="308" w:lineRule="auto"/>
        <w:tabs>
          <w:tab w:leader="none" w:pos="1304" w:val="left"/>
        </w:tabs>
        <w:numPr>
          <w:ilvl w:val="1"/>
          <w:numId w:val="293"/>
        </w:numPr>
        <w:rPr>
          <w:rFonts w:ascii="Arial" w:cs="Arial" w:eastAsia="Arial" w:hAnsi="Arial"/>
          <w:sz w:val="17"/>
          <w:szCs w:val="17"/>
          <w:color w:val="auto"/>
        </w:rPr>
      </w:pPr>
      <w:r>
        <w:rPr>
          <w:rFonts w:ascii="Arial" w:cs="Arial" w:eastAsia="Arial" w:hAnsi="Arial"/>
          <w:sz w:val="17"/>
          <w:szCs w:val="17"/>
          <w:u w:val="single" w:color="auto"/>
          <w:color w:val="auto"/>
        </w:rPr>
        <w:t>Continuous Relationship with the Company Required</w:t>
      </w:r>
      <w:r>
        <w:rPr>
          <w:rFonts w:ascii="Arial" w:cs="Arial" w:eastAsia="Arial" w:hAnsi="Arial"/>
          <w:sz w:val="17"/>
          <w:szCs w:val="17"/>
          <w:color w:val="auto"/>
        </w:rPr>
        <w:t>. Except as otherwise provided in this Section 3, this option may not be exercised unless the Participant, at the time he or she exercises this option, is, and has been at all times since the Grant Date, an employee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44" w:name="page445"/>
    <w:bookmarkEnd w:id="444"/>
    <w:p>
      <w:pPr>
        <w:ind w:right="140"/>
        <w:spacing w:after="0" w:line="282" w:lineRule="auto"/>
        <w:rPr>
          <w:sz w:val="20"/>
          <w:szCs w:val="20"/>
          <w:color w:val="auto"/>
        </w:rPr>
      </w:pPr>
      <w:r>
        <w:rPr>
          <w:rFonts w:ascii="Arial" w:cs="Arial" w:eastAsia="Arial" w:hAnsi="Arial"/>
          <w:sz w:val="18"/>
          <w:szCs w:val="18"/>
          <w:color w:val="auto"/>
        </w:rPr>
        <w:t>officer of, or consultant or advisor to, the Company or any parent or subsidiary of the Company as defined in Section 424(e) or (f) of the Code (an “</w:t>
      </w:r>
      <w:r>
        <w:rPr>
          <w:rFonts w:ascii="Arial" w:cs="Arial" w:eastAsia="Arial" w:hAnsi="Arial"/>
          <w:sz w:val="18"/>
          <w:szCs w:val="18"/>
          <w:b w:val="1"/>
          <w:bCs w:val="1"/>
          <w:color w:val="auto"/>
        </w:rPr>
        <w:t>Eligible</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166" w:lineRule="exact"/>
        <w:rPr>
          <w:sz w:val="20"/>
          <w:szCs w:val="20"/>
          <w:color w:val="auto"/>
        </w:rPr>
      </w:pPr>
    </w:p>
    <w:p>
      <w:pPr>
        <w:ind w:firstLine="656"/>
        <w:spacing w:after="0" w:line="255" w:lineRule="auto"/>
        <w:tabs>
          <w:tab w:leader="none" w:pos="1307"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with the Company</w:t>
      </w:r>
      <w:r>
        <w:rPr>
          <w:rFonts w:ascii="Arial" w:cs="Arial" w:eastAsia="Arial" w:hAnsi="Arial"/>
          <w:sz w:val="18"/>
          <w:szCs w:val="18"/>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93" w:lineRule="exact"/>
        <w:rPr>
          <w:rFonts w:ascii="Arial" w:cs="Arial" w:eastAsia="Arial" w:hAnsi="Arial"/>
          <w:sz w:val="18"/>
          <w:szCs w:val="18"/>
          <w:color w:val="auto"/>
        </w:rPr>
      </w:pPr>
    </w:p>
    <w:p>
      <w:pPr>
        <w:ind w:right="40" w:firstLine="656"/>
        <w:spacing w:after="0" w:line="255" w:lineRule="auto"/>
        <w:tabs>
          <w:tab w:leader="none" w:pos="1304"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Exercise Period Upon Death or Disability</w:t>
      </w:r>
      <w:r>
        <w:rPr>
          <w:rFonts w:ascii="Arial" w:cs="Arial" w:eastAsia="Arial" w:hAnsi="Arial"/>
          <w:sz w:val="18"/>
          <w:szCs w:val="18"/>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93" w:lineRule="exact"/>
        <w:rPr>
          <w:rFonts w:ascii="Arial" w:cs="Arial" w:eastAsia="Arial" w:hAnsi="Arial"/>
          <w:sz w:val="18"/>
          <w:szCs w:val="18"/>
          <w:color w:val="auto"/>
        </w:rPr>
      </w:pPr>
    </w:p>
    <w:p>
      <w:pPr>
        <w:ind w:firstLine="656"/>
        <w:spacing w:after="0" w:line="268" w:lineRule="auto"/>
        <w:tabs>
          <w:tab w:leader="none" w:pos="1307"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prior to the Final Exercise Date, the Participant’s employment is terminated by the Company for Cause (as defined below), the right to exercise this option shall terminate immediately upon the effective date of such termination of employment. If, prior to the Final Exercise Date, the Participant is given notice by the Company of the termination of his or her employment by the Company for Cause, and the effective date of such employment termination is subsequent to the date of delivery of such notice, the right to exercise this option shall be suspended from the time of the delivery of such notice until the earlier of (i) such time as it is determined or otherwise agreed that the Participant’s employment shall not be terminated for Cause as provided in such notice or (ii) the effective date of such termination of employment (in which case the right to exercise this option shall, pursuant to the preceding sentence, terminate upon the effective date of such termination of employment). If the Participant is party to an employment or severance agreement with the Company that contains a definition of “cause” for termination of employment,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shall be considered to have been terminated for Cause if the Company determines, within 30 days after the Participant’s resignation, that termination for Cause was warranted.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45" w:name="page446"/>
    <w:bookmarkEnd w:id="445"/>
    <w:p>
      <w:pPr>
        <w:ind w:left="652" w:hanging="652"/>
        <w:spacing w:after="0"/>
        <w:tabs>
          <w:tab w:leader="none" w:pos="652"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Company Right of First Refusal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656"/>
        <w:spacing w:after="0" w:line="302" w:lineRule="auto"/>
        <w:tabs>
          <w:tab w:leader="none" w:pos="1286" w:val="left"/>
        </w:tabs>
        <w:numPr>
          <w:ilvl w:val="1"/>
          <w:numId w:val="295"/>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If the Participant proposes to sell, assign, transfer, pledge, hypothecate or otherwise dispose of, by operation of law or otherwise (collectively, “transfer”) any Shares acquired upon exercise of this option, then the Participant shall first give written notice of the proposed transfer (the “</w:t>
      </w:r>
      <w:r>
        <w:rPr>
          <w:rFonts w:ascii="Arial" w:cs="Arial" w:eastAsia="Arial" w:hAnsi="Arial"/>
          <w:sz w:val="16"/>
          <w:szCs w:val="16"/>
          <w:b w:val="1"/>
          <w:bCs w:val="1"/>
          <w:color w:val="auto"/>
        </w:rPr>
        <w:t>Transfer Notice</w:t>
      </w:r>
      <w:r>
        <w:rPr>
          <w:rFonts w:ascii="Arial" w:cs="Arial" w:eastAsia="Arial" w:hAnsi="Arial"/>
          <w:sz w:val="16"/>
          <w:szCs w:val="16"/>
          <w:color w:val="auto"/>
        </w:rPr>
        <w:t>”) to the Company. The Transfer Notice shall name the proposed transferee and state the number of such Shares the Participant proposes to transfer (the “</w:t>
      </w:r>
      <w:r>
        <w:rPr>
          <w:rFonts w:ascii="Arial" w:cs="Arial" w:eastAsia="Arial" w:hAnsi="Arial"/>
          <w:sz w:val="16"/>
          <w:szCs w:val="16"/>
          <w:b w:val="1"/>
          <w:bCs w:val="1"/>
          <w:color w:val="auto"/>
        </w:rPr>
        <w:t>Offered Shares</w:t>
      </w:r>
      <w:r>
        <w:rPr>
          <w:rFonts w:ascii="Arial" w:cs="Arial" w:eastAsia="Arial" w:hAnsi="Arial"/>
          <w:sz w:val="16"/>
          <w:szCs w:val="16"/>
          <w:color w:val="auto"/>
        </w:rPr>
        <w:t>”), the price per share and all other material terms and conditions of the transfer.</w:t>
      </w:r>
    </w:p>
    <w:p>
      <w:pPr>
        <w:spacing w:after="0" w:line="154" w:lineRule="exact"/>
        <w:rPr>
          <w:rFonts w:ascii="Arial" w:cs="Arial" w:eastAsia="Arial" w:hAnsi="Arial"/>
          <w:sz w:val="16"/>
          <w:szCs w:val="16"/>
          <w:color w:val="auto"/>
        </w:rPr>
      </w:pPr>
    </w:p>
    <w:p>
      <w:pPr>
        <w:ind w:left="-8" w:firstLine="656"/>
        <w:spacing w:after="0" w:line="289" w:lineRule="auto"/>
        <w:tabs>
          <w:tab w:leader="none" w:pos="1296" w:val="left"/>
        </w:tabs>
        <w:numPr>
          <w:ilvl w:val="1"/>
          <w:numId w:val="295"/>
        </w:numPr>
        <w:rPr>
          <w:rFonts w:ascii="Arial" w:cs="Arial" w:eastAsia="Arial" w:hAnsi="Arial"/>
          <w:sz w:val="16"/>
          <w:szCs w:val="16"/>
          <w:color w:val="auto"/>
        </w:rPr>
      </w:pPr>
      <w:r>
        <w:rPr>
          <w:rFonts w:ascii="Arial" w:cs="Arial" w:eastAsia="Arial" w:hAnsi="Arial"/>
          <w:sz w:val="16"/>
          <w:szCs w:val="16"/>
          <w:u w:val="single" w:color="auto"/>
          <w:color w:val="auto"/>
        </w:rPr>
        <w:t>Company Right to Purchase</w:t>
      </w:r>
      <w:r>
        <w:rPr>
          <w:rFonts w:ascii="Arial" w:cs="Arial" w:eastAsia="Arial" w:hAnsi="Arial"/>
          <w:sz w:val="16"/>
          <w:szCs w:val="16"/>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delay in making such payment shall not invalidate the Company’s exercise of its option to purchase the Offered Shares.</w:t>
      </w:r>
    </w:p>
    <w:p>
      <w:pPr>
        <w:spacing w:after="0" w:line="166" w:lineRule="exact"/>
        <w:rPr>
          <w:rFonts w:ascii="Arial" w:cs="Arial" w:eastAsia="Arial" w:hAnsi="Arial"/>
          <w:sz w:val="16"/>
          <w:szCs w:val="16"/>
          <w:color w:val="auto"/>
        </w:rPr>
      </w:pPr>
    </w:p>
    <w:p>
      <w:pPr>
        <w:ind w:left="-8" w:right="20" w:firstLine="656"/>
        <w:spacing w:after="0" w:line="273" w:lineRule="auto"/>
        <w:tabs>
          <w:tab w:leader="none" w:pos="1299" w:val="left"/>
        </w:tabs>
        <w:numPr>
          <w:ilvl w:val="1"/>
          <w:numId w:val="295"/>
        </w:numPr>
        <w:rPr>
          <w:rFonts w:ascii="Arial" w:cs="Arial" w:eastAsia="Arial" w:hAnsi="Arial"/>
          <w:sz w:val="17"/>
          <w:szCs w:val="17"/>
          <w:color w:val="auto"/>
        </w:rPr>
      </w:pPr>
      <w:r>
        <w:rPr>
          <w:rFonts w:ascii="Arial" w:cs="Arial" w:eastAsia="Arial" w:hAnsi="Arial"/>
          <w:sz w:val="17"/>
          <w:szCs w:val="17"/>
          <w:u w:val="single" w:color="auto"/>
          <w:color w:val="auto"/>
        </w:rPr>
        <w:t>Shares Not Purchased By Company</w:t>
      </w:r>
      <w:r>
        <w:rPr>
          <w:rFonts w:ascii="Arial" w:cs="Arial" w:eastAsia="Arial" w:hAnsi="Arial"/>
          <w:sz w:val="17"/>
          <w:szCs w:val="17"/>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78" w:lineRule="exact"/>
        <w:rPr>
          <w:rFonts w:ascii="Arial" w:cs="Arial" w:eastAsia="Arial" w:hAnsi="Arial"/>
          <w:sz w:val="17"/>
          <w:szCs w:val="17"/>
          <w:color w:val="auto"/>
        </w:rPr>
      </w:pPr>
    </w:p>
    <w:p>
      <w:pPr>
        <w:ind w:left="-8" w:right="100" w:firstLine="656"/>
        <w:spacing w:after="0" w:line="259" w:lineRule="auto"/>
        <w:tabs>
          <w:tab w:leader="none" w:pos="1296"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Consequences of Non-Delivery</w:t>
      </w:r>
      <w:r>
        <w:rPr>
          <w:rFonts w:ascii="Arial" w:cs="Arial" w:eastAsia="Arial" w:hAnsi="Arial"/>
          <w:sz w:val="18"/>
          <w:szCs w:val="18"/>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86" w:lineRule="exact"/>
        <w:rPr>
          <w:rFonts w:ascii="Arial" w:cs="Arial" w:eastAsia="Arial" w:hAnsi="Arial"/>
          <w:sz w:val="18"/>
          <w:szCs w:val="18"/>
          <w:color w:val="auto"/>
        </w:rPr>
      </w:pPr>
    </w:p>
    <w:p>
      <w:pPr>
        <w:ind w:left="1312" w:hanging="664"/>
        <w:spacing w:after="0"/>
        <w:tabs>
          <w:tab w:leader="none" w:pos="1312"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Exempt Transactions</w:t>
      </w:r>
      <w:r>
        <w:rPr>
          <w:rFonts w:ascii="Arial" w:cs="Arial" w:eastAsia="Arial" w:hAnsi="Arial"/>
          <w:sz w:val="18"/>
          <w:szCs w:val="18"/>
          <w:color w:val="auto"/>
        </w:rPr>
        <w:t>. The following transactions shall be exempt from the provisions of this Section 4:</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446" w:name="page447"/>
    <w:bookmarkEnd w:id="446"/>
    <w:p>
      <w:pPr>
        <w:ind w:left="1960" w:hanging="655"/>
        <w:spacing w:after="0"/>
        <w:tabs>
          <w:tab w:leader="none" w:pos="19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transfer of Shares to or for the benefit of any spouse, child or grandchild of the Participant, or to a trust for their benefit;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any transfer pursuant to an effective registration statement filed by the Company under the Securities Act of 1933, as amended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of the Company (including pursuant to a merger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consolidation);</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transfer pursuant to clause (1) above, such Shares shall remain subject to the right of first refusal set forth in this Section 4.</w:t>
      </w:r>
    </w:p>
    <w:p>
      <w:pPr>
        <w:spacing w:after="0" w:line="170" w:lineRule="exact"/>
        <w:rPr>
          <w:sz w:val="20"/>
          <w:szCs w:val="20"/>
          <w:color w:val="auto"/>
        </w:rPr>
      </w:pPr>
    </w:p>
    <w:p>
      <w:pPr>
        <w:ind w:right="380" w:firstLine="656"/>
        <w:spacing w:after="0" w:line="277" w:lineRule="auto"/>
        <w:tabs>
          <w:tab w:leader="none" w:pos="1301"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Assignment of Company Right</w:t>
      </w:r>
      <w:r>
        <w:rPr>
          <w:rFonts w:ascii="Arial" w:cs="Arial" w:eastAsia="Arial" w:hAnsi="Arial"/>
          <w:sz w:val="18"/>
          <w:szCs w:val="18"/>
          <w:color w:val="auto"/>
        </w:rPr>
        <w:t>. The Company may assign its rights to purchase Offered Shares in any particular transaction under this Section 4 to one or more persons or entities.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provisions of this Section 4 shall terminate upon the earlier of the following events:</w:t>
      </w:r>
    </w:p>
    <w:p>
      <w:pPr>
        <w:spacing w:after="0" w:line="225" w:lineRule="exact"/>
        <w:rPr>
          <w:rFonts w:ascii="Arial" w:cs="Arial" w:eastAsia="Arial" w:hAnsi="Arial"/>
          <w:sz w:val="18"/>
          <w:szCs w:val="18"/>
          <w:color w:val="auto"/>
        </w:rPr>
      </w:pPr>
    </w:p>
    <w:p>
      <w:pPr>
        <w:ind w:right="20" w:firstLine="1305"/>
        <w:spacing w:after="0" w:line="277" w:lineRule="auto"/>
        <w:tabs>
          <w:tab w:leader="none" w:pos="195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closing of the sale of shares of Common Stock in an underwritten public offering pursuant to an effective registration statement filed by the Company under the Securities Act; or</w:t>
      </w:r>
    </w:p>
    <w:p>
      <w:pPr>
        <w:spacing w:after="0" w:line="170" w:lineRule="exact"/>
        <w:rPr>
          <w:rFonts w:ascii="Arial" w:cs="Arial" w:eastAsia="Arial" w:hAnsi="Arial"/>
          <w:sz w:val="18"/>
          <w:szCs w:val="18"/>
          <w:color w:val="auto"/>
        </w:rPr>
      </w:pPr>
    </w:p>
    <w:p>
      <w:pPr>
        <w:ind w:firstLine="1305"/>
        <w:spacing w:after="0" w:line="257" w:lineRule="auto"/>
        <w:tabs>
          <w:tab w:leader="none" w:pos="195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75% (determined on an as-converted basis) of the outstanding securities entitled to vote generally in the election of directors of the resulting, surviving or acquiring corporation in such transaction).</w:t>
      </w:r>
    </w:p>
    <w:p>
      <w:pPr>
        <w:spacing w:after="0" w:line="188" w:lineRule="exact"/>
        <w:rPr>
          <w:rFonts w:ascii="Arial" w:cs="Arial" w:eastAsia="Arial" w:hAnsi="Arial"/>
          <w:sz w:val="18"/>
          <w:szCs w:val="18"/>
          <w:color w:val="auto"/>
        </w:rPr>
      </w:pPr>
    </w:p>
    <w:p>
      <w:pPr>
        <w:jc w:val="both"/>
        <w:ind w:right="100" w:firstLine="656"/>
        <w:spacing w:after="0" w:line="264" w:lineRule="auto"/>
        <w:tabs>
          <w:tab w:leader="none" w:pos="1304"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No Obligation to Recognize Invalid Transfer</w:t>
      </w:r>
      <w:r>
        <w:rPr>
          <w:rFonts w:ascii="Arial" w:cs="Arial" w:eastAsia="Arial" w:hAnsi="Arial"/>
          <w:sz w:val="18"/>
          <w:szCs w:val="18"/>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181" w:lineRule="exact"/>
        <w:rPr>
          <w:rFonts w:ascii="Arial" w:cs="Arial" w:eastAsia="Arial" w:hAnsi="Arial"/>
          <w:sz w:val="18"/>
          <w:szCs w:val="18"/>
          <w:color w:val="auto"/>
        </w:rPr>
      </w:pPr>
    </w:p>
    <w:p>
      <w:pPr>
        <w:ind w:right="60" w:firstLine="656"/>
        <w:spacing w:after="0" w:line="308" w:lineRule="auto"/>
        <w:tabs>
          <w:tab w:leader="none" w:pos="1318"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147"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in favor of the Company, as provided in a certain stock option agreement with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47" w:name="page448"/>
    <w:bookmarkEnd w:id="447"/>
    <w:p>
      <w:pPr>
        <w:ind w:left="660" w:hanging="652"/>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Agreement in Connection with Initial Public Offering</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83"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00" w:firstLine="656"/>
        <w:spacing w:after="0" w:line="264" w:lineRule="auto"/>
        <w:tabs>
          <w:tab w:leader="none" w:pos="1294"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81" w:lineRule="exact"/>
        <w:rPr>
          <w:rFonts w:ascii="Arial" w:cs="Arial" w:eastAsia="Arial" w:hAnsi="Arial"/>
          <w:sz w:val="18"/>
          <w:szCs w:val="18"/>
          <w:color w:val="auto"/>
        </w:rPr>
      </w:pPr>
    </w:p>
    <w:p>
      <w:pPr>
        <w:jc w:val="both"/>
        <w:ind w:right="600" w:firstLine="656"/>
        <w:spacing w:after="0" w:line="286" w:lineRule="auto"/>
        <w:tabs>
          <w:tab w:leader="none" w:pos="1304"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Disqualifying Disposition</w:t>
      </w:r>
      <w:r>
        <w:rPr>
          <w:rFonts w:ascii="Arial" w:cs="Arial" w:eastAsia="Arial" w:hAnsi="Arial"/>
          <w:sz w:val="17"/>
          <w:szCs w:val="17"/>
          <w:color w:val="auto"/>
        </w:rPr>
        <w:t>. If this option satisfies the requirements to be treated as an incentive stock option under the Code and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firstLine="656"/>
        <w:spacing w:after="0" w:line="342" w:lineRule="auto"/>
        <w:tabs>
          <w:tab w:leader="none" w:pos="1294" w:val="left"/>
        </w:tabs>
        <w:numPr>
          <w:ilvl w:val="1"/>
          <w:numId w:val="299"/>
        </w:numPr>
        <w:rPr>
          <w:rFonts w:ascii="Arial" w:cs="Arial" w:eastAsia="Arial" w:hAnsi="Arial"/>
          <w:sz w:val="16"/>
          <w:szCs w:val="16"/>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23" w:lineRule="exact"/>
        <w:rPr>
          <w:rFonts w:ascii="Arial" w:cs="Arial" w:eastAsia="Arial" w:hAnsi="Arial"/>
          <w:sz w:val="16"/>
          <w:szCs w:val="16"/>
          <w:color w:val="auto"/>
        </w:rPr>
      </w:pPr>
    </w:p>
    <w:p>
      <w:pPr>
        <w:ind w:right="180" w:firstLine="656"/>
        <w:spacing w:after="0" w:line="257" w:lineRule="auto"/>
        <w:tabs>
          <w:tab w:leader="none" w:pos="130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8" w:name="page449"/>
    <w:bookmarkEnd w:id="448"/>
    <w:p>
      <w:pPr>
        <w:ind w:left="660" w:hanging="652"/>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449" w:name="page450"/>
    <w:bookmarkEnd w:id="449"/>
    <w:p>
      <w:pPr>
        <w:ind w:right="200" w:firstLine="648"/>
        <w:spacing w:after="0" w:line="264" w:lineRule="auto"/>
        <w:rPr>
          <w:sz w:val="20"/>
          <w:szCs w:val="20"/>
          <w:color w:val="auto"/>
        </w:rPr>
      </w:pPr>
      <w:r>
        <w:rPr>
          <w:rFonts w:ascii="Arial" w:cs="Arial" w:eastAsia="Arial" w:hAnsi="Arial"/>
          <w:sz w:val="18"/>
          <w:szCs w:val="18"/>
          <w:color w:val="auto"/>
        </w:rPr>
        <w:t>IN WITNESS WHEREOF, the parties hereto have executed this Agreement as of the day and year first above written. The Participant hereby accepts the foregoing option and agrees to the terms and conditions thereof. The Participant hereby acknowledges receipt of a copy of the Company’s 2016 Stock Incentive Plan.</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-130810</wp:posOffset>
            </wp:positionV>
            <wp:extent cx="265874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4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spacing w:after="0"/>
              <w:rPr>
                <w:sz w:val="20"/>
                <w:szCs w:val="20"/>
                <w:color w:val="auto"/>
              </w:rPr>
            </w:pPr>
          </w:p>
        </w:tc>
      </w:tr>
      <w:tr>
        <w:trPr>
          <w:trHeight w:val="397"/>
        </w:trPr>
        <w:tc>
          <w:tcPr>
            <w:tcW w:w="112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648"/>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SPOUSAL CONSENT:</w:t>
            </w:r>
          </w:p>
        </w:tc>
        <w:tc>
          <w:tcPr>
            <w:tcW w:w="2260" w:type="dxa"/>
            <w:vAlign w:val="bottom"/>
          </w:tcPr>
          <w:p>
            <w:pPr>
              <w:spacing w:after="0"/>
              <w:rPr>
                <w:sz w:val="24"/>
                <w:szCs w:val="24"/>
                <w:color w:val="auto"/>
              </w:rPr>
            </w:pPr>
          </w:p>
        </w:tc>
      </w:tr>
      <w:tr>
        <w:trPr>
          <w:trHeight w:val="648"/>
        </w:trPr>
        <w:tc>
          <w:tcPr>
            <w:tcW w:w="1120" w:type="dxa"/>
            <w:vAlign w:val="bottom"/>
            <w:gridSpan w:val="3"/>
          </w:tcPr>
          <w:p>
            <w:pPr>
              <w:spacing w:after="0"/>
              <w:rPr>
                <w:sz w:val="20"/>
                <w:szCs w:val="20"/>
                <w:color w:val="auto"/>
              </w:rPr>
            </w:pPr>
            <w:r>
              <w:rPr>
                <w:rFonts w:ascii="Arial" w:cs="Arial" w:eastAsia="Arial" w:hAnsi="Arial"/>
                <w:sz w:val="18"/>
                <w:szCs w:val="18"/>
                <w:color w:val="auto"/>
              </w:rPr>
              <w:t>By:</w:t>
            </w: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 w:type="dxa"/>
            <w:vAlign w:val="bottom"/>
            <w:tcBorders>
              <w:top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tcPr>
          <w:p>
            <w:pPr>
              <w:spacing w:after="0"/>
              <w:rPr>
                <w:sz w:val="18"/>
                <w:szCs w:val="18"/>
                <w:color w:val="auto"/>
              </w:rPr>
            </w:pPr>
          </w:p>
        </w:tc>
      </w:tr>
      <w:tr>
        <w:trPr>
          <w:trHeight w:val="398"/>
        </w:trPr>
        <w:tc>
          <w:tcPr>
            <w:tcW w:w="112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INCENTIVE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0" w:name="page451"/>
    <w:bookmarkEnd w:id="450"/>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STOCK OPTION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ectPr>
          <w:pgSz w:w="11900" w:h="16838" w:orient="portrait"/>
          <w:cols w:equalWidth="0" w:num="1">
            <w:col w:w="11380"/>
          </w:cols>
          <w:pgMar w:left="240" w:top="337"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firstLine="138"/>
        <w:spacing w:after="0" w:line="308" w:lineRule="auto"/>
        <w:rPr>
          <w:sz w:val="20"/>
          <w:szCs w:val="20"/>
          <w:color w:val="auto"/>
        </w:rPr>
      </w:pPr>
      <w:r>
        <w:rPr>
          <w:rFonts w:ascii="Arial" w:cs="Arial" w:eastAsia="Arial" w:hAnsi="Arial"/>
          <w:sz w:val="17"/>
          <w:szCs w:val="17"/>
          <w:color w:val="auto"/>
        </w:rPr>
        <w:t>I am the holder of a [ ]for the purchase of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480" w:firstLine="138"/>
        <w:spacing w:after="0" w:line="282" w:lineRule="auto"/>
        <w:rPr>
          <w:sz w:val="20"/>
          <w:szCs w:val="20"/>
          <w:color w:val="auto"/>
        </w:rPr>
      </w:pPr>
      <w:r>
        <w:rPr>
          <w:rFonts w:ascii="Arial" w:cs="Arial" w:eastAsia="Arial" w:hAnsi="Arial"/>
          <w:sz w:val="18"/>
          <w:szCs w:val="18"/>
          <w:color w:val="auto"/>
        </w:rPr>
        <w:t>]Stock Option granted to me under the Fulcrum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2016 Stock Incentive Plan on ]shares of Common Stock of the Company at a purchase price of $[ ] per share.</w:t>
      </w:r>
    </w:p>
    <w:p>
      <w:pPr>
        <w:spacing w:after="0" w:line="162" w:lineRule="exact"/>
        <w:rPr>
          <w:sz w:val="20"/>
          <w:szCs w:val="20"/>
          <w:color w:val="auto"/>
        </w:rPr>
      </w:pPr>
    </w:p>
    <w:p>
      <w:pPr>
        <w:sectPr>
          <w:pgSz w:w="11900" w:h="16838" w:orient="portrait"/>
          <w:cols w:equalWidth="0" w:num="3">
            <w:col w:w="60" w:space="460"/>
            <w:col w:w="1660" w:space="300"/>
            <w:col w:w="8900"/>
          </w:cols>
          <w:pgMar w:left="240" w:top="337" w:right="279"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hereby exercise my option to purchase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 for which I have enclosed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the amount of</w:t>
      </w:r>
    </w:p>
    <w:p>
      <w:pPr>
        <w:spacing w:after="0" w:line="46" w:lineRule="exact"/>
        <w:rPr>
          <w:sz w:val="20"/>
          <w:szCs w:val="20"/>
          <w:color w:val="auto"/>
        </w:rPr>
      </w:pPr>
    </w:p>
    <w:p>
      <w:pPr>
        <w:sectPr>
          <w:pgSz w:w="11900" w:h="16838" w:orient="portrait"/>
          <w:cols w:equalWidth="0" w:num="3">
            <w:col w:w="3640" w:space="400"/>
            <w:col w:w="5080" w:space="460"/>
            <w:col w:w="1800"/>
          </w:cols>
          <w:pgMar w:left="240" w:top="337" w:right="279" w:bottom="1440" w:gutter="0" w:footer="0" w:header="0"/>
          <w:type w:val="continuous"/>
        </w:sectPr>
      </w:pPr>
    </w:p>
    <w:p>
      <w:pPr>
        <w:ind w:left="1300" w:right="7420" w:hanging="1292"/>
        <w:spacing w:after="0" w:line="511" w:lineRule="auto"/>
        <w:tabs>
          <w:tab w:leader="none" w:pos="42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Please register my stock certificate as follows: Name(s):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represent, warrant and covenant as follows:</w:t>
      </w:r>
    </w:p>
    <w:p>
      <w:pPr>
        <w:spacing w:after="0" w:line="225" w:lineRule="exact"/>
        <w:rPr>
          <w:sz w:val="20"/>
          <w:szCs w:val="20"/>
          <w:color w:val="auto"/>
        </w:rPr>
      </w:pPr>
    </w:p>
    <w:p>
      <w:pPr>
        <w:ind w:right="260" w:firstLine="8"/>
        <w:spacing w:after="0" w:line="277" w:lineRule="auto"/>
        <w:tabs>
          <w:tab w:leader="none" w:pos="64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 am purchasing the Shares for my own account for investment only, and not with a view to, or for sale in connection with, any distribution of the Shares in violation of the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 or any rule or regulation under the Securities Act.</w:t>
      </w:r>
    </w:p>
    <w:p>
      <w:pPr>
        <w:spacing w:after="0" w:line="170" w:lineRule="exact"/>
        <w:rPr>
          <w:rFonts w:ascii="Arial" w:cs="Arial" w:eastAsia="Arial" w:hAnsi="Arial"/>
          <w:sz w:val="18"/>
          <w:szCs w:val="18"/>
          <w:color w:val="auto"/>
        </w:rPr>
      </w:pPr>
    </w:p>
    <w:p>
      <w:pPr>
        <w:ind w:firstLine="8"/>
        <w:spacing w:after="0" w:line="277" w:lineRule="auto"/>
        <w:tabs>
          <w:tab w:leader="none" w:pos="64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 have had such opportunity as I have deemed adequate to obtain from representatives of the Company such information as is necessary to permit me to evaluate the merits and risks of my investment in the Company.</w:t>
      </w:r>
    </w:p>
    <w:p>
      <w:pPr>
        <w:spacing w:after="0" w:line="170" w:lineRule="exact"/>
        <w:rPr>
          <w:rFonts w:ascii="Arial" w:cs="Arial" w:eastAsia="Arial" w:hAnsi="Arial"/>
          <w:sz w:val="18"/>
          <w:szCs w:val="18"/>
          <w:color w:val="auto"/>
        </w:rPr>
      </w:pPr>
    </w:p>
    <w:p>
      <w:pPr>
        <w:ind w:right="140" w:firstLine="8"/>
        <w:spacing w:after="0" w:line="277" w:lineRule="auto"/>
        <w:tabs>
          <w:tab w:leader="none" w:pos="64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 can afford a complete loss of the value of the Shares and am able to bear the economic risk of holding such Shares for an indefinite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type w:val="continuous"/>
        </w:sectPr>
      </w:pPr>
    </w:p>
    <w:bookmarkStart w:id="451" w:name="page452"/>
    <w:bookmarkEnd w:id="451"/>
    <w:p>
      <w:pPr>
        <w:ind w:firstLine="8"/>
        <w:spacing w:after="0" w:line="255" w:lineRule="auto"/>
        <w:tabs>
          <w:tab w:leader="none" w:pos="64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NONSTATUTORY STOCK OPTION AGREEMENT</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GRANTED UNDER 2016 STOCK INCENTIVE PLAN</w:t>
      </w:r>
    </w:p>
    <w:p>
      <w:pPr>
        <w:spacing w:after="0" w:line="211" w:lineRule="exact"/>
        <w:rPr>
          <w:sz w:val="20"/>
          <w:szCs w:val="20"/>
          <w:color w:val="auto"/>
        </w:rPr>
      </w:pPr>
    </w:p>
    <w:p>
      <w:pPr>
        <w:ind w:left="660" w:hanging="652"/>
        <w:spacing w:after="0"/>
        <w:tabs>
          <w:tab w:leader="none" w:pos="66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Nonstatutory Stock Option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evidences the grant by Fulcrum Therapeutics, Inc., a Delaware corporation (the</w:t>
      </w:r>
    </w:p>
    <w:p>
      <w:pPr>
        <w:spacing w:after="0" w:line="39" w:lineRule="exact"/>
        <w:rPr>
          <w:sz w:val="20"/>
          <w:szCs w:val="20"/>
          <w:color w:val="auto"/>
        </w:rPr>
      </w:pPr>
    </w:p>
    <w:p>
      <w:pPr>
        <w:spacing w:after="0"/>
        <w:tabs>
          <w:tab w:leader="none" w:pos="1820" w:val="left"/>
          <w:tab w:leader="none" w:pos="45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on [</w:t>
      </w:r>
      <w:r>
        <w:rPr>
          <w:sz w:val="20"/>
          <w:szCs w:val="20"/>
          <w:color w:val="auto"/>
        </w:rPr>
        <w:tab/>
      </w:r>
      <w:r>
        <w:rPr>
          <w:rFonts w:ascii="Arial" w:cs="Arial" w:eastAsia="Arial" w:hAnsi="Arial"/>
          <w:sz w:val="18"/>
          <w:szCs w:val="18"/>
          <w:color w:val="auto"/>
        </w:rPr>
        <w:t>, 20 ] (the “</w:t>
      </w:r>
      <w:r>
        <w:rPr>
          <w:rFonts w:ascii="Arial" w:cs="Arial" w:eastAsia="Arial" w:hAnsi="Arial"/>
          <w:sz w:val="18"/>
          <w:szCs w:val="18"/>
          <w:b w:val="1"/>
          <w:bCs w:val="1"/>
          <w:color w:val="auto"/>
        </w:rPr>
        <w:t>Grant Date</w:t>
      </w:r>
      <w:r>
        <w:rPr>
          <w:rFonts w:ascii="Arial" w:cs="Arial" w:eastAsia="Arial" w:hAnsi="Arial"/>
          <w:sz w:val="18"/>
          <w:szCs w:val="18"/>
          <w:color w:val="auto"/>
        </w:rPr>
        <w:t>”) to [</w:t>
      </w:r>
      <w:r>
        <w:rPr>
          <w:sz w:val="20"/>
          <w:szCs w:val="20"/>
          <w:color w:val="auto"/>
        </w:rPr>
        <w:tab/>
      </w:r>
      <w:r>
        <w:rPr>
          <w:rFonts w:ascii="Arial" w:cs="Arial" w:eastAsia="Arial" w:hAnsi="Arial"/>
          <w:sz w:val="16"/>
          <w:szCs w:val="16"/>
          <w:color w:val="auto"/>
        </w:rPr>
        <w:t>], an employee, consultant or director of the Company (the “</w:t>
      </w:r>
      <w:r>
        <w:rPr>
          <w:rFonts w:ascii="Arial" w:cs="Arial" w:eastAsia="Arial" w:hAnsi="Arial"/>
          <w:sz w:val="16"/>
          <w:szCs w:val="16"/>
          <w:b w:val="1"/>
          <w:bCs w:val="1"/>
          <w:color w:val="auto"/>
        </w:rPr>
        <w:t>Participant</w:t>
      </w:r>
      <w:r>
        <w:rPr>
          <w:rFonts w:ascii="Arial" w:cs="Arial" w:eastAsia="Arial" w:hAnsi="Arial"/>
          <w:sz w:val="16"/>
          <w:szCs w:val="16"/>
          <w:color w:val="auto"/>
        </w:rPr>
        <w:t>”), of an option to</w:t>
      </w:r>
    </w:p>
    <w:p>
      <w:pPr>
        <w:spacing w:after="0" w:line="9" w:lineRule="exact"/>
        <w:rPr>
          <w:sz w:val="20"/>
          <w:szCs w:val="20"/>
          <w:color w:val="auto"/>
        </w:rPr>
      </w:pPr>
    </w:p>
    <w:p>
      <w:pPr>
        <w:spacing w:after="0"/>
        <w:tabs>
          <w:tab w:leader="none" w:pos="10040" w:val="left"/>
        </w:tabs>
        <w:rPr>
          <w:sz w:val="20"/>
          <w:szCs w:val="20"/>
          <w:color w:val="auto"/>
        </w:rPr>
      </w:pPr>
      <w:r>
        <w:rPr>
          <w:rFonts w:ascii="Arial" w:cs="Arial" w:eastAsia="Arial" w:hAnsi="Arial"/>
          <w:sz w:val="18"/>
          <w:szCs w:val="18"/>
          <w:color w:val="auto"/>
        </w:rPr>
        <w:t>purchase, in whole or in part, on the terms provided herein and in the Company’s 2016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 total of [</w:t>
      </w:r>
      <w:r>
        <w:rPr>
          <w:sz w:val="20"/>
          <w:szCs w:val="20"/>
          <w:color w:val="auto"/>
        </w:rPr>
        <w:tab/>
      </w:r>
      <w:r>
        <w:rPr>
          <w:rFonts w:ascii="Arial" w:cs="Arial" w:eastAsia="Arial" w:hAnsi="Arial"/>
          <w:sz w:val="15"/>
          <w:szCs w:val="15"/>
          <w:color w:val="auto"/>
        </w:rPr>
        <w:t>] shares (the</w:t>
      </w:r>
    </w:p>
    <w:p>
      <w:pPr>
        <w:spacing w:after="0" w:line="9"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of common stock, $0.0001 par value per share, of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at $[</w:t>
      </w:r>
      <w:r>
        <w:rPr>
          <w:sz w:val="20"/>
          <w:szCs w:val="20"/>
          <w:color w:val="auto"/>
        </w:rPr>
        <w:tab/>
      </w:r>
      <w:r>
        <w:rPr>
          <w:rFonts w:ascii="Arial" w:cs="Arial" w:eastAsia="Arial" w:hAnsi="Arial"/>
          <w:sz w:val="16"/>
          <w:szCs w:val="16"/>
          <w:color w:val="auto"/>
        </w:rPr>
        <w:t>] per Share. Unless earlier terminated, this option</w:t>
      </w:r>
    </w:p>
    <w:p>
      <w:pPr>
        <w:spacing w:after="0" w:line="9"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shall expire at 5:00 p.m., Eastern time, on [</w:t>
      </w:r>
      <w:r>
        <w:rPr>
          <w:sz w:val="20"/>
          <w:szCs w:val="20"/>
          <w:color w:val="auto"/>
        </w:rPr>
        <w:tab/>
      </w:r>
      <w:r>
        <w:rPr>
          <w:rFonts w:ascii="Arial" w:cs="Arial" w:eastAsia="Arial" w:hAnsi="Arial"/>
          <w:sz w:val="16"/>
          <w:szCs w:val="16"/>
          <w:color w:val="auto"/>
        </w:rPr>
        <w:t>, 20 ] [date is ten years minus one day from grant date] (the “</w:t>
      </w:r>
      <w:r>
        <w:rPr>
          <w:rFonts w:ascii="Arial" w:cs="Arial" w:eastAsia="Arial" w:hAnsi="Arial"/>
          <w:sz w:val="16"/>
          <w:szCs w:val="16"/>
          <w:b w:val="1"/>
          <w:bCs w:val="1"/>
          <w:color w:val="auto"/>
        </w:rPr>
        <w:t>Final Exercise Date</w:t>
      </w:r>
      <w:r>
        <w:rPr>
          <w:rFonts w:ascii="Arial" w:cs="Arial" w:eastAsia="Arial" w:hAnsi="Arial"/>
          <w:sz w:val="16"/>
          <w:szCs w:val="16"/>
          <w:color w:val="auto"/>
        </w:rPr>
        <w:t>”).</w:t>
      </w:r>
    </w:p>
    <w:p>
      <w:pPr>
        <w:spacing w:after="0" w:line="21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It is intended that the option evidenced by this Agreement shall not be an incentive stock option as defined in Section 422 of the Internal Revenue Code of 1986, as amended, and any regulations promulgated thereunder (the “</w:t>
      </w:r>
      <w:r>
        <w:rPr>
          <w:rFonts w:ascii="Arial" w:cs="Arial" w:eastAsia="Arial" w:hAnsi="Arial"/>
          <w:sz w:val="17"/>
          <w:szCs w:val="17"/>
          <w:b w:val="1"/>
          <w:bCs w:val="1"/>
          <w:color w:val="auto"/>
        </w:rPr>
        <w:t>Code</w:t>
      </w:r>
      <w:r>
        <w:rPr>
          <w:rFonts w:ascii="Arial" w:cs="Arial" w:eastAsia="Arial" w:hAnsi="Arial"/>
          <w:sz w:val="17"/>
          <w:szCs w:val="17"/>
          <w:color w:val="auto"/>
        </w:rPr>
        <w:t>”). Except as otherwise indicated by the context, the term “</w:t>
      </w:r>
      <w:r>
        <w:rPr>
          <w:rFonts w:ascii="Arial" w:cs="Arial" w:eastAsia="Arial" w:hAnsi="Arial"/>
          <w:sz w:val="17"/>
          <w:szCs w:val="17"/>
          <w:b w:val="1"/>
          <w:bCs w:val="1"/>
          <w:color w:val="auto"/>
        </w:rPr>
        <w:t>Participant</w:t>
      </w:r>
      <w:r>
        <w:rPr>
          <w:rFonts w:ascii="Arial" w:cs="Arial" w:eastAsia="Arial" w:hAnsi="Arial"/>
          <w:sz w:val="17"/>
          <w:szCs w:val="17"/>
          <w:color w:val="auto"/>
        </w:rPr>
        <w:t>”, as used in this option, shall be deemed to include any person who acquires the right to exercise this option validly under its terms.</w:t>
      </w:r>
    </w:p>
    <w:p>
      <w:pPr>
        <w:spacing w:after="0" w:line="166"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5020" w:val="left"/>
        </w:tabs>
        <w:rPr>
          <w:sz w:val="20"/>
          <w:szCs w:val="20"/>
          <w:color w:val="auto"/>
        </w:rPr>
      </w:pPr>
      <w:r>
        <w:rPr>
          <w:rFonts w:ascii="Arial" w:cs="Arial" w:eastAsia="Arial" w:hAnsi="Arial"/>
          <w:sz w:val="18"/>
          <w:szCs w:val="18"/>
          <w:color w:val="auto"/>
        </w:rPr>
        <w:t>This option will become exercisable (“</w:t>
      </w:r>
      <w:r>
        <w:rPr>
          <w:rFonts w:ascii="Arial" w:cs="Arial" w:eastAsia="Arial" w:hAnsi="Arial"/>
          <w:sz w:val="18"/>
          <w:szCs w:val="18"/>
          <w:b w:val="1"/>
          <w:bCs w:val="1"/>
          <w:color w:val="auto"/>
        </w:rPr>
        <w:t>vest</w:t>
      </w:r>
      <w:r>
        <w:rPr>
          <w:rFonts w:ascii="Arial" w:cs="Arial" w:eastAsia="Arial" w:hAnsi="Arial"/>
          <w:sz w:val="18"/>
          <w:szCs w:val="18"/>
          <w:color w:val="auto"/>
        </w:rPr>
        <w:t>”) as to [</w:t>
      </w:r>
      <w:r>
        <w:rPr>
          <w:sz w:val="20"/>
          <w:szCs w:val="20"/>
          <w:color w:val="auto"/>
        </w:rPr>
        <w:tab/>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Vesting Commencement Date</w:t>
      </w:r>
      <w:r>
        <w:rPr>
          <w:rFonts w:ascii="Arial" w:cs="Arial" w:eastAsia="Arial" w:hAnsi="Arial"/>
          <w:sz w:val="16"/>
          <w:szCs w:val="16"/>
          <w:color w:val="auto"/>
        </w:rPr>
        <w:t>” shall mean</w:t>
      </w:r>
    </w:p>
    <w:p>
      <w:pPr>
        <w:spacing w:after="0" w:line="27" w:lineRule="exact"/>
        <w:rPr>
          <w:sz w:val="20"/>
          <w:szCs w:val="20"/>
          <w:color w:val="auto"/>
        </w:rPr>
      </w:pPr>
    </w:p>
    <w:p>
      <w:pPr>
        <w:ind w:left="880" w:hanging="872"/>
        <w:spacing w:after="0"/>
        <w:tabs>
          <w:tab w:leader="none" w:pos="8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81"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656"/>
        <w:spacing w:after="0" w:line="259" w:lineRule="auto"/>
        <w:tabs>
          <w:tab w:leader="none" w:pos="1294"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Form of Exercise</w:t>
      </w:r>
      <w:r>
        <w:rPr>
          <w:rFonts w:ascii="Arial" w:cs="Arial" w:eastAsia="Arial" w:hAnsi="Arial"/>
          <w:sz w:val="18"/>
          <w:szCs w:val="18"/>
          <w:color w:val="auto"/>
        </w:rPr>
        <w:t xml:space="preserve">. Each election to exercise this option shall be accompanied by a completed Notice of Stock Option Exercise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spacing w:after="0" w:line="186" w:lineRule="exact"/>
        <w:rPr>
          <w:rFonts w:ascii="Arial" w:cs="Arial" w:eastAsia="Arial" w:hAnsi="Arial"/>
          <w:sz w:val="18"/>
          <w:szCs w:val="18"/>
          <w:color w:val="auto"/>
        </w:rPr>
      </w:pPr>
    </w:p>
    <w:p>
      <w:pPr>
        <w:ind w:right="340" w:firstLine="656"/>
        <w:spacing w:after="0" w:line="264" w:lineRule="auto"/>
        <w:tabs>
          <w:tab w:leader="none" w:pos="1304"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other entity the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color w:val="auto"/>
        </w:rPr>
        <w:t>officers, directors, consultants, or advisors of which are eligible to receive option grants under the Plan (an “</w:t>
      </w:r>
      <w:r>
        <w:rPr>
          <w:rFonts w:ascii="Arial" w:cs="Arial" w:eastAsia="Arial" w:hAnsi="Arial"/>
          <w:sz w:val="18"/>
          <w:szCs w:val="18"/>
          <w:b w:val="1"/>
          <w:bCs w:val="1"/>
          <w:color w:val="auto"/>
        </w:rPr>
        <w:t>Eligible Participant</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55" w:lineRule="auto"/>
        <w:tabs>
          <w:tab w:leader="none" w:pos="1307"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with the Company</w:t>
      </w:r>
      <w:r>
        <w:rPr>
          <w:rFonts w:ascii="Arial" w:cs="Arial" w:eastAsia="Arial" w:hAnsi="Arial"/>
          <w:sz w:val="18"/>
          <w:szCs w:val="18"/>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93" w:lineRule="exact"/>
        <w:rPr>
          <w:rFonts w:ascii="Arial" w:cs="Arial" w:eastAsia="Arial" w:hAnsi="Arial"/>
          <w:sz w:val="18"/>
          <w:szCs w:val="18"/>
          <w:color w:val="auto"/>
        </w:rPr>
      </w:pPr>
    </w:p>
    <w:p>
      <w:pPr>
        <w:ind w:right="40" w:firstLine="656"/>
        <w:spacing w:after="0" w:line="255" w:lineRule="auto"/>
        <w:tabs>
          <w:tab w:leader="none" w:pos="1304"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Exercise Period Upon Death or Disability</w:t>
      </w:r>
      <w:r>
        <w:rPr>
          <w:rFonts w:ascii="Arial" w:cs="Arial" w:eastAsia="Arial" w:hAnsi="Arial"/>
          <w:sz w:val="18"/>
          <w:szCs w:val="18"/>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93" w:lineRule="exact"/>
        <w:rPr>
          <w:rFonts w:ascii="Arial" w:cs="Arial" w:eastAsia="Arial" w:hAnsi="Arial"/>
          <w:sz w:val="18"/>
          <w:szCs w:val="18"/>
          <w:color w:val="auto"/>
        </w:rPr>
      </w:pPr>
    </w:p>
    <w:p>
      <w:pPr>
        <w:jc w:val="both"/>
        <w:ind w:right="40" w:firstLine="656"/>
        <w:spacing w:after="0" w:line="284" w:lineRule="auto"/>
        <w:tabs>
          <w:tab w:leader="none" w:pos="1307" w:val="left"/>
        </w:tabs>
        <w:numPr>
          <w:ilvl w:val="1"/>
          <w:numId w:val="308"/>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employment or other termination is subsequent to the date of the delivery of such notice, the right to exercise this option shall be suspended from the time of the delivery of such notice until the earlier of (i) such time as it is determined or otherwise agreed that the Participant’s employment or other relationship shall not be terminated for Cause as provided in such notice or</w:t>
      </w:r>
    </w:p>
    <w:p>
      <w:pPr>
        <w:spacing w:after="0" w:line="4" w:lineRule="exact"/>
        <w:rPr>
          <w:rFonts w:ascii="Arial" w:cs="Arial" w:eastAsia="Arial" w:hAnsi="Arial"/>
          <w:sz w:val="16"/>
          <w:szCs w:val="16"/>
          <w:color w:val="auto"/>
        </w:rPr>
      </w:pPr>
    </w:p>
    <w:p>
      <w:pPr>
        <w:ind w:right="80" w:firstLine="8"/>
        <w:spacing w:after="0" w:line="287" w:lineRule="auto"/>
        <w:tabs>
          <w:tab w:leader="none" w:pos="26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effective date of such termination of employment or other relationship (in which case the right to exercise this option shall, pursuant to the preceding sentence,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resignation, that termination for Cause was warranted.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54" w:name="page455"/>
    <w:bookmarkEnd w:id="454"/>
    <w:p>
      <w:pPr>
        <w:ind w:left="652" w:hanging="652"/>
        <w:spacing w:after="0"/>
        <w:tabs>
          <w:tab w:leader="none" w:pos="652"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Company Right of First Refusal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656"/>
        <w:spacing w:after="0" w:line="302" w:lineRule="auto"/>
        <w:tabs>
          <w:tab w:leader="none" w:pos="1286"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If the Participant proposes to sell, assign, transfer, pledge, hypothecate or otherwise dispose of, by operation of law or otherwise (collectively, “transfer”) any Shares acquired upon exercise of this option, then the Participant shall first give written notice of the proposed transfer (the “</w:t>
      </w:r>
      <w:r>
        <w:rPr>
          <w:rFonts w:ascii="Arial" w:cs="Arial" w:eastAsia="Arial" w:hAnsi="Arial"/>
          <w:sz w:val="16"/>
          <w:szCs w:val="16"/>
          <w:b w:val="1"/>
          <w:bCs w:val="1"/>
          <w:color w:val="auto"/>
        </w:rPr>
        <w:t>Transfer Notice</w:t>
      </w:r>
      <w:r>
        <w:rPr>
          <w:rFonts w:ascii="Arial" w:cs="Arial" w:eastAsia="Arial" w:hAnsi="Arial"/>
          <w:sz w:val="16"/>
          <w:szCs w:val="16"/>
          <w:color w:val="auto"/>
        </w:rPr>
        <w:t>”) to the Company. The Transfer Notice shall name the proposed transferee and state the number of such Shares the Participant proposes to transfer (the “</w:t>
      </w:r>
      <w:r>
        <w:rPr>
          <w:rFonts w:ascii="Arial" w:cs="Arial" w:eastAsia="Arial" w:hAnsi="Arial"/>
          <w:sz w:val="16"/>
          <w:szCs w:val="16"/>
          <w:b w:val="1"/>
          <w:bCs w:val="1"/>
          <w:color w:val="auto"/>
        </w:rPr>
        <w:t>Offered Shares</w:t>
      </w:r>
      <w:r>
        <w:rPr>
          <w:rFonts w:ascii="Arial" w:cs="Arial" w:eastAsia="Arial" w:hAnsi="Arial"/>
          <w:sz w:val="16"/>
          <w:szCs w:val="16"/>
          <w:color w:val="auto"/>
        </w:rPr>
        <w:t>”), the price per share and all other material terms and conditions of the transfer.</w:t>
      </w:r>
    </w:p>
    <w:p>
      <w:pPr>
        <w:spacing w:after="0" w:line="154" w:lineRule="exact"/>
        <w:rPr>
          <w:rFonts w:ascii="Arial" w:cs="Arial" w:eastAsia="Arial" w:hAnsi="Arial"/>
          <w:sz w:val="16"/>
          <w:szCs w:val="16"/>
          <w:color w:val="auto"/>
        </w:rPr>
      </w:pPr>
    </w:p>
    <w:p>
      <w:pPr>
        <w:ind w:left="-8" w:firstLine="656"/>
        <w:spacing w:after="0" w:line="289" w:lineRule="auto"/>
        <w:tabs>
          <w:tab w:leader="none" w:pos="1296"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Company Right to Purchase</w:t>
      </w:r>
      <w:r>
        <w:rPr>
          <w:rFonts w:ascii="Arial" w:cs="Arial" w:eastAsia="Arial" w:hAnsi="Arial"/>
          <w:sz w:val="16"/>
          <w:szCs w:val="16"/>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delay in making such payment shall not invalidate the Company’s exercise of its option to purchase the Offered Shares.</w:t>
      </w:r>
    </w:p>
    <w:p>
      <w:pPr>
        <w:spacing w:after="0" w:line="166" w:lineRule="exact"/>
        <w:rPr>
          <w:rFonts w:ascii="Arial" w:cs="Arial" w:eastAsia="Arial" w:hAnsi="Arial"/>
          <w:sz w:val="16"/>
          <w:szCs w:val="16"/>
          <w:color w:val="auto"/>
        </w:rPr>
      </w:pPr>
    </w:p>
    <w:p>
      <w:pPr>
        <w:ind w:left="-8" w:right="20" w:firstLine="656"/>
        <w:spacing w:after="0" w:line="273" w:lineRule="auto"/>
        <w:tabs>
          <w:tab w:leader="none" w:pos="1299" w:val="left"/>
        </w:tabs>
        <w:numPr>
          <w:ilvl w:val="1"/>
          <w:numId w:val="310"/>
        </w:numPr>
        <w:rPr>
          <w:rFonts w:ascii="Arial" w:cs="Arial" w:eastAsia="Arial" w:hAnsi="Arial"/>
          <w:sz w:val="17"/>
          <w:szCs w:val="17"/>
          <w:color w:val="auto"/>
        </w:rPr>
      </w:pPr>
      <w:r>
        <w:rPr>
          <w:rFonts w:ascii="Arial" w:cs="Arial" w:eastAsia="Arial" w:hAnsi="Arial"/>
          <w:sz w:val="17"/>
          <w:szCs w:val="17"/>
          <w:u w:val="single" w:color="auto"/>
          <w:color w:val="auto"/>
        </w:rPr>
        <w:t>Shares Not Purchased By Company</w:t>
      </w:r>
      <w:r>
        <w:rPr>
          <w:rFonts w:ascii="Arial" w:cs="Arial" w:eastAsia="Arial" w:hAnsi="Arial"/>
          <w:sz w:val="17"/>
          <w:szCs w:val="17"/>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78" w:lineRule="exact"/>
        <w:rPr>
          <w:rFonts w:ascii="Arial" w:cs="Arial" w:eastAsia="Arial" w:hAnsi="Arial"/>
          <w:sz w:val="17"/>
          <w:szCs w:val="17"/>
          <w:color w:val="auto"/>
        </w:rPr>
      </w:pPr>
    </w:p>
    <w:p>
      <w:pPr>
        <w:ind w:left="-8" w:right="100" w:firstLine="656"/>
        <w:spacing w:after="0" w:line="259" w:lineRule="auto"/>
        <w:tabs>
          <w:tab w:leader="none" w:pos="1296"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Consequences of Non-Delivery</w:t>
      </w:r>
      <w:r>
        <w:rPr>
          <w:rFonts w:ascii="Arial" w:cs="Arial" w:eastAsia="Arial" w:hAnsi="Arial"/>
          <w:sz w:val="18"/>
          <w:szCs w:val="18"/>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86" w:lineRule="exact"/>
        <w:rPr>
          <w:rFonts w:ascii="Arial" w:cs="Arial" w:eastAsia="Arial" w:hAnsi="Arial"/>
          <w:sz w:val="18"/>
          <w:szCs w:val="18"/>
          <w:color w:val="auto"/>
        </w:rPr>
      </w:pPr>
    </w:p>
    <w:p>
      <w:pPr>
        <w:ind w:left="1312" w:hanging="664"/>
        <w:spacing w:after="0"/>
        <w:tabs>
          <w:tab w:leader="none" w:pos="1312"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Exempt Transactions</w:t>
      </w:r>
      <w:r>
        <w:rPr>
          <w:rFonts w:ascii="Arial" w:cs="Arial" w:eastAsia="Arial" w:hAnsi="Arial"/>
          <w:sz w:val="18"/>
          <w:szCs w:val="18"/>
          <w:color w:val="auto"/>
        </w:rPr>
        <w:t>. The following transactions shall be exempt from the provisions of this Section 4:</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455" w:name="page456"/>
    <w:bookmarkEnd w:id="455"/>
    <w:p>
      <w:pPr>
        <w:ind w:left="1960" w:hanging="655"/>
        <w:spacing w:after="0"/>
        <w:tabs>
          <w:tab w:leader="none" w:pos="19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any transfer of Shares to or for the benefit of any spouse, child or grandchild of the Participant, or to a trust for their benefit;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any transfer pursuant to an effective registration statement filed by the Company under the Securities Act of 1933, as amended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of the Company (including pursuant to a merger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consolidation);</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transfer pursuant to clause (1) above, such Shares shall remain subject to the right of first refusal set forth in this Section 4.</w:t>
      </w:r>
    </w:p>
    <w:p>
      <w:pPr>
        <w:spacing w:after="0" w:line="170" w:lineRule="exact"/>
        <w:rPr>
          <w:sz w:val="20"/>
          <w:szCs w:val="20"/>
          <w:color w:val="auto"/>
        </w:rPr>
      </w:pPr>
    </w:p>
    <w:p>
      <w:pPr>
        <w:ind w:right="380" w:firstLine="656"/>
        <w:spacing w:after="0" w:line="277" w:lineRule="auto"/>
        <w:tabs>
          <w:tab w:leader="none" w:pos="1301"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Assignment of Company Right</w:t>
      </w:r>
      <w:r>
        <w:rPr>
          <w:rFonts w:ascii="Arial" w:cs="Arial" w:eastAsia="Arial" w:hAnsi="Arial"/>
          <w:sz w:val="18"/>
          <w:szCs w:val="18"/>
          <w:color w:val="auto"/>
        </w:rPr>
        <w:t>. The Company may assign its rights to purchase Offered Shares in any particular transaction under this Section 4 to one or more persons or entities.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provisions of this Section 4 shall terminate upon the earlier of the following events:</w:t>
      </w:r>
    </w:p>
    <w:p>
      <w:pPr>
        <w:spacing w:after="0" w:line="225" w:lineRule="exact"/>
        <w:rPr>
          <w:rFonts w:ascii="Arial" w:cs="Arial" w:eastAsia="Arial" w:hAnsi="Arial"/>
          <w:sz w:val="18"/>
          <w:szCs w:val="18"/>
          <w:color w:val="auto"/>
        </w:rPr>
      </w:pPr>
    </w:p>
    <w:p>
      <w:pPr>
        <w:ind w:right="20" w:firstLine="1305"/>
        <w:spacing w:after="0" w:line="277" w:lineRule="auto"/>
        <w:tabs>
          <w:tab w:leader="none" w:pos="1952"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closing of the sale of shares of Common Stock in an underwritten public offering pursuant to an effective registration statement filed by the Company under the Securities Act; or</w:t>
      </w:r>
    </w:p>
    <w:p>
      <w:pPr>
        <w:spacing w:after="0" w:line="170" w:lineRule="exact"/>
        <w:rPr>
          <w:rFonts w:ascii="Arial" w:cs="Arial" w:eastAsia="Arial" w:hAnsi="Arial"/>
          <w:sz w:val="18"/>
          <w:szCs w:val="18"/>
          <w:color w:val="auto"/>
        </w:rPr>
      </w:pPr>
    </w:p>
    <w:p>
      <w:pPr>
        <w:ind w:firstLine="1305"/>
        <w:spacing w:after="0" w:line="257" w:lineRule="auto"/>
        <w:tabs>
          <w:tab w:leader="none" w:pos="1952"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75% (determined on an as-converted basis) of the outstanding securities entitled to vote generally in the election of directors of the resulting, surviving or acquiring corporation in such transaction).</w:t>
      </w:r>
    </w:p>
    <w:p>
      <w:pPr>
        <w:spacing w:after="0" w:line="188" w:lineRule="exact"/>
        <w:rPr>
          <w:rFonts w:ascii="Arial" w:cs="Arial" w:eastAsia="Arial" w:hAnsi="Arial"/>
          <w:sz w:val="18"/>
          <w:szCs w:val="18"/>
          <w:color w:val="auto"/>
        </w:rPr>
      </w:pPr>
    </w:p>
    <w:p>
      <w:pPr>
        <w:jc w:val="both"/>
        <w:ind w:right="100" w:firstLine="656"/>
        <w:spacing w:after="0" w:line="264" w:lineRule="auto"/>
        <w:tabs>
          <w:tab w:leader="none" w:pos="1304"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No Obligation to Recognize Invalid Transfer</w:t>
      </w:r>
      <w:r>
        <w:rPr>
          <w:rFonts w:ascii="Arial" w:cs="Arial" w:eastAsia="Arial" w:hAnsi="Arial"/>
          <w:sz w:val="18"/>
          <w:szCs w:val="18"/>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181" w:lineRule="exact"/>
        <w:rPr>
          <w:rFonts w:ascii="Arial" w:cs="Arial" w:eastAsia="Arial" w:hAnsi="Arial"/>
          <w:sz w:val="18"/>
          <w:szCs w:val="18"/>
          <w:color w:val="auto"/>
        </w:rPr>
      </w:pPr>
    </w:p>
    <w:p>
      <w:pPr>
        <w:ind w:right="60" w:firstLine="656"/>
        <w:spacing w:after="0" w:line="308" w:lineRule="auto"/>
        <w:tabs>
          <w:tab w:leader="none" w:pos="1318"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147"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in favor of the Company, as provided in a certain stock option agreement with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6" w:name="page457"/>
    <w:bookmarkEnd w:id="456"/>
    <w:p>
      <w:pPr>
        <w:ind w:left="660" w:hanging="652"/>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Agreement in Connection with Initial Public Offering</w:t>
      </w:r>
      <w:r>
        <w:rPr>
          <w:rFonts w:ascii="Arial" w:cs="Arial" w:eastAsia="Arial" w:hAnsi="Arial"/>
          <w:sz w:val="18"/>
          <w:szCs w:val="18"/>
          <w:color w:val="auto"/>
        </w:rPr>
        <w:t>.</w:t>
      </w:r>
    </w:p>
    <w:p>
      <w:pPr>
        <w:spacing w:after="0" w:line="225" w:lineRule="exact"/>
        <w:rPr>
          <w:sz w:val="20"/>
          <w:szCs w:val="20"/>
          <w:color w:val="auto"/>
        </w:rPr>
      </w:pPr>
    </w:p>
    <w:p>
      <w:pPr>
        <w:ind w:firstLine="654"/>
        <w:spacing w:after="0" w:line="269" w:lineRule="auto"/>
        <w:rPr>
          <w:sz w:val="20"/>
          <w:szCs w:val="20"/>
          <w:color w:val="auto"/>
        </w:rPr>
      </w:pPr>
      <w:r>
        <w:rPr>
          <w:rFonts w:ascii="Arial" w:cs="Arial" w:eastAsia="Arial" w:hAnsi="Arial"/>
          <w:sz w:val="17"/>
          <w:szCs w:val="17"/>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83"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47" w:lineRule="exact"/>
        <w:rPr>
          <w:sz w:val="20"/>
          <w:szCs w:val="20"/>
          <w:color w:val="auto"/>
        </w:rPr>
      </w:pPr>
    </w:p>
    <w:p>
      <w:pPr>
        <w:ind w:left="660" w:hanging="652"/>
        <w:spacing w:after="0"/>
        <w:tabs>
          <w:tab w:leader="none" w:pos="66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firstLine="656"/>
        <w:spacing w:after="0" w:line="342" w:lineRule="auto"/>
        <w:tabs>
          <w:tab w:leader="none" w:pos="1294" w:val="left"/>
        </w:tabs>
        <w:numPr>
          <w:ilvl w:val="1"/>
          <w:numId w:val="315"/>
        </w:numPr>
        <w:rPr>
          <w:rFonts w:ascii="Arial" w:cs="Arial" w:eastAsia="Arial" w:hAnsi="Arial"/>
          <w:sz w:val="16"/>
          <w:szCs w:val="16"/>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23" w:lineRule="exact"/>
        <w:rPr>
          <w:rFonts w:ascii="Arial" w:cs="Arial" w:eastAsia="Arial" w:hAnsi="Arial"/>
          <w:sz w:val="16"/>
          <w:szCs w:val="16"/>
          <w:color w:val="auto"/>
        </w:rPr>
      </w:pPr>
    </w:p>
    <w:p>
      <w:pPr>
        <w:ind w:right="180" w:firstLine="656"/>
        <w:spacing w:after="0" w:line="257" w:lineRule="auto"/>
        <w:tabs>
          <w:tab w:leader="none" w:pos="130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7" w:name="page458"/>
    <w:bookmarkEnd w:id="457"/>
    <w:p>
      <w:pPr>
        <w:ind w:left="660" w:hanging="652"/>
        <w:spacing w:after="0"/>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458" w:name="page459"/>
    <w:bookmarkEnd w:id="458"/>
    <w:p>
      <w:pPr>
        <w:ind w:right="200" w:firstLine="654"/>
        <w:spacing w:after="0" w:line="264" w:lineRule="auto"/>
        <w:rPr>
          <w:sz w:val="20"/>
          <w:szCs w:val="20"/>
          <w:color w:val="auto"/>
        </w:rPr>
      </w:pPr>
      <w:r>
        <w:rPr>
          <w:rFonts w:ascii="Arial" w:cs="Arial" w:eastAsia="Arial" w:hAnsi="Arial"/>
          <w:sz w:val="18"/>
          <w:szCs w:val="18"/>
          <w:color w:val="auto"/>
        </w:rPr>
        <w:t>IN WITNESS WHEREOF, the parties hereto have executed this Agreement as of the day and year first above written. The Participant hereby accepts the foregoing option and agrees to the terms and conditions thereof. The Participant hereby acknowledges receipt of a copy of the Company’s 2016 Stock Incentive Plan.</w:t>
      </w:r>
    </w:p>
    <w:p>
      <w:pPr>
        <w:spacing w:after="0" w:line="3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5715</wp:posOffset>
            </wp:positionV>
            <wp:extent cx="283845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-130810</wp:posOffset>
            </wp:positionV>
            <wp:extent cx="283845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23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r>
      <w:tr>
        <w:trPr>
          <w:trHeight w:val="397"/>
        </w:trPr>
        <w:tc>
          <w:tcPr>
            <w:tcW w:w="122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2360" w:type="dxa"/>
            <w:vAlign w:val="bottom"/>
          </w:tcPr>
          <w:p>
            <w:pPr>
              <w:jc w:val="right"/>
              <w:ind w:right="2210"/>
              <w:spacing w:after="0"/>
              <w:rPr>
                <w:sz w:val="20"/>
                <w:szCs w:val="20"/>
                <w:color w:val="auto"/>
              </w:rPr>
            </w:pPr>
            <w:r>
              <w:rPr>
                <w:rFonts w:ascii="Arial" w:cs="Arial" w:eastAsia="Arial" w:hAnsi="Arial"/>
                <w:sz w:val="18"/>
                <w:szCs w:val="18"/>
                <w:color w:val="auto"/>
                <w:w w:val="78"/>
              </w:rPr>
              <w:t>[</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jc w:val="right"/>
              <w:ind w:right="2210"/>
              <w:spacing w:after="0"/>
              <w:rPr>
                <w:sz w:val="20"/>
                <w:szCs w:val="20"/>
                <w:color w:val="auto"/>
              </w:rPr>
            </w:pPr>
            <w:r>
              <w:rPr>
                <w:rFonts w:ascii="Arial" w:cs="Arial" w:eastAsia="Arial" w:hAnsi="Arial"/>
                <w:sz w:val="18"/>
                <w:szCs w:val="18"/>
                <w:color w:val="auto"/>
                <w:w w:val="78"/>
              </w:rPr>
              <w:t>[</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648"/>
        </w:trPr>
        <w:tc>
          <w:tcPr>
            <w:tcW w:w="35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SPOUSAL CONSENT: </w:t>
            </w:r>
            <w:r>
              <w:rPr>
                <w:rFonts w:ascii="Arial" w:cs="Arial" w:eastAsia="Arial" w:hAnsi="Arial"/>
                <w:sz w:val="18"/>
                <w:szCs w:val="18"/>
                <w:color w:val="auto"/>
              </w:rPr>
              <w:t>(1)</w:t>
            </w:r>
          </w:p>
        </w:tc>
        <w:tc>
          <w:tcPr>
            <w:tcW w:w="2120" w:type="dxa"/>
            <w:vAlign w:val="bottom"/>
          </w:tcPr>
          <w:p>
            <w:pPr>
              <w:spacing w:after="0"/>
              <w:rPr>
                <w:sz w:val="24"/>
                <w:szCs w:val="24"/>
                <w:color w:val="auto"/>
              </w:rPr>
            </w:pPr>
          </w:p>
        </w:tc>
      </w:tr>
      <w:tr>
        <w:trPr>
          <w:trHeight w:val="648"/>
        </w:trPr>
        <w:tc>
          <w:tcPr>
            <w:tcW w:w="1220" w:type="dxa"/>
            <w:vAlign w:val="bottom"/>
            <w:gridSpan w:val="3"/>
          </w:tcPr>
          <w:p>
            <w:pPr>
              <w:spacing w:after="0"/>
              <w:rPr>
                <w:sz w:val="20"/>
                <w:szCs w:val="20"/>
                <w:color w:val="auto"/>
              </w:rPr>
            </w:pPr>
            <w:r>
              <w:rPr>
                <w:rFonts w:ascii="Arial" w:cs="Arial" w:eastAsia="Arial" w:hAnsi="Arial"/>
                <w:sz w:val="18"/>
                <w:szCs w:val="18"/>
                <w:color w:val="auto"/>
              </w:rPr>
              <w:t>By:</w:t>
            </w:r>
          </w:p>
        </w:tc>
        <w:tc>
          <w:tcPr>
            <w:tcW w:w="23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36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r>
      <w:tr>
        <w:trPr>
          <w:trHeight w:val="398"/>
        </w:trPr>
        <w:tc>
          <w:tcPr>
            <w:tcW w:w="122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2360" w:type="dxa"/>
            <w:vAlign w:val="bottom"/>
          </w:tcPr>
          <w:p>
            <w:pPr>
              <w:jc w:val="right"/>
              <w:ind w:right="2210"/>
              <w:spacing w:after="0"/>
              <w:rPr>
                <w:sz w:val="20"/>
                <w:szCs w:val="20"/>
                <w:color w:val="auto"/>
              </w:rPr>
            </w:pPr>
            <w:r>
              <w:rPr>
                <w:rFonts w:ascii="Arial" w:cs="Arial" w:eastAsia="Arial" w:hAnsi="Arial"/>
                <w:sz w:val="18"/>
                <w:szCs w:val="18"/>
                <w:color w:val="auto"/>
                <w:w w:val="78"/>
              </w:rPr>
              <w:t>[</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jc w:val="right"/>
              <w:ind w:right="2210"/>
              <w:spacing w:after="0"/>
              <w:rPr>
                <w:sz w:val="20"/>
                <w:szCs w:val="20"/>
                <w:color w:val="auto"/>
              </w:rPr>
            </w:pPr>
            <w:r>
              <w:rPr>
                <w:rFonts w:ascii="Arial" w:cs="Arial" w:eastAsia="Arial" w:hAnsi="Arial"/>
                <w:sz w:val="18"/>
                <w:szCs w:val="18"/>
                <w:color w:val="auto"/>
                <w:w w:val="78"/>
              </w:rPr>
              <w:t>[</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40" w:firstLine="8"/>
        <w:spacing w:after="0" w:line="259" w:lineRule="auto"/>
        <w:tabs>
          <w:tab w:leader="none" w:pos="3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If the Participant resides in a community property state, it is desirable to have the Participant’s spouse also accept the option. The following are community property states: Arizona, California, Idaho, Louisiana, Nevada, New Mexico, Texas, and Washington. Although Wisconsin is not formally a community property state, it has laws governing the division of marital property similar to community property states and it may be desirable to have a Wisconsin Participant’s spouse accept the option.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NONSTATUTORY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9" w:name="page460"/>
    <w:bookmarkEnd w:id="459"/>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STOCK OPTION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100" w:firstLine="138"/>
        <w:spacing w:after="0" w:line="282" w:lineRule="auto"/>
        <w:rPr>
          <w:sz w:val="20"/>
          <w:szCs w:val="20"/>
          <w:color w:val="auto"/>
        </w:rPr>
      </w:pPr>
      <w:r>
        <w:rPr>
          <w:rFonts w:ascii="Arial" w:cs="Arial" w:eastAsia="Arial" w:hAnsi="Arial"/>
          <w:sz w:val="18"/>
          <w:szCs w:val="18"/>
          <w:color w:val="auto"/>
        </w:rPr>
        <w:t>I am the holder of a Nonstatutory Stock Option granted to me under the Fulcrum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2016 Stock Incentive Plan on ](2) for the purchase of [ ](3) shares of Common Stock of the Company at a purchase price of $[ ](4) per share.</w:t>
      </w:r>
    </w:p>
    <w:p>
      <w:pPr>
        <w:spacing w:after="0" w:line="162" w:lineRule="exact"/>
        <w:rPr>
          <w:sz w:val="20"/>
          <w:szCs w:val="20"/>
          <w:color w:val="auto"/>
        </w:rPr>
      </w:pPr>
    </w:p>
    <w:p>
      <w:pPr>
        <w:sectPr>
          <w:pgSz w:w="11900" w:h="16838" w:orient="portrait"/>
          <w:cols w:equalWidth="0" w:num="2">
            <w:col w:w="60" w:space="460"/>
            <w:col w:w="10880"/>
          </w:cols>
          <w:pgMar w:left="240" w:top="337" w:right="259" w:bottom="1440" w:gutter="0" w:footer="0" w:header="0"/>
          <w:type w:val="continuous"/>
        </w:sectPr>
      </w:pPr>
    </w:p>
    <w:p>
      <w:pPr>
        <w:ind w:left="660"/>
        <w:spacing w:after="0"/>
        <w:tabs>
          <w:tab w:leader="none" w:pos="4020" w:val="left"/>
        </w:tabs>
        <w:rPr>
          <w:sz w:val="20"/>
          <w:szCs w:val="20"/>
          <w:color w:val="auto"/>
        </w:rPr>
      </w:pPr>
      <w:r>
        <w:rPr>
          <w:rFonts w:ascii="Arial" w:cs="Arial" w:eastAsia="Arial" w:hAnsi="Arial"/>
          <w:sz w:val="18"/>
          <w:szCs w:val="18"/>
          <w:color w:val="auto"/>
        </w:rPr>
        <w:t>I hereby exercise my option to purchase [</w:t>
      </w:r>
      <w:r>
        <w:rPr>
          <w:sz w:val="20"/>
          <w:szCs w:val="20"/>
          <w:color w:val="auto"/>
        </w:rPr>
        <w:tab/>
      </w:r>
      <w:r>
        <w:rPr>
          <w:rFonts w:ascii="Arial" w:cs="Arial" w:eastAsia="Arial" w:hAnsi="Arial"/>
          <w:sz w:val="16"/>
          <w:szCs w:val="16"/>
          <w:color w:val="auto"/>
        </w:rPr>
        <w:t>](5)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 for which I have enclosed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 in the amount of</w:t>
      </w:r>
    </w:p>
    <w:p>
      <w:pPr>
        <w:spacing w:after="0" w:line="45" w:lineRule="exact"/>
        <w:rPr>
          <w:sz w:val="20"/>
          <w:szCs w:val="20"/>
          <w:color w:val="auto"/>
        </w:rPr>
      </w:pPr>
    </w:p>
    <w:p>
      <w:pPr>
        <w:sectPr>
          <w:pgSz w:w="11900" w:h="16838" w:orient="portrait"/>
          <w:cols w:equalWidth="0" w:num="2">
            <w:col w:w="9340" w:space="440"/>
            <w:col w:w="1620"/>
          </w:cols>
          <w:pgMar w:left="240" w:top="337" w:right="259" w:bottom="1440" w:gutter="0" w:footer="0" w:header="0"/>
          <w:type w:val="continuous"/>
        </w:sectPr>
      </w:pPr>
    </w:p>
    <w:p>
      <w:pPr>
        <w:ind w:left="420" w:hanging="412"/>
        <w:spacing w:after="0"/>
        <w:tabs>
          <w:tab w:leader="none" w:pos="4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](7). Please register my stock certificate as follows:</w:t>
      </w:r>
    </w:p>
    <w:p>
      <w:pPr>
        <w:spacing w:after="0" w:line="211" w:lineRule="exact"/>
        <w:rPr>
          <w:sz w:val="20"/>
          <w:szCs w:val="20"/>
          <w:color w:val="auto"/>
        </w:rPr>
      </w:pPr>
    </w:p>
    <w:p>
      <w:pPr>
        <w:ind w:left="1140"/>
        <w:spacing w:after="0"/>
        <w:tabs>
          <w:tab w:leader="none" w:pos="5280" w:val="left"/>
        </w:tabs>
        <w:rPr>
          <w:sz w:val="20"/>
          <w:szCs w:val="20"/>
          <w:color w:val="auto"/>
        </w:rPr>
      </w:pPr>
      <w:r>
        <w:rPr>
          <w:rFonts w:ascii="Arial" w:cs="Arial" w:eastAsia="Arial" w:hAnsi="Arial"/>
          <w:sz w:val="18"/>
          <w:szCs w:val="18"/>
          <w:color w:val="auto"/>
        </w:rPr>
        <w:t>Name(s):</w:t>
      </w:r>
      <w:r>
        <w:rPr>
          <w:sz w:val="20"/>
          <w:szCs w:val="20"/>
          <w:color w:val="auto"/>
        </w:rPr>
        <w:tab/>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160655</wp:posOffset>
            </wp:positionV>
            <wp:extent cx="234124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wp:posOffset>
            </wp:positionV>
            <wp:extent cx="234124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160655</wp:posOffset>
            </wp:positionV>
            <wp:extent cx="234124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wp:posOffset>
            </wp:positionV>
            <wp:extent cx="234124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182689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Enter date of exercise.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Enter the date of grant.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Enter the total number of shares of Common Stock for which the option was granted.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Enter the option exercise price per share of Common Stock.</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Enter the number of shares of Common Stock to be purchased upon exercise of all or part of the option.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Enter “cash”, “personal check” or if permitted by the option or Plan, “stock certificates No. XXXX and XXXX”.</w:t>
      </w:r>
    </w:p>
    <w:p>
      <w:pPr>
        <w:spacing w:after="0" w:line="9" w:lineRule="exact"/>
        <w:rPr>
          <w:rFonts w:ascii="Arial" w:cs="Arial" w:eastAsia="Arial" w:hAnsi="Arial"/>
          <w:sz w:val="18"/>
          <w:szCs w:val="18"/>
          <w:color w:val="auto"/>
        </w:rPr>
      </w:pPr>
    </w:p>
    <w:p>
      <w:pPr>
        <w:ind w:right="120" w:firstLine="8"/>
        <w:spacing w:after="0" w:line="281" w:lineRule="auto"/>
        <w:tabs>
          <w:tab w:leader="none" w:pos="655" w:val="left"/>
        </w:tabs>
        <w:numPr>
          <w:ilvl w:val="0"/>
          <w:numId w:val="319"/>
        </w:numPr>
        <w:rPr>
          <w:rFonts w:ascii="Arial" w:cs="Arial" w:eastAsia="Arial" w:hAnsi="Arial"/>
          <w:sz w:val="16"/>
          <w:szCs w:val="16"/>
          <w:color w:val="auto"/>
        </w:rPr>
      </w:pPr>
      <w:r>
        <w:rPr>
          <w:rFonts w:ascii="Arial" w:cs="Arial" w:eastAsia="Arial" w:hAnsi="Arial"/>
          <w:sz w:val="16"/>
          <w:szCs w:val="16"/>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spacing w:after="0" w:line="1" w:lineRule="exact"/>
        <w:rPr>
          <w:rFonts w:ascii="Arial" w:cs="Arial" w:eastAsia="Arial" w:hAnsi="Arial"/>
          <w:sz w:val="16"/>
          <w:szCs w:val="16"/>
          <w:color w:val="auto"/>
        </w:rPr>
      </w:pPr>
    </w:p>
    <w:p>
      <w:pPr>
        <w:jc w:val="both"/>
        <w:ind w:firstLine="8"/>
        <w:spacing w:after="0" w:line="277" w:lineRule="auto"/>
        <w:tabs>
          <w:tab w:leader="none" w:pos="65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Enter name(s) to appear on stock certificate in one of the following formats: (a) your name only (i.e., John Doe); (b) your name and other name (i.e., John Doe and Jane Doe, Joint Tenants with Right to Survivorship); or for Nonstatutory Stock Options only, (c) a child’s name, with you as custodian (i.e. Jane Doe, Custodian for Tommy Doe). Note: There may be income and/or gift tax consequences for registering shares in a child’s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460" w:name="page461"/>
    <w:bookmarkEnd w:id="460"/>
    <w:p>
      <w:pPr>
        <w:ind w:left="660"/>
        <w:spacing w:after="0"/>
        <w:rPr>
          <w:sz w:val="20"/>
          <w:szCs w:val="20"/>
          <w:color w:val="auto"/>
        </w:rPr>
      </w:pPr>
      <w:r>
        <w:rPr>
          <w:rFonts w:ascii="Arial" w:cs="Arial" w:eastAsia="Arial" w:hAnsi="Arial"/>
          <w:sz w:val="18"/>
          <w:szCs w:val="18"/>
          <w:color w:val="auto"/>
        </w:rPr>
        <w:t>I represent, warrant and covenant as follows:</w:t>
      </w:r>
    </w:p>
    <w:p>
      <w:pPr>
        <w:spacing w:after="0" w:line="225" w:lineRule="exact"/>
        <w:rPr>
          <w:sz w:val="20"/>
          <w:szCs w:val="20"/>
          <w:color w:val="auto"/>
        </w:rPr>
      </w:pPr>
    </w:p>
    <w:p>
      <w:pPr>
        <w:ind w:right="280" w:firstLine="8"/>
        <w:spacing w:after="0" w:line="277" w:lineRule="auto"/>
        <w:tabs>
          <w:tab w:leader="none" w:pos="6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am purchasing the Shares for my own account for investment only, and not with a view to, or for sale in connection with, any distribution of the Shares in violation of the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 or any rule or regulation under the Securities Act.</w:t>
      </w:r>
    </w:p>
    <w:p>
      <w:pPr>
        <w:spacing w:after="0" w:line="170" w:lineRule="exact"/>
        <w:rPr>
          <w:rFonts w:ascii="Arial" w:cs="Arial" w:eastAsia="Arial" w:hAnsi="Arial"/>
          <w:sz w:val="18"/>
          <w:szCs w:val="18"/>
          <w:color w:val="auto"/>
        </w:rPr>
      </w:pPr>
    </w:p>
    <w:p>
      <w:pPr>
        <w:ind w:right="20" w:firstLine="8"/>
        <w:spacing w:after="0" w:line="277" w:lineRule="auto"/>
        <w:tabs>
          <w:tab w:leader="none" w:pos="6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have had such opportunity as I have deemed adequate to obtain from representatives of the Company such information as is necessary to permit me to evaluate the merits and risks of my investment in the Company.</w:t>
      </w:r>
    </w:p>
    <w:p>
      <w:pPr>
        <w:spacing w:after="0" w:line="170" w:lineRule="exact"/>
        <w:rPr>
          <w:rFonts w:ascii="Arial" w:cs="Arial" w:eastAsia="Arial" w:hAnsi="Arial"/>
          <w:sz w:val="18"/>
          <w:szCs w:val="18"/>
          <w:color w:val="auto"/>
        </w:rPr>
      </w:pPr>
    </w:p>
    <w:p>
      <w:pPr>
        <w:ind w:right="160" w:firstLine="8"/>
        <w:spacing w:after="0" w:line="277" w:lineRule="auto"/>
        <w:tabs>
          <w:tab w:leader="none" w:pos="6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I can afford a complete loss of the value of the Shares and am able to bear the economic risk of holding such Shares for an indefinite period.</w:t>
      </w:r>
    </w:p>
    <w:p>
      <w:pPr>
        <w:spacing w:after="0" w:line="236" w:lineRule="exact"/>
        <w:rPr>
          <w:rFonts w:ascii="Arial" w:cs="Arial" w:eastAsia="Arial" w:hAnsi="Arial"/>
          <w:sz w:val="17"/>
          <w:szCs w:val="17"/>
          <w:color w:val="auto"/>
        </w:rPr>
      </w:pPr>
    </w:p>
    <w:p>
      <w:pPr>
        <w:ind w:firstLine="8"/>
        <w:spacing w:after="0" w:line="255" w:lineRule="auto"/>
        <w:tabs>
          <w:tab w:leader="none" w:pos="6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1" w:name="page462"/>
    <w:bookmarkEnd w:id="461"/>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GRANTED UNDER 2016 STOCK INCENTIVE PLAN</w:t>
      </w:r>
    </w:p>
    <w:p>
      <w:pPr>
        <w:sectPr>
          <w:pgSz w:w="11900" w:h="16838" w:orient="portrait"/>
          <w:cols w:equalWidth="0" w:num="1">
            <w:col w:w="11420"/>
          </w:cols>
          <w:pgMar w:left="240" w:top="364" w:right="239" w:bottom="1440" w:gutter="0" w:footer="0" w:header="0"/>
        </w:sect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Restricted Stock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this [</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day of [</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2016, between Fulcrum Therapeutics, Inc., a Delaware</w:t>
      </w:r>
    </w:p>
    <w:p>
      <w:pPr>
        <w:spacing w:after="0" w:line="46" w:lineRule="exact"/>
        <w:rPr>
          <w:sz w:val="20"/>
          <w:szCs w:val="20"/>
          <w:color w:val="auto"/>
        </w:rPr>
      </w:pPr>
    </w:p>
    <w:p>
      <w:pPr>
        <w:sectPr>
          <w:pgSz w:w="11900" w:h="16838" w:orient="portrait"/>
          <w:cols w:equalWidth="0" w:num="3">
            <w:col w:w="5500" w:space="180"/>
            <w:col w:w="660" w:space="580"/>
            <w:col w:w="4500"/>
          </w:cols>
          <w:pgMar w:left="240" w:top="364" w:right="239" w:bottom="1440" w:gutter="0" w:footer="0" w:header="0"/>
          <w:type w:val="continuous"/>
        </w:sectPr>
      </w:pPr>
    </w:p>
    <w:p>
      <w:pPr>
        <w:spacing w:after="0"/>
        <w:tabs>
          <w:tab w:leader="none" w:pos="3640" w:val="left"/>
        </w:tabs>
        <w:rPr>
          <w:sz w:val="20"/>
          <w:szCs w:val="20"/>
          <w:color w:val="auto"/>
        </w:rPr>
      </w:pPr>
      <w:r>
        <w:rPr>
          <w:rFonts w:ascii="Arial" w:cs="Arial" w:eastAsia="Arial" w:hAnsi="Arial"/>
          <w:sz w:val="18"/>
          <w:szCs w:val="18"/>
          <w:color w:val="auto"/>
        </w:rPr>
        <w:t>corporation (the “Company”), and [</w:t>
      </w:r>
      <w:r>
        <w:rPr>
          <w:sz w:val="20"/>
          <w:szCs w:val="20"/>
          <w:color w:val="auto"/>
        </w:rPr>
        <w:tab/>
      </w:r>
      <w:r>
        <w:rPr>
          <w:rFonts w:ascii="Arial" w:cs="Arial" w:eastAsia="Arial" w:hAnsi="Arial"/>
          <w:sz w:val="17"/>
          <w:szCs w:val="17"/>
          <w:color w:val="auto"/>
        </w:rPr>
        <w:t>] (the “</w:t>
      </w:r>
      <w:r>
        <w:rPr>
          <w:rFonts w:ascii="Arial" w:cs="Arial" w:eastAsia="Arial" w:hAnsi="Arial"/>
          <w:sz w:val="17"/>
          <w:szCs w:val="17"/>
          <w:b w:val="1"/>
          <w:bCs w:val="1"/>
          <w:color w:val="auto"/>
        </w:rPr>
        <w:t>Participant</w:t>
      </w:r>
      <w:r>
        <w:rPr>
          <w:rFonts w:ascii="Arial" w:cs="Arial" w:eastAsia="Arial" w:hAnsi="Arial"/>
          <w:sz w:val="17"/>
          <w:szCs w:val="17"/>
          <w:color w:val="auto"/>
        </w:rPr>
        <w:t>”).</w:t>
      </w:r>
    </w:p>
    <w:p>
      <w:pPr>
        <w:sectPr>
          <w:pgSz w:w="11900" w:h="16838" w:orient="portrait"/>
          <w:cols w:equalWidth="0" w:num="1">
            <w:col w:w="11420"/>
          </w:cols>
          <w:pgMar w:left="240" w:top="364" w:right="239" w:bottom="1440" w:gutter="0" w:footer="0" w:header="0"/>
          <w:type w:val="continuous"/>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valuable consideration, receipt of which is acknowledged, the parties hereto agree as follows:</w:t>
      </w:r>
    </w:p>
    <w:p>
      <w:pPr>
        <w:spacing w:after="0" w:line="225" w:lineRule="exact"/>
        <w:rPr>
          <w:sz w:val="20"/>
          <w:szCs w:val="20"/>
          <w:color w:val="auto"/>
        </w:rPr>
      </w:pPr>
    </w:p>
    <w:p>
      <w:pPr>
        <w:ind w:left="1300" w:hanging="644"/>
        <w:spacing w:after="0"/>
        <w:tabs>
          <w:tab w:leader="none" w:pos="130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shall issue and sell to the Participant, and the Participant shall purchase from the Company, subject to the terms and conditions set forth in this Agreement and in the Company’s 2016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 ] shares (the “</w:t>
      </w:r>
      <w:r>
        <w:rPr>
          <w:rFonts w:ascii="Arial" w:cs="Arial" w:eastAsia="Arial" w:hAnsi="Arial"/>
          <w:sz w:val="18"/>
          <w:szCs w:val="18"/>
          <w:b w:val="1"/>
          <w:bCs w:val="1"/>
          <w:color w:val="auto"/>
        </w:rPr>
        <w:t>Shares</w:t>
      </w:r>
      <w:r>
        <w:rPr>
          <w:rFonts w:ascii="Arial" w:cs="Arial" w:eastAsia="Arial" w:hAnsi="Arial"/>
          <w:sz w:val="18"/>
          <w:szCs w:val="18"/>
          <w:color w:val="auto"/>
        </w:rPr>
        <w:t>”) of common stock, $0.001 par value, of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at a purchase price of [$ ] per share. The aggregate purchase price for the Shares shall be paid by the Participant by check payable to the order of the Company or such other method as may be acceptable to the Company. Upon receipt by the Company of payment for the Shares, the Company shall issue to the Participant one or more certificates in the name of the Participant for that number of Shares purchased by the Participant. The Participant agrees that the Shares shall be subject to the purchase options set forth in Sections 3 and 6 of this Agreement and the restrictions on transfer set forth in Section 5 of this Agreement.</w:t>
      </w:r>
    </w:p>
    <w:p>
      <w:pPr>
        <w:spacing w:after="0" w:line="189" w:lineRule="exact"/>
        <w:rPr>
          <w:sz w:val="20"/>
          <w:szCs w:val="20"/>
          <w:color w:val="auto"/>
        </w:rPr>
      </w:pPr>
    </w:p>
    <w:p>
      <w:pPr>
        <w:ind w:left="1300" w:hanging="644"/>
        <w:spacing w:after="0"/>
        <w:tabs>
          <w:tab w:leader="none" w:pos="130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firstLine="1305"/>
        <w:spacing w:after="0" w:line="258" w:lineRule="auto"/>
        <w:tabs>
          <w:tab w:leader="none" w:pos="194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w:t>
      </w:r>
    </w:p>
    <w:p>
      <w:pPr>
        <w:spacing w:after="0" w:line="183" w:lineRule="exact"/>
        <w:rPr>
          <w:rFonts w:ascii="Arial" w:cs="Arial" w:eastAsia="Arial" w:hAnsi="Arial"/>
          <w:sz w:val="18"/>
          <w:szCs w:val="18"/>
          <w:color w:val="auto"/>
        </w:rPr>
      </w:pPr>
    </w:p>
    <w:p>
      <w:pPr>
        <w:ind w:right="180" w:firstLine="1305"/>
        <w:spacing w:after="0" w:line="282" w:lineRule="auto"/>
        <w:tabs>
          <w:tab w:leader="none" w:pos="195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shall mean employment by or the provision of services to the Company or a parent or subsidiary thereof as an advisor, officer, consultant or member of the Board of Directors.</w:t>
      </w:r>
    </w:p>
    <w:p>
      <w:pPr>
        <w:spacing w:after="0" w:line="162" w:lineRule="exact"/>
        <w:rPr>
          <w:sz w:val="20"/>
          <w:szCs w:val="20"/>
          <w:color w:val="auto"/>
        </w:rPr>
      </w:pPr>
    </w:p>
    <w:p>
      <w:pPr>
        <w:ind w:left="1300"/>
        <w:spacing w:after="0"/>
        <w:tabs>
          <w:tab w:leader="none" w:pos="1940" w:val="left"/>
          <w:tab w:leader="none" w:pos="60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shall mean [</w:t>
      </w:r>
      <w:r>
        <w:rPr>
          <w:sz w:val="20"/>
          <w:szCs w:val="20"/>
          <w:color w:val="auto"/>
        </w:rPr>
        <w:tab/>
      </w:r>
      <w:r>
        <w:rPr>
          <w:rFonts w:ascii="Arial" w:cs="Arial" w:eastAsia="Arial" w:hAnsi="Arial"/>
          <w:sz w:val="17"/>
          <w:szCs w:val="17"/>
          <w:color w:val="auto"/>
        </w:rPr>
        <w:t>].</w:t>
      </w:r>
    </w:p>
    <w:p>
      <w:pPr>
        <w:spacing w:after="0" w:line="229" w:lineRule="exact"/>
        <w:rPr>
          <w:sz w:val="20"/>
          <w:szCs w:val="20"/>
          <w:color w:val="auto"/>
        </w:rPr>
      </w:pPr>
    </w:p>
    <w:p>
      <w:pPr>
        <w:ind w:left="1300" w:hanging="644"/>
        <w:spacing w:after="0"/>
        <w:tabs>
          <w:tab w:leader="none" w:pos="130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Purchase Option</w:t>
      </w:r>
      <w:r>
        <w:rPr>
          <w:rFonts w:ascii="Arial" w:cs="Arial" w:eastAsia="Arial" w:hAnsi="Arial"/>
          <w:sz w:val="18"/>
          <w:szCs w:val="18"/>
          <w:color w:val="auto"/>
        </w:rPr>
        <w:t>.</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(a) In the event that the Participant ceases to provide Service for any reason or no reason, with or without Cause, prior to the [ ] anniversary of the Vesting Commencement Date, the Company shall have the right and option (the “</w:t>
      </w:r>
      <w:r>
        <w:rPr>
          <w:rFonts w:ascii="Arial" w:cs="Arial" w:eastAsia="Arial" w:hAnsi="Arial"/>
          <w:sz w:val="18"/>
          <w:szCs w:val="18"/>
          <w:b w:val="1"/>
          <w:bCs w:val="1"/>
          <w:color w:val="auto"/>
        </w:rPr>
        <w:t>Purchase Option</w:t>
      </w: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462" w:name="page463"/>
    <w:bookmarkEnd w:id="462"/>
    <w:p>
      <w:pPr>
        <w:spacing w:after="0"/>
        <w:tabs>
          <w:tab w:leader="none" w:pos="3540" w:val="left"/>
        </w:tabs>
        <w:rPr>
          <w:sz w:val="20"/>
          <w:szCs w:val="20"/>
          <w:color w:val="auto"/>
        </w:rPr>
      </w:pPr>
      <w:r>
        <w:rPr>
          <w:rFonts w:ascii="Arial" w:cs="Arial" w:eastAsia="Arial" w:hAnsi="Arial"/>
          <w:sz w:val="18"/>
          <w:szCs w:val="18"/>
          <w:color w:val="auto"/>
        </w:rPr>
        <w:t>purchase from the Participant, for a sum of $[</w:t>
      </w:r>
      <w:r>
        <w:rPr>
          <w:sz w:val="20"/>
          <w:szCs w:val="20"/>
          <w:color w:val="auto"/>
        </w:rPr>
        <w:tab/>
      </w:r>
      <w:r>
        <w:rPr>
          <w:rFonts w:ascii="Arial" w:cs="Arial" w:eastAsia="Arial" w:hAnsi="Arial"/>
          <w:sz w:val="16"/>
          <w:szCs w:val="16"/>
          <w:color w:val="auto"/>
        </w:rPr>
        <w:t>] per share (the “</w:t>
      </w:r>
      <w:r>
        <w:rPr>
          <w:rFonts w:ascii="Arial" w:cs="Arial" w:eastAsia="Arial" w:hAnsi="Arial"/>
          <w:sz w:val="16"/>
          <w:szCs w:val="16"/>
          <w:b w:val="1"/>
          <w:bCs w:val="1"/>
          <w:color w:val="auto"/>
        </w:rPr>
        <w:t>Option Price</w:t>
      </w:r>
      <w:r>
        <w:rPr>
          <w:rFonts w:ascii="Arial" w:cs="Arial" w:eastAsia="Arial" w:hAnsi="Arial"/>
          <w:sz w:val="16"/>
          <w:szCs w:val="16"/>
          <w:color w:val="auto"/>
        </w:rPr>
        <w:t>”), some or all of the Shares as set forth herein.</w:t>
      </w:r>
    </w:p>
    <w:p>
      <w:pPr>
        <w:spacing w:after="0" w:line="229" w:lineRule="exact"/>
        <w:rPr>
          <w:sz w:val="20"/>
          <w:szCs w:val="20"/>
          <w:color w:val="auto"/>
        </w:rPr>
      </w:pPr>
    </w:p>
    <w:p>
      <w:pPr>
        <w:ind w:left="1960" w:hanging="655"/>
        <w:spacing w:after="0"/>
        <w:tabs>
          <w:tab w:leader="none" w:pos="196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All of the Shares shall initially be subject to the Purchase Option. The Participant shall acquire a vested interest in, and the</w:t>
      </w:r>
    </w:p>
    <w:p>
      <w:pPr>
        <w:spacing w:after="0" w:line="35"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Company’s Purchase Option shall accordingly lapse with respect to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left="1300" w:hanging="644"/>
        <w:spacing w:after="0"/>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Exercise of Purchase Option and Closing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9" w:lineRule="auto"/>
        <w:tabs>
          <w:tab w:leader="none" w:pos="1942"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Company may exercise the Purchase Option by delivering or mailing to the Participant (or the Participant’s estate), within 180 days after the termination of the Service of the Participant, a written notice of exercise of the Purchase Option. Such notice shall specify the number of Shares to be purchased. If and to the extent the Purchase Option is not so exercised by the giving of such a notice within such 180-day period, the Purchase Option shall automatically expire and terminate effective upon the expiration of such 180-day period.</w:t>
      </w:r>
    </w:p>
    <w:p>
      <w:pPr>
        <w:spacing w:after="0" w:line="186" w:lineRule="exact"/>
        <w:rPr>
          <w:rFonts w:ascii="Arial" w:cs="Arial" w:eastAsia="Arial" w:hAnsi="Arial"/>
          <w:sz w:val="18"/>
          <w:szCs w:val="18"/>
          <w:color w:val="auto"/>
        </w:rPr>
      </w:pPr>
    </w:p>
    <w:p>
      <w:pPr>
        <w:ind w:right="40" w:firstLine="1305"/>
        <w:spacing w:after="0" w:line="255" w:lineRule="auto"/>
        <w:tabs>
          <w:tab w:leader="none" w:pos="1952"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Within ten (10) days after delivery to the Participant of the Company’s notice of the exercise of the Purchase Option pursuant to subsection (a) above, the Participant (or the Participant’s estate) shall, pursuant to the provisions of the Joint Escrow Instructions referred to in Section 8 below, tender to the Company at its principal offices the certificate or certificates representing the Shares that the Company has elected to purchase in accordance with the terms of this Agreement, duly endorsed in blank or with duly endorsed stock powers attached thereto, all in form suitable for the transfer of such Shares to the Company. Promptly following its receipt of such certificate or certificates, the Company shall pay to the Participant the aggregate Option Price for such Shares (provided that any delay in making such payment shall not invalidate the Company’s exercise of the Purchase Option with respect to such Shares).</w:t>
      </w:r>
    </w:p>
    <w:p>
      <w:pPr>
        <w:spacing w:after="0" w:line="189" w:lineRule="exact"/>
        <w:rPr>
          <w:rFonts w:ascii="Arial" w:cs="Arial" w:eastAsia="Arial" w:hAnsi="Arial"/>
          <w:sz w:val="18"/>
          <w:szCs w:val="18"/>
          <w:color w:val="auto"/>
        </w:rPr>
      </w:pPr>
    </w:p>
    <w:p>
      <w:pPr>
        <w:ind w:right="300" w:firstLine="1305"/>
        <w:spacing w:after="0" w:line="312" w:lineRule="auto"/>
        <w:tabs>
          <w:tab w:leader="none" w:pos="1955" w:val="left"/>
        </w:tabs>
        <w:numPr>
          <w:ilvl w:val="1"/>
          <w:numId w:val="325"/>
        </w:numPr>
        <w:rPr>
          <w:rFonts w:ascii="Arial" w:cs="Arial" w:eastAsia="Arial" w:hAnsi="Arial"/>
          <w:sz w:val="16"/>
          <w:szCs w:val="16"/>
          <w:color w:val="auto"/>
        </w:rPr>
      </w:pPr>
      <w:r>
        <w:rPr>
          <w:rFonts w:ascii="Arial" w:cs="Arial" w:eastAsia="Arial" w:hAnsi="Arial"/>
          <w:sz w:val="16"/>
          <w:szCs w:val="16"/>
          <w:color w:val="auto"/>
        </w:rPr>
        <w:t>After the time at which any Shares are required to be delivered to the Company for transfer to the Company pursuant to subsection (b) above, the Company shall not pay any dividend to the Participant on account of such Shares or permit the Participant to exercise any of the privileges or rights of a stockholder with respect to such Shares, but shall, in so far as permitted by law, treat the Company as the owner of such Shares.</w:t>
      </w:r>
    </w:p>
    <w:p>
      <w:pPr>
        <w:spacing w:after="0" w:line="146" w:lineRule="exact"/>
        <w:rPr>
          <w:rFonts w:ascii="Arial" w:cs="Arial" w:eastAsia="Arial" w:hAnsi="Arial"/>
          <w:sz w:val="16"/>
          <w:szCs w:val="16"/>
          <w:color w:val="auto"/>
        </w:rPr>
      </w:pPr>
    </w:p>
    <w:p>
      <w:pPr>
        <w:ind w:right="20" w:firstLine="1305"/>
        <w:spacing w:after="0" w:line="277" w:lineRule="auto"/>
        <w:tabs>
          <w:tab w:leader="none" w:pos="1952"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Option Price may be payable, at the option of the Company, in cancellation of all or a portion of any outstanding indebtedness of the Participant to the Company or in cash (by check) or both.</w:t>
      </w:r>
    </w:p>
    <w:p>
      <w:pPr>
        <w:spacing w:after="0" w:line="170" w:lineRule="exact"/>
        <w:rPr>
          <w:rFonts w:ascii="Arial" w:cs="Arial" w:eastAsia="Arial" w:hAnsi="Arial"/>
          <w:sz w:val="18"/>
          <w:szCs w:val="18"/>
          <w:color w:val="auto"/>
        </w:rPr>
      </w:pPr>
    </w:p>
    <w:p>
      <w:pPr>
        <w:ind w:right="480" w:firstLine="1305"/>
        <w:spacing w:after="0" w:line="264" w:lineRule="auto"/>
        <w:tabs>
          <w:tab w:leader="none" w:pos="1955"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Company shall not purchase any fraction of a Share upon exercise of the Purchase Option, and any fraction of a Share resulting from a computation made pursuant to Section 3 of this Agreement shall be rounded to the nearest whole Share (with any one-half Share being rounded upward).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Company may assign its Purchase Option to one or more persons or entities.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63" w:name="page464"/>
    <w:bookmarkEnd w:id="463"/>
    <w:p>
      <w:pPr>
        <w:ind w:left="1260" w:hanging="644"/>
        <w:spacing w:after="0"/>
        <w:tabs>
          <w:tab w:leader="none" w:pos="126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5"/>
        <w:spacing w:after="0" w:line="270" w:lineRule="auto"/>
        <w:tabs>
          <w:tab w:leader="none" w:pos="1902"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Participant shall not sell, assign, transfer, pledge, hypothecate or otherwise dispose of, by operation of law or otherwise (collectively “</w:t>
      </w:r>
      <w:r>
        <w:rPr>
          <w:rFonts w:ascii="Arial" w:cs="Arial" w:eastAsia="Arial" w:hAnsi="Arial"/>
          <w:sz w:val="17"/>
          <w:szCs w:val="17"/>
          <w:b w:val="1"/>
          <w:bCs w:val="1"/>
          <w:color w:val="auto"/>
        </w:rPr>
        <w:t>transfer</w:t>
      </w:r>
      <w:r>
        <w:rPr>
          <w:rFonts w:ascii="Arial" w:cs="Arial" w:eastAsia="Arial" w:hAnsi="Arial"/>
          <w:sz w:val="17"/>
          <w:szCs w:val="17"/>
          <w:color w:val="auto"/>
        </w:rPr>
        <w:t>”) any Shares, or any interest therein, that are subject to the Purchase Option, except that the Participant may transfer such Shares (i) to or for the benefit of any spouse, children, parents, uncles, aunts, siblings, grandchildren and any other relatives approved by the Board of Directors (collectively, “</w:t>
      </w:r>
      <w:r>
        <w:rPr>
          <w:rFonts w:ascii="Arial" w:cs="Arial" w:eastAsia="Arial" w:hAnsi="Arial"/>
          <w:sz w:val="17"/>
          <w:szCs w:val="17"/>
          <w:b w:val="1"/>
          <w:bCs w:val="1"/>
          <w:color w:val="auto"/>
        </w:rPr>
        <w:t>Approved Relatives</w:t>
      </w:r>
      <w:r>
        <w:rPr>
          <w:rFonts w:ascii="Arial" w:cs="Arial" w:eastAsia="Arial" w:hAnsi="Arial"/>
          <w:sz w:val="17"/>
          <w:szCs w:val="17"/>
          <w:color w:val="auto"/>
        </w:rPr>
        <w:t xml:space="preserve">”) or to a trust established solely for the benefit of the Participant and/or Approved Relatives,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Shares shall remain subject to this Agreement (including without limitation the restrictions on transfer set forth in this Section 5, the Purchase Option and the right of first refusal set forth in Section 6) and such permitted transferee shall, as a condition to such transfer, deliver to the Company a written instrument confirming that such transferee shall be bound by all of the terms and conditions of this Agreement or (ii) as part of the sale of all or substantially all of the shares of capital stock of the Company (including pursuant to a merger or consolidation),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accordance with the Plan, the securities or other property received by the Participant in connection with such transaction shall remain subject to this Agreement.</w:t>
      </w:r>
    </w:p>
    <w:p>
      <w:pPr>
        <w:spacing w:after="0" w:line="181" w:lineRule="exact"/>
        <w:rPr>
          <w:rFonts w:ascii="Arial" w:cs="Arial" w:eastAsia="Arial" w:hAnsi="Arial"/>
          <w:sz w:val="17"/>
          <w:szCs w:val="17"/>
          <w:color w:val="auto"/>
        </w:rPr>
      </w:pPr>
    </w:p>
    <w:p>
      <w:pPr>
        <w:ind w:left="-40" w:right="220" w:firstLine="1305"/>
        <w:spacing w:after="0" w:line="277" w:lineRule="auto"/>
        <w:tabs>
          <w:tab w:leader="none" w:pos="1912"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Participant shall not transfer any Shares, or any interest therein, that are no longer subject to the Purchase Option, except in accordance with Section 6 below.</w:t>
      </w:r>
    </w:p>
    <w:p>
      <w:pPr>
        <w:spacing w:after="0" w:line="170" w:lineRule="exact"/>
        <w:rPr>
          <w:rFonts w:ascii="Arial" w:cs="Arial" w:eastAsia="Arial" w:hAnsi="Arial"/>
          <w:sz w:val="18"/>
          <w:szCs w:val="18"/>
          <w:color w:val="auto"/>
        </w:rPr>
      </w:pPr>
    </w:p>
    <w:p>
      <w:pPr>
        <w:ind w:left="1260" w:hanging="644"/>
        <w:spacing w:after="0"/>
        <w:tabs>
          <w:tab w:leader="none" w:pos="126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220" w:firstLine="1305"/>
        <w:spacing w:after="0" w:line="257" w:lineRule="auto"/>
        <w:tabs>
          <w:tab w:leader="none" w:pos="1902"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If the Participant proposes to transfer any Shares that are no longer subject to the Purchase Option (either because they are free from the Purchase Option pursuant to Section 3 or because the Purchase Option expired unexercised pursuant to Section 4), then the Participant shall first give written notice of the proposed transfer (the “</w:t>
      </w:r>
      <w:r>
        <w:rPr>
          <w:rFonts w:ascii="Arial" w:cs="Arial" w:eastAsia="Arial" w:hAnsi="Arial"/>
          <w:sz w:val="18"/>
          <w:szCs w:val="18"/>
          <w:b w:val="1"/>
          <w:bCs w:val="1"/>
          <w:color w:val="auto"/>
        </w:rPr>
        <w:t>Transfer Notice</w:t>
      </w:r>
      <w:r>
        <w:rPr>
          <w:rFonts w:ascii="Arial" w:cs="Arial" w:eastAsia="Arial" w:hAnsi="Arial"/>
          <w:sz w:val="18"/>
          <w:szCs w:val="18"/>
          <w:color w:val="auto"/>
        </w:rPr>
        <w:t>”) to the Company. The Transfer Notice shall name the proposed transferee and state the number of such Shares the Participant proposes to transfer (the “</w:t>
      </w:r>
      <w:r>
        <w:rPr>
          <w:rFonts w:ascii="Arial" w:cs="Arial" w:eastAsia="Arial" w:hAnsi="Arial"/>
          <w:sz w:val="18"/>
          <w:szCs w:val="18"/>
          <w:b w:val="1"/>
          <w:bCs w:val="1"/>
          <w:color w:val="auto"/>
        </w:rPr>
        <w:t>Offered Shares</w:t>
      </w:r>
      <w:r>
        <w:rPr>
          <w:rFonts w:ascii="Arial" w:cs="Arial" w:eastAsia="Arial" w:hAnsi="Arial"/>
          <w:sz w:val="18"/>
          <w:szCs w:val="18"/>
          <w:color w:val="auto"/>
        </w:rPr>
        <w:t>”), the price per share and all other material terms and conditions of the transfer.</w:t>
      </w:r>
    </w:p>
    <w:p>
      <w:pPr>
        <w:spacing w:after="0" w:line="188" w:lineRule="exact"/>
        <w:rPr>
          <w:rFonts w:ascii="Arial" w:cs="Arial" w:eastAsia="Arial" w:hAnsi="Arial"/>
          <w:sz w:val="18"/>
          <w:szCs w:val="18"/>
          <w:color w:val="auto"/>
        </w:rPr>
      </w:pPr>
    </w:p>
    <w:p>
      <w:pPr>
        <w:ind w:left="-40" w:right="60" w:firstLine="1305"/>
        <w:spacing w:after="0" w:line="270" w:lineRule="auto"/>
        <w:tabs>
          <w:tab w:leader="none" w:pos="1912" w:val="left"/>
        </w:tabs>
        <w:numPr>
          <w:ilvl w:val="1"/>
          <w:numId w:val="326"/>
        </w:numPr>
        <w:rPr>
          <w:rFonts w:ascii="Arial" w:cs="Arial" w:eastAsia="Arial" w:hAnsi="Arial"/>
          <w:sz w:val="17"/>
          <w:szCs w:val="17"/>
          <w:color w:val="auto"/>
        </w:rPr>
      </w:pPr>
      <w:r>
        <w:rPr>
          <w:rFonts w:ascii="Arial" w:cs="Arial" w:eastAsia="Arial" w:hAnsi="Arial"/>
          <w:sz w:val="17"/>
          <w:szCs w:val="17"/>
          <w:color w:val="auto"/>
        </w:rPr>
        <w:t xml:space="preserve">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the Participant’s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delay in making such payment shall not invalidate the Company’s exercise of its option to purchase the Offered Shares.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41" w:right="279" w:bottom="1440" w:gutter="0" w:footer="0" w:header="0"/>
        </w:sectPr>
      </w:pPr>
    </w:p>
    <w:bookmarkStart w:id="464" w:name="page465"/>
    <w:bookmarkEnd w:id="464"/>
    <w:p>
      <w:pPr>
        <w:ind w:right="60" w:firstLine="1305"/>
        <w:spacing w:after="0" w:line="255" w:lineRule="auto"/>
        <w:tabs>
          <w:tab w:leader="none" w:pos="195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transfer shall not be on terms and conditions more favorable to the transferee than those contained in the Transfer Notice. Notwithstanding any of the above, all Offered Shares transferred pursuant to this Section 6 shall remain subject to this Agreement (including without limitation the restrictions on transfer set forth in Section 5 and the right of first refusal set forth in this Section 6) and such transferee shall, as a condition to such transfer, deliver to the Company a written instrument confirming that such transferee shall be bound by all of the terms and conditions of this Agreement.</w:t>
      </w:r>
    </w:p>
    <w:p>
      <w:pPr>
        <w:spacing w:after="0" w:line="189" w:lineRule="exact"/>
        <w:rPr>
          <w:rFonts w:ascii="Arial" w:cs="Arial" w:eastAsia="Arial" w:hAnsi="Arial"/>
          <w:sz w:val="18"/>
          <w:szCs w:val="18"/>
          <w:color w:val="auto"/>
        </w:rPr>
      </w:pPr>
    </w:p>
    <w:p>
      <w:pPr>
        <w:ind w:firstLine="1305"/>
        <w:spacing w:after="0" w:line="259" w:lineRule="auto"/>
        <w:tabs>
          <w:tab w:leader="none" w:pos="195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following transactions shall be exempt from the provisions of this Section 6:</w:t>
      </w:r>
    </w:p>
    <w:p>
      <w:pPr>
        <w:spacing w:after="0" w:line="225" w:lineRule="exact"/>
        <w:rPr>
          <w:rFonts w:ascii="Arial" w:cs="Arial" w:eastAsia="Arial" w:hAnsi="Arial"/>
          <w:sz w:val="18"/>
          <w:szCs w:val="18"/>
          <w:color w:val="auto"/>
        </w:rPr>
      </w:pPr>
    </w:p>
    <w:p>
      <w:pPr>
        <w:ind w:right="240" w:firstLine="1953"/>
        <w:spacing w:after="0" w:line="277" w:lineRule="auto"/>
        <w:tabs>
          <w:tab w:leader="none" w:pos="26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transfer of Shares to or for the benefit of any Approved Relatives, or to a trust established solely for the benefit of the Participant and/or Approved Relatives;</w:t>
      </w:r>
    </w:p>
    <w:p>
      <w:pPr>
        <w:spacing w:after="0" w:line="170" w:lineRule="exact"/>
        <w:rPr>
          <w:rFonts w:ascii="Arial" w:cs="Arial" w:eastAsia="Arial" w:hAnsi="Arial"/>
          <w:sz w:val="18"/>
          <w:szCs w:val="18"/>
          <w:color w:val="auto"/>
        </w:rPr>
      </w:pPr>
    </w:p>
    <w:p>
      <w:pPr>
        <w:ind w:right="400" w:firstLine="1953"/>
        <w:spacing w:after="0" w:line="277" w:lineRule="auto"/>
        <w:tabs>
          <w:tab w:leader="none" w:pos="26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transfer pursuant to an effective registration statement filed by the Company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of the Company (including pursuant to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merger or consolidation);</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case of a transfer pursuant to clause (1) above, such Shares shall remain subject to this Agreement (including without limitation the restrictions on transfer set forth in Section 5 and the right of first refusal set forth in this Section 6) and such transferee shall, as a condition to such transfer, deliver to the Company a written instrument confirming that such transferee shall be bound by all of the terms and conditions of this Agreement.</w:t>
      </w:r>
    </w:p>
    <w:p>
      <w:pPr>
        <w:spacing w:after="0" w:line="147" w:lineRule="exact"/>
        <w:rPr>
          <w:sz w:val="20"/>
          <w:szCs w:val="20"/>
          <w:color w:val="auto"/>
        </w:rPr>
      </w:pPr>
    </w:p>
    <w:p>
      <w:pPr>
        <w:ind w:left="1960" w:hanging="655"/>
        <w:spacing w:after="0"/>
        <w:tabs>
          <w:tab w:leader="none" w:pos="196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Company may assign its rights to purchase Offered Shares in any particular transaction under this Section 6 to one or more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persons or entities.</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provisions of this Section 6 shall terminate upon the earlier of the following events:</w:t>
      </w:r>
    </w:p>
    <w:p>
      <w:pPr>
        <w:spacing w:after="0" w:line="225" w:lineRule="exact"/>
        <w:rPr>
          <w:rFonts w:ascii="Arial" w:cs="Arial" w:eastAsia="Arial" w:hAnsi="Arial"/>
          <w:sz w:val="18"/>
          <w:szCs w:val="18"/>
          <w:color w:val="auto"/>
        </w:rPr>
      </w:pPr>
    </w:p>
    <w:p>
      <w:pPr>
        <w:ind w:right="100" w:firstLine="1953"/>
        <w:spacing w:after="0" w:line="277" w:lineRule="auto"/>
        <w:tabs>
          <w:tab w:leader="none" w:pos="26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closing of the sale of shares of Common Stock in an underwritten public offering pursuant to an effective registration statement filed by the Company under the Securities Act; or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 Change in Control.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5" w:name="page466"/>
    <w:bookmarkEnd w:id="465"/>
    <w:p>
      <w:pPr>
        <w:ind w:right="40" w:firstLine="1305"/>
        <w:spacing w:after="0" w:line="264" w:lineRule="auto"/>
        <w:tabs>
          <w:tab w:leader="none" w:pos="1952"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Company shall not be required (1) to transfer on its books any of the Shares which shall have been sold or transferred in violation of any of the provisions set forth in this Agreement, or (2) to treat as owner of such Shares or to pay dividends to any transferee to whom any such Shares shall have been so sold or transferred.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Agreement in Connection with Initial Public Offering</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or (b) enter into any swap or other agreement that transfers, in whole or in part, any of the economic consequences of ownership of shares of Common Stock, whether any transaction described in clause (a) or (b) is to be settled by delivery of shares of Common Stock or other securities, in cash or otherwise, during the period beginning on the date of the filing of such registration statement with the Securities and Exchange Commission and ending 180 days from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73" w:lineRule="exact"/>
        <w:rPr>
          <w:sz w:val="20"/>
          <w:szCs w:val="20"/>
          <w:color w:val="auto"/>
        </w:rPr>
      </w:pPr>
    </w:p>
    <w:p>
      <w:pPr>
        <w:ind w:left="1300" w:hanging="644"/>
        <w:spacing w:after="0"/>
        <w:tabs>
          <w:tab w:leader="none" w:pos="130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Escrow</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The Participant shall, upon the execution of this Agreement, execute Joint Escrow Instructions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Joint Escrow Instructions shall be delivered to the Secretary of the Company, as escrow agent thereunder. The Participant shall deliver to such escrow agent a stock assignment duly endorsed in blank, in the form attached to this Agreement as </w:t>
      </w:r>
      <w:r>
        <w:rPr>
          <w:rFonts w:ascii="Arial" w:cs="Arial" w:eastAsia="Arial" w:hAnsi="Arial"/>
          <w:sz w:val="18"/>
          <w:szCs w:val="18"/>
          <w:u w:val="single" w:color="auto"/>
          <w:color w:val="auto"/>
        </w:rPr>
        <w:t>Exhibit B</w:t>
      </w:r>
      <w:r>
        <w:rPr>
          <w:rFonts w:ascii="Arial" w:cs="Arial" w:eastAsia="Arial" w:hAnsi="Arial"/>
          <w:sz w:val="18"/>
          <w:szCs w:val="18"/>
          <w:color w:val="auto"/>
        </w:rPr>
        <w:t>, and hereby instructs the Company to deliver to such escrow agent, on behalf of the Participant, the certificate(s) evidencing the Shares issued hereunder. Such materials shall be held by such escrow agent pursuant to the terms of such Joint Escrow Instructions.</w:t>
      </w:r>
    </w:p>
    <w:p>
      <w:pPr>
        <w:spacing w:after="0" w:line="188" w:lineRule="exact"/>
        <w:rPr>
          <w:sz w:val="20"/>
          <w:szCs w:val="20"/>
          <w:color w:val="auto"/>
        </w:rPr>
      </w:pPr>
    </w:p>
    <w:p>
      <w:pPr>
        <w:ind w:left="1300" w:hanging="644"/>
        <w:spacing w:after="0"/>
        <w:tabs>
          <w:tab w:leader="none" w:pos="130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Restrictive Legends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certificates representing Shares shall have affixed thereto legends in substantially the following form, in addition to any other legends that may be required under federal or state securities laws:</w:t>
      </w:r>
    </w:p>
    <w:p>
      <w:pPr>
        <w:spacing w:after="0" w:line="170" w:lineRule="exact"/>
        <w:rPr>
          <w:sz w:val="20"/>
          <w:szCs w:val="20"/>
          <w:color w:val="auto"/>
        </w:rPr>
      </w:pPr>
    </w:p>
    <w:p>
      <w:pPr>
        <w:ind w:left="1300" w:right="280"/>
        <w:spacing w:after="0" w:line="342" w:lineRule="auto"/>
        <w:rPr>
          <w:sz w:val="20"/>
          <w:szCs w:val="20"/>
          <w:color w:val="auto"/>
        </w:rPr>
      </w:pPr>
      <w:r>
        <w:rPr>
          <w:rFonts w:ascii="Arial" w:cs="Arial" w:eastAsia="Arial" w:hAnsi="Arial"/>
          <w:sz w:val="16"/>
          <w:szCs w:val="16"/>
          <w:color w:val="auto"/>
        </w:rPr>
        <w:t>“The shares of stock represented by this certificate are subject to restrictions on transfer and an option to purchase set forth in a certain Restricted Stock Agreement between the corporation and the registered owner of these shares (or such owner’s predecessor</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66" w:name="page467"/>
    <w:bookmarkEnd w:id="466"/>
    <w:p>
      <w:pPr>
        <w:ind w:left="1300"/>
        <w:spacing w:after="0"/>
        <w:rPr>
          <w:sz w:val="20"/>
          <w:szCs w:val="20"/>
          <w:color w:val="auto"/>
        </w:rPr>
      </w:pPr>
      <w:r>
        <w:rPr>
          <w:rFonts w:ascii="Arial" w:cs="Arial" w:eastAsia="Arial" w:hAnsi="Arial"/>
          <w:sz w:val="18"/>
          <w:szCs w:val="18"/>
          <w:color w:val="auto"/>
        </w:rPr>
        <w:t>in interest), and such Agreement is available for inspection without charge at the office of the Secretary of the corporation.”</w:t>
      </w:r>
    </w:p>
    <w:p>
      <w:pPr>
        <w:spacing w:after="0" w:line="225" w:lineRule="exact"/>
        <w:rPr>
          <w:sz w:val="20"/>
          <w:szCs w:val="20"/>
          <w:color w:val="auto"/>
        </w:rPr>
      </w:pPr>
    </w:p>
    <w:p>
      <w:pPr>
        <w:ind w:left="1300" w:right="300"/>
        <w:spacing w:after="0" w:line="264"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as amended, and may not be sold, transferred or otherwise disposed of in the absence of an effective registration statement under such Act or an opinion of counsel satisfactory to the corporation to the effect that such registration is not required.”</w:t>
      </w:r>
    </w:p>
    <w:p>
      <w:pPr>
        <w:spacing w:after="0" w:line="181" w:lineRule="exact"/>
        <w:rPr>
          <w:sz w:val="20"/>
          <w:szCs w:val="20"/>
          <w:color w:val="auto"/>
        </w:rPr>
      </w:pPr>
    </w:p>
    <w:p>
      <w:pPr>
        <w:ind w:left="1300" w:hanging="644"/>
        <w:spacing w:after="0"/>
        <w:tabs>
          <w:tab w:leader="none" w:pos="130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subject to the provisions of the Plan, a copy of which is furnished to the Participant with this Agreement.</w:t>
      </w:r>
    </w:p>
    <w:p>
      <w:pPr>
        <w:spacing w:after="0" w:line="225" w:lineRule="exact"/>
        <w:rPr>
          <w:sz w:val="20"/>
          <w:szCs w:val="20"/>
          <w:color w:val="auto"/>
        </w:rPr>
      </w:pPr>
    </w:p>
    <w:p>
      <w:pPr>
        <w:ind w:left="1300" w:hanging="644"/>
        <w:spacing w:after="0"/>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Participant represents, warrants and covenants as follows:</w:t>
      </w:r>
    </w:p>
    <w:p>
      <w:pPr>
        <w:spacing w:after="0" w:line="225" w:lineRule="exact"/>
        <w:rPr>
          <w:sz w:val="20"/>
          <w:szCs w:val="20"/>
          <w:color w:val="auto"/>
        </w:rPr>
      </w:pPr>
    </w:p>
    <w:p>
      <w:pPr>
        <w:ind w:right="180" w:firstLine="1305"/>
        <w:spacing w:after="0" w:line="308" w:lineRule="auto"/>
        <w:tabs>
          <w:tab w:leader="none" w:pos="1942"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Participant is purchasing the Shares for Participant’s own account for investment only, and not with a view to, or for sale in connection with, any distribution of the Shares in violation of the Securities Act, or any rule or regulation under the Securities Act.</w:t>
      </w:r>
    </w:p>
    <w:p>
      <w:pPr>
        <w:spacing w:after="0" w:line="146" w:lineRule="exact"/>
        <w:rPr>
          <w:rFonts w:ascii="Arial" w:cs="Arial" w:eastAsia="Arial" w:hAnsi="Arial"/>
          <w:sz w:val="17"/>
          <w:szCs w:val="17"/>
          <w:color w:val="auto"/>
        </w:rPr>
      </w:pPr>
    </w:p>
    <w:p>
      <w:pPr>
        <w:ind w:right="40" w:firstLine="1305"/>
        <w:spacing w:after="0" w:line="277" w:lineRule="auto"/>
        <w:tabs>
          <w:tab w:leader="none" w:pos="195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Participant has had such opportunity as Participant has deemed adequate to obtain from representatives of the Company such information as is necessary to permit him to evaluate the merits and risks of Participant’s investment in the Company.</w:t>
      </w:r>
    </w:p>
    <w:p>
      <w:pPr>
        <w:spacing w:after="0" w:line="170" w:lineRule="exact"/>
        <w:rPr>
          <w:rFonts w:ascii="Arial" w:cs="Arial" w:eastAsia="Arial" w:hAnsi="Arial"/>
          <w:sz w:val="18"/>
          <w:szCs w:val="18"/>
          <w:color w:val="auto"/>
        </w:rPr>
      </w:pPr>
    </w:p>
    <w:p>
      <w:pPr>
        <w:ind w:right="60" w:firstLine="1305"/>
        <w:spacing w:after="0" w:line="277" w:lineRule="auto"/>
        <w:tabs>
          <w:tab w:leader="none" w:pos="195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Participant has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Participant can afford a complete loss of the value of the Shares and is able to bear the economic risk of holding such Shares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an indefinite period.</w:t>
      </w:r>
    </w:p>
    <w:p>
      <w:pPr>
        <w:spacing w:after="0" w:line="210" w:lineRule="exact"/>
        <w:rPr>
          <w:rFonts w:ascii="Arial" w:cs="Arial" w:eastAsia="Arial" w:hAnsi="Arial"/>
          <w:sz w:val="16"/>
          <w:szCs w:val="16"/>
          <w:color w:val="auto"/>
        </w:rPr>
      </w:pPr>
    </w:p>
    <w:p>
      <w:pPr>
        <w:ind w:firstLine="1305"/>
        <w:spacing w:after="0" w:line="255" w:lineRule="auto"/>
        <w:tabs>
          <w:tab w:leader="none" w:pos="195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467" w:name="page468"/>
    <w:bookmarkEnd w:id="467"/>
    <w:p>
      <w:pPr>
        <w:ind w:left="1300" w:hanging="644"/>
        <w:spacing w:after="0"/>
        <w:tabs>
          <w:tab w:leader="none" w:pos="130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Withholding Taxes; Section 83(b) 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42"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Participant acknowledges and agrees that the Company has the right to deduct from payments of any kind otherwise due to the Participant any federal, state or local taxes of any kind required by law to be withheld with respect to the purchase of the Shares by the Participant or the lapse of the Purchase Option.</w:t>
      </w:r>
    </w:p>
    <w:p>
      <w:pPr>
        <w:spacing w:after="0" w:line="181" w:lineRule="exact"/>
        <w:rPr>
          <w:rFonts w:ascii="Arial" w:cs="Arial" w:eastAsia="Arial" w:hAnsi="Arial"/>
          <w:sz w:val="18"/>
          <w:szCs w:val="18"/>
          <w:color w:val="auto"/>
        </w:rPr>
      </w:pPr>
    </w:p>
    <w:p>
      <w:pPr>
        <w:ind w:firstLine="1305"/>
        <w:spacing w:after="0" w:line="255" w:lineRule="auto"/>
        <w:tabs>
          <w:tab w:leader="none" w:pos="1952"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Participant has reviewed with the Participant’s own tax advisors the federal, state, local and foreign 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 The Participant understands that it may be beneficial in many circumstances to elect to be taxed at the time the Shares are granted by the Company rather than when and as the Company’s Purchase Option expires by filing an election under Section 83(b) of the Internal Revenue Code of 1986 with the I.R.S. within 30 days from the date of grant by the Company.</w:t>
      </w:r>
    </w:p>
    <w:p>
      <w:pPr>
        <w:spacing w:after="0" w:line="185"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b w:val="1"/>
          <w:bCs w:val="1"/>
          <w:color w:val="auto"/>
        </w:rPr>
        <w:t>THE PARTICIPANT ACKNOWLEDGES THAT IT IS SOLELY THE PARTICIPANT’S RESPONSIBILITY AND NOT THE COMPANY’S TO FILE TIMELY THE ELECTION UNDER SECTION 83(b), EVEN IF THE PARTICIPANT REQUESTS THE COMPANY OR ITS REPRESENTATIVES TO MAKE THIS FILING ON THE PARTICIPANT’S BEHALF.</w:t>
      </w:r>
    </w:p>
    <w:p>
      <w:pPr>
        <w:spacing w:after="0" w:line="180" w:lineRule="exact"/>
        <w:rPr>
          <w:sz w:val="20"/>
          <w:szCs w:val="20"/>
          <w:color w:val="auto"/>
        </w:rPr>
      </w:pPr>
    </w:p>
    <w:p>
      <w:pPr>
        <w:ind w:left="1300" w:hanging="644"/>
        <w:spacing w:after="0"/>
        <w:tabs>
          <w:tab w:leader="none" w:pos="130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79" w:lineRule="auto"/>
        <w:tabs>
          <w:tab w:leader="none" w:pos="1942"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No Rights to Employment</w:t>
      </w:r>
      <w:r>
        <w:rPr>
          <w:rFonts w:ascii="Arial" w:cs="Arial" w:eastAsia="Arial" w:hAnsi="Arial"/>
          <w:sz w:val="17"/>
          <w:szCs w:val="17"/>
          <w:color w:val="auto"/>
        </w:rPr>
        <w:t>. The Participant acknowledges and agrees that the vesting of the Shares pursuant to Section 3 hereof is earned only by the Participant’s continuous Service (not through the act of being hired or purchasing the Shares hereunder).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w:t>
      </w:r>
    </w:p>
    <w:p>
      <w:pPr>
        <w:spacing w:after="0" w:line="171" w:lineRule="exact"/>
        <w:rPr>
          <w:rFonts w:ascii="Arial" w:cs="Arial" w:eastAsia="Arial" w:hAnsi="Arial"/>
          <w:sz w:val="17"/>
          <w:szCs w:val="17"/>
          <w:color w:val="auto"/>
        </w:rPr>
      </w:pPr>
    </w:p>
    <w:p>
      <w:pPr>
        <w:ind w:right="20" w:firstLine="1305"/>
        <w:spacing w:after="0" w:line="308" w:lineRule="auto"/>
        <w:tabs>
          <w:tab w:leader="none" w:pos="1952"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46" w:lineRule="exact"/>
        <w:rPr>
          <w:rFonts w:ascii="Arial" w:cs="Arial" w:eastAsia="Arial" w:hAnsi="Arial"/>
          <w:sz w:val="17"/>
          <w:szCs w:val="17"/>
          <w:color w:val="auto"/>
        </w:rPr>
      </w:pPr>
    </w:p>
    <w:p>
      <w:pPr>
        <w:ind w:right="360" w:firstLine="1305"/>
        <w:spacing w:after="0" w:line="277" w:lineRule="auto"/>
        <w:tabs>
          <w:tab w:leader="none" w:pos="1955"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provision for the benefit of the Company contained in this Agreement may be waived, either generally or in any particular instance, by the Board of Directors of the Company.</w:t>
      </w:r>
    </w:p>
    <w:p>
      <w:pPr>
        <w:spacing w:after="0" w:line="170" w:lineRule="exact"/>
        <w:rPr>
          <w:rFonts w:ascii="Arial" w:cs="Arial" w:eastAsia="Arial" w:hAnsi="Arial"/>
          <w:sz w:val="18"/>
          <w:szCs w:val="18"/>
          <w:color w:val="auto"/>
        </w:rPr>
      </w:pPr>
    </w:p>
    <w:p>
      <w:pPr>
        <w:ind w:right="120" w:firstLine="1305"/>
        <w:spacing w:after="0" w:line="264" w:lineRule="auto"/>
        <w:tabs>
          <w:tab w:leader="none" w:pos="1952"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Company and the Participant and their respective heirs, executors, administrators, legal representatives, successors and assigns, subject to the restrictions on transfer set forth in Sections 5 and 6 of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8" w:name="page469"/>
    <w:bookmarkEnd w:id="468"/>
    <w:p>
      <w:pPr>
        <w:ind w:right="280" w:firstLine="1305"/>
        <w:spacing w:after="0" w:line="259" w:lineRule="auto"/>
        <w:tabs>
          <w:tab w:leader="none" w:pos="1955"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her or its respective signature to this Agreement, or at such other address or addresses as either party shall designate to the other in accordance with this Section 13(e).</w:t>
      </w:r>
    </w:p>
    <w:p>
      <w:pPr>
        <w:spacing w:after="0" w:line="186" w:lineRule="exact"/>
        <w:rPr>
          <w:rFonts w:ascii="Arial" w:cs="Arial" w:eastAsia="Arial" w:hAnsi="Arial"/>
          <w:sz w:val="18"/>
          <w:szCs w:val="18"/>
          <w:color w:val="auto"/>
        </w:rPr>
      </w:pPr>
    </w:p>
    <w:p>
      <w:pPr>
        <w:ind w:right="220" w:firstLine="1305"/>
        <w:spacing w:after="0" w:line="277" w:lineRule="auto"/>
        <w:tabs>
          <w:tab w:leader="none" w:pos="1949"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Pronouns</w:t>
      </w:r>
      <w:r>
        <w:rPr>
          <w:rFonts w:ascii="Arial" w:cs="Arial" w:eastAsia="Arial" w:hAnsi="Arial"/>
          <w:sz w:val="18"/>
          <w:szCs w:val="18"/>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70" w:lineRule="exact"/>
        <w:rPr>
          <w:rFonts w:ascii="Arial" w:cs="Arial" w:eastAsia="Arial" w:hAnsi="Arial"/>
          <w:sz w:val="18"/>
          <w:szCs w:val="18"/>
          <w:color w:val="auto"/>
        </w:rPr>
      </w:pPr>
    </w:p>
    <w:p>
      <w:pPr>
        <w:ind w:right="400" w:firstLine="1305"/>
        <w:spacing w:after="0" w:line="277" w:lineRule="auto"/>
        <w:tabs>
          <w:tab w:leader="none" w:pos="1965"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constitute the entire agreement between the parties, and supersedes all prior agreements and understandings, relating to the subject matter of this Agreement.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338"/>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or modified only by a written instrument executed by both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w:t>
      </w:r>
    </w:p>
    <w:p>
      <w:pPr>
        <w:spacing w:after="0" w:line="210" w:lineRule="exact"/>
        <w:rPr>
          <w:rFonts w:ascii="Arial" w:cs="Arial" w:eastAsia="Arial" w:hAnsi="Arial"/>
          <w:sz w:val="16"/>
          <w:szCs w:val="16"/>
          <w:color w:val="auto"/>
        </w:rPr>
      </w:pPr>
    </w:p>
    <w:p>
      <w:pPr>
        <w:ind w:right="80" w:firstLine="1305"/>
        <w:spacing w:after="0" w:line="277" w:lineRule="auto"/>
        <w:tabs>
          <w:tab w:leader="none" w:pos="1966"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State of Delaware without regard to any applicable conflict of law principles.</w:t>
      </w:r>
    </w:p>
    <w:p>
      <w:pPr>
        <w:spacing w:after="0" w:line="170" w:lineRule="exact"/>
        <w:rPr>
          <w:rFonts w:ascii="Arial" w:cs="Arial" w:eastAsia="Arial" w:hAnsi="Arial"/>
          <w:sz w:val="18"/>
          <w:szCs w:val="18"/>
          <w:color w:val="auto"/>
        </w:rPr>
      </w:pPr>
    </w:p>
    <w:p>
      <w:pPr>
        <w:ind w:right="140" w:firstLine="1305"/>
        <w:spacing w:after="0" w:line="288" w:lineRule="auto"/>
        <w:tabs>
          <w:tab w:leader="none" w:pos="1953" w:val="left"/>
        </w:tabs>
        <w:numPr>
          <w:ilvl w:val="1"/>
          <w:numId w:val="338"/>
        </w:numPr>
        <w:rPr>
          <w:rFonts w:ascii="Arial" w:cs="Arial" w:eastAsia="Arial" w:hAnsi="Arial"/>
          <w:sz w:val="16"/>
          <w:szCs w:val="16"/>
          <w:color w:val="auto"/>
        </w:rPr>
      </w:pPr>
      <w:r>
        <w:rPr>
          <w:rFonts w:ascii="Arial" w:cs="Arial" w:eastAsia="Arial" w:hAnsi="Arial"/>
          <w:sz w:val="16"/>
          <w:szCs w:val="16"/>
          <w:u w:val="single" w:color="auto"/>
          <w:color w:val="auto"/>
        </w:rPr>
        <w:t>Participant’s Acknowledgments</w:t>
      </w:r>
      <w:r>
        <w:rPr>
          <w:rFonts w:ascii="Arial" w:cs="Arial" w:eastAsia="Arial" w:hAnsi="Arial"/>
          <w:sz w:val="16"/>
          <w:szCs w:val="16"/>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w:t>
      </w:r>
    </w:p>
    <w:p>
      <w:pPr>
        <w:ind w:firstLine="8"/>
        <w:spacing w:after="0" w:line="261" w:lineRule="auto"/>
        <w:tabs>
          <w:tab w:leader="none" w:pos="25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understands that the law firm of WilmerHale is acting as counsel to the Company in connection with the transactions contemplated by the Agreement, and is not acting as counsel for the Participant.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9" w:name="page470"/>
    <w:bookmarkEnd w:id="469"/>
    <w:p>
      <w:pPr>
        <w:ind w:right="60" w:firstLine="648"/>
        <w:spacing w:after="0" w:line="264" w:lineRule="auto"/>
        <w:rPr>
          <w:sz w:val="20"/>
          <w:szCs w:val="20"/>
          <w:color w:val="auto"/>
        </w:rPr>
      </w:pPr>
      <w:r>
        <w:rPr>
          <w:rFonts w:ascii="Arial" w:cs="Arial" w:eastAsia="Arial" w:hAnsi="Arial"/>
          <w:sz w:val="18"/>
          <w:szCs w:val="18"/>
          <w:color w:val="auto"/>
        </w:rPr>
        <w:t>IN WITNESS WHEREOF, the parties hereto have executed the Restricted Stock Agreement as of the date and year first above written. The Participant hereby agrees to the terms and conditions thereof. The Participant hereby acknowledges receipt of a copy of the Company’s 2016 Stock Incentive Plan.</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5715</wp:posOffset>
            </wp:positionV>
            <wp:extent cx="283845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-130810</wp:posOffset>
            </wp:positionV>
            <wp:extent cx="283845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432"/>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648"/>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PARTICIPANT:</w:t>
            </w:r>
          </w:p>
        </w:tc>
        <w:tc>
          <w:tcPr>
            <w:tcW w:w="2280" w:type="dxa"/>
            <w:vAlign w:val="bottom"/>
          </w:tcPr>
          <w:p>
            <w:pPr>
              <w:spacing w:after="0"/>
              <w:rPr>
                <w:sz w:val="24"/>
                <w:szCs w:val="24"/>
                <w:color w:val="auto"/>
              </w:rPr>
            </w:pPr>
          </w:p>
        </w:tc>
      </w:tr>
      <w:tr>
        <w:trPr>
          <w:trHeight w:val="648"/>
        </w:trPr>
        <w:tc>
          <w:tcPr>
            <w:tcW w:w="1220" w:type="dxa"/>
            <w:vAlign w:val="bottom"/>
            <w:gridSpan w:val="2"/>
          </w:tcPr>
          <w:p>
            <w:pPr>
              <w:spacing w:after="0"/>
              <w:rPr>
                <w:sz w:val="20"/>
                <w:szCs w:val="20"/>
                <w:color w:val="auto"/>
              </w:rPr>
            </w:pPr>
            <w:r>
              <w:rPr>
                <w:rFonts w:ascii="Arial" w:cs="Arial" w:eastAsia="Arial" w:hAnsi="Arial"/>
                <w:sz w:val="18"/>
                <w:szCs w:val="18"/>
                <w:color w:val="auto"/>
              </w:rPr>
              <w:t>By:</w:t>
            </w:r>
          </w:p>
        </w:tc>
        <w:tc>
          <w:tcPr>
            <w:tcW w:w="2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20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spacing w:after="0"/>
              <w:rPr>
                <w:sz w:val="18"/>
                <w:szCs w:val="18"/>
                <w:color w:val="auto"/>
              </w:rPr>
            </w:pPr>
          </w:p>
        </w:tc>
      </w:tr>
      <w:tr>
        <w:trPr>
          <w:trHeight w:val="642"/>
        </w:trPr>
        <w:tc>
          <w:tcPr>
            <w:tcW w:w="12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432"/>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648"/>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SPOUSAL CONSENT:</w:t>
            </w:r>
          </w:p>
        </w:tc>
        <w:tc>
          <w:tcPr>
            <w:tcW w:w="2280" w:type="dxa"/>
            <w:vAlign w:val="bottom"/>
          </w:tcPr>
          <w:p>
            <w:pPr>
              <w:spacing w:after="0"/>
              <w:rPr>
                <w:sz w:val="24"/>
                <w:szCs w:val="24"/>
                <w:color w:val="auto"/>
              </w:rPr>
            </w:pPr>
          </w:p>
        </w:tc>
      </w:tr>
      <w:tr>
        <w:trPr>
          <w:trHeight w:val="648"/>
        </w:trPr>
        <w:tc>
          <w:tcPr>
            <w:tcW w:w="1220" w:type="dxa"/>
            <w:vAlign w:val="bottom"/>
            <w:gridSpan w:val="2"/>
          </w:tcPr>
          <w:p>
            <w:pPr>
              <w:spacing w:after="0"/>
              <w:rPr>
                <w:sz w:val="20"/>
                <w:szCs w:val="20"/>
                <w:color w:val="auto"/>
              </w:rPr>
            </w:pPr>
            <w:r>
              <w:rPr>
                <w:rFonts w:ascii="Arial" w:cs="Arial" w:eastAsia="Arial" w:hAnsi="Arial"/>
                <w:sz w:val="18"/>
                <w:szCs w:val="18"/>
                <w:color w:val="auto"/>
              </w:rPr>
              <w:t>By:</w:t>
            </w:r>
          </w:p>
        </w:tc>
        <w:tc>
          <w:tcPr>
            <w:tcW w:w="2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20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spacing w:after="0"/>
              <w:rPr>
                <w:sz w:val="18"/>
                <w:szCs w:val="18"/>
                <w:color w:val="auto"/>
              </w:rPr>
            </w:pPr>
          </w:p>
        </w:tc>
      </w:tr>
      <w:tr>
        <w:trPr>
          <w:trHeight w:val="642"/>
        </w:trPr>
        <w:tc>
          <w:tcPr>
            <w:tcW w:w="12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432"/>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49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GRANTED UNDER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0" w:name="page471"/>
    <w:bookmarkEnd w:id="47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ESCROW INSTRUCTIONS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FULCRUM THERAPEUTICS,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JOINT ESCROW INSTRUCTIONS</w:t>
      </w:r>
    </w:p>
    <w:p>
      <w:pPr>
        <w:spacing w:after="0" w:line="211" w:lineRule="exact"/>
        <w:rPr>
          <w:sz w:val="20"/>
          <w:szCs w:val="20"/>
          <w:color w:val="auto"/>
        </w:rPr>
      </w:pPr>
    </w:p>
    <w:p>
      <w:pPr>
        <w:ind w:left="5280"/>
        <w:spacing w:after="0"/>
        <w:tabs>
          <w:tab w:leader="none" w:pos="5800" w:val="left"/>
          <w:tab w:leader="none" w:pos="6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Secretary:</w:t>
      </w:r>
    </w:p>
    <w:p>
      <w:pPr>
        <w:spacing w:after="0" w:line="2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As Escrow Agent for Fulcrum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its successors in interest under the Restricted Stock Agreement (the “</w:t>
      </w:r>
      <w:r>
        <w:rPr>
          <w:rFonts w:ascii="Arial" w:cs="Arial" w:eastAsia="Arial" w:hAnsi="Arial"/>
          <w:sz w:val="18"/>
          <w:szCs w:val="18"/>
          <w:b w:val="1"/>
          <w:bCs w:val="1"/>
          <w:color w:val="auto"/>
        </w:rPr>
        <w:t>Agreement</w:t>
      </w:r>
      <w:r>
        <w:rPr>
          <w:rFonts w:ascii="Arial" w:cs="Arial" w:eastAsia="Arial" w:hAnsi="Arial"/>
          <w:sz w:val="18"/>
          <w:szCs w:val="18"/>
          <w:color w:val="auto"/>
        </w:rPr>
        <w:t>”) of even date herewith, to which a copy of these Joint Escrow Instructions is attached, and the undersigned person (“</w:t>
      </w:r>
      <w:r>
        <w:rPr>
          <w:rFonts w:ascii="Arial" w:cs="Arial" w:eastAsia="Arial" w:hAnsi="Arial"/>
          <w:sz w:val="18"/>
          <w:szCs w:val="18"/>
          <w:b w:val="1"/>
          <w:bCs w:val="1"/>
          <w:color w:val="auto"/>
        </w:rPr>
        <w:t>Holder</w:t>
      </w:r>
      <w:r>
        <w:rPr>
          <w:rFonts w:ascii="Arial" w:cs="Arial" w:eastAsia="Arial" w:hAnsi="Arial"/>
          <w:sz w:val="18"/>
          <w:szCs w:val="18"/>
          <w:color w:val="auto"/>
        </w:rPr>
        <w:t>”), you are hereby authorized and directed to hold the documents delivered to you pursuant to the terms of the Agreement in accordance with the following instructions:</w:t>
      </w:r>
    </w:p>
    <w:p>
      <w:pPr>
        <w:spacing w:after="0" w:line="184" w:lineRule="exact"/>
        <w:rPr>
          <w:sz w:val="20"/>
          <w:szCs w:val="20"/>
          <w:color w:val="auto"/>
        </w:rPr>
      </w:pPr>
    </w:p>
    <w:p>
      <w:pPr>
        <w:ind w:right="60" w:firstLine="656"/>
        <w:spacing w:after="0" w:line="273" w:lineRule="auto"/>
        <w:tabs>
          <w:tab w:leader="none" w:pos="1296"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Appointment</w:t>
      </w:r>
      <w:r>
        <w:rPr>
          <w:rFonts w:ascii="Arial" w:cs="Arial" w:eastAsia="Arial" w:hAnsi="Arial"/>
          <w:sz w:val="17"/>
          <w:szCs w:val="17"/>
          <w:color w:val="auto"/>
        </w:rPr>
        <w:t>. Holder irrevocably authorizes the Company to deposit with you any certificates evidencing Shares (as defined in the Agreement) to be held by you hereunder and any additions and substitutions to said Shares. For purposes of these Joint Escrow Instructions, “</w:t>
      </w:r>
      <w:r>
        <w:rPr>
          <w:rFonts w:ascii="Arial" w:cs="Arial" w:eastAsia="Arial" w:hAnsi="Arial"/>
          <w:sz w:val="17"/>
          <w:szCs w:val="17"/>
          <w:b w:val="1"/>
          <w:bCs w:val="1"/>
          <w:color w:val="auto"/>
        </w:rPr>
        <w:t>Shares</w:t>
      </w:r>
      <w:r>
        <w:rPr>
          <w:rFonts w:ascii="Arial" w:cs="Arial" w:eastAsia="Arial" w:hAnsi="Arial"/>
          <w:sz w:val="17"/>
          <w:szCs w:val="17"/>
          <w:color w:val="auto"/>
        </w:rPr>
        <w:t>” shall be deemed to include any additional or substitute property. Holder does hereby irrevocably constitute and appoint you as his or her attorney-in-fact and agent for the term of this escrow to execute with respect to such Shares all documents necessary or appropriate to make such Shares negotiable and to complete any transaction herein contemplated. Subject to the provisions of this Section 1 and the terms of the Agreement, Holder shall exercise all rights and privileges of a stockholder of the Company while the Shares are held by you.</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Closing of Purchase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9" w:lineRule="auto"/>
        <w:tabs>
          <w:tab w:leader="none" w:pos="194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Upon any purchase by the Company of the Shares pursuant to the Agreement, the Company shall give to Holder and you a written notice specifying the number of Shares to be purchased, the purchase price for the Shares, as determined pursuant to the Agreement, and the time for a closing hereunder (the “</w:t>
      </w:r>
      <w:r>
        <w:rPr>
          <w:rFonts w:ascii="Arial" w:cs="Arial" w:eastAsia="Arial" w:hAnsi="Arial"/>
          <w:sz w:val="18"/>
          <w:szCs w:val="18"/>
          <w:b w:val="1"/>
          <w:bCs w:val="1"/>
          <w:color w:val="auto"/>
        </w:rPr>
        <w:t>Closing</w:t>
      </w:r>
      <w:r>
        <w:rPr>
          <w:rFonts w:ascii="Arial" w:cs="Arial" w:eastAsia="Arial" w:hAnsi="Arial"/>
          <w:sz w:val="18"/>
          <w:szCs w:val="18"/>
          <w:color w:val="auto"/>
        </w:rPr>
        <w:t>”) at the principal office of the Company. Holder and the Company hereby irrevocably authorize and direct you to close the transaction contemplated by such notice in accordance with the terms of said notice.</w:t>
      </w:r>
    </w:p>
    <w:p>
      <w:pPr>
        <w:spacing w:after="0" w:line="186" w:lineRule="exact"/>
        <w:rPr>
          <w:rFonts w:ascii="Arial" w:cs="Arial" w:eastAsia="Arial" w:hAnsi="Arial"/>
          <w:sz w:val="18"/>
          <w:szCs w:val="18"/>
          <w:color w:val="auto"/>
        </w:rPr>
      </w:pPr>
    </w:p>
    <w:p>
      <w:pPr>
        <w:ind w:right="40" w:firstLine="1305"/>
        <w:spacing w:after="0" w:line="312" w:lineRule="auto"/>
        <w:tabs>
          <w:tab w:leader="none" w:pos="1952" w:val="left"/>
        </w:tabs>
        <w:numPr>
          <w:ilvl w:val="1"/>
          <w:numId w:val="340"/>
        </w:numPr>
        <w:rPr>
          <w:rFonts w:ascii="Arial" w:cs="Arial" w:eastAsia="Arial" w:hAnsi="Arial"/>
          <w:sz w:val="16"/>
          <w:szCs w:val="16"/>
          <w:color w:val="auto"/>
        </w:rPr>
      </w:pPr>
      <w:r>
        <w:rPr>
          <w:rFonts w:ascii="Arial" w:cs="Arial" w:eastAsia="Arial" w:hAnsi="Arial"/>
          <w:sz w:val="16"/>
          <w:szCs w:val="16"/>
          <w:color w:val="auto"/>
        </w:rPr>
        <w:t>At the Closing, you are directed (i) to date the stock assignment form or forms necessary for the transfer of the Shares, (ii) to fill in on such form or forms the number of Shares being transferred, and (iii) to deliver the same, together with the certificate or certificates evidencing the Shares to be transferred, to the Company against the simultaneous delivery to you of the purchase price for the Shares being purchased pursuant to the Agreement.</w:t>
      </w:r>
    </w:p>
    <w:p>
      <w:pPr>
        <w:spacing w:after="0" w:line="146" w:lineRule="exact"/>
        <w:rPr>
          <w:rFonts w:ascii="Arial" w:cs="Arial" w:eastAsia="Arial" w:hAnsi="Arial"/>
          <w:sz w:val="16"/>
          <w:szCs w:val="16"/>
          <w:color w:val="auto"/>
        </w:rPr>
      </w:pPr>
    </w:p>
    <w:p>
      <w:pPr>
        <w:ind w:right="240" w:firstLine="656"/>
        <w:spacing w:after="0" w:line="277" w:lineRule="auto"/>
        <w:tabs>
          <w:tab w:leader="none" w:pos="1296"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The Holder shall have the right to withdraw from this escrow any Shares as to which the Purchase Option (as defined in the Agreement) has terminated or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1" w:name="page472"/>
    <w:bookmarkEnd w:id="471"/>
    <w:p>
      <w:pPr>
        <w:ind w:left="1292" w:hanging="644"/>
        <w:spacing w:after="0"/>
        <w:tabs>
          <w:tab w:leader="none" w:pos="1292" w:val="left"/>
        </w:tabs>
        <w:numPr>
          <w:ilvl w:val="1"/>
          <w:numId w:val="341"/>
        </w:numPr>
        <w:rPr>
          <w:rFonts w:ascii="Arial" w:cs="Arial" w:eastAsia="Arial" w:hAnsi="Arial"/>
          <w:sz w:val="18"/>
          <w:szCs w:val="18"/>
          <w:color w:val="auto"/>
        </w:rPr>
      </w:pPr>
      <w:r>
        <w:rPr>
          <w:rFonts w:ascii="Arial" w:cs="Arial" w:eastAsia="Arial" w:hAnsi="Arial"/>
          <w:sz w:val="18"/>
          <w:szCs w:val="18"/>
          <w:u w:val="single" w:color="auto"/>
          <w:color w:val="auto"/>
        </w:rPr>
        <w:t>Duties of Escrow Agent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32" w:hanging="635"/>
        <w:spacing w:after="0"/>
        <w:tabs>
          <w:tab w:leader="none" w:pos="1932" w:val="left"/>
        </w:tabs>
        <w:numPr>
          <w:ilvl w:val="2"/>
          <w:numId w:val="341"/>
        </w:numPr>
        <w:rPr>
          <w:rFonts w:ascii="Arial" w:cs="Arial" w:eastAsia="Arial" w:hAnsi="Arial"/>
          <w:sz w:val="17"/>
          <w:szCs w:val="17"/>
          <w:color w:val="auto"/>
        </w:rPr>
      </w:pPr>
      <w:r>
        <w:rPr>
          <w:rFonts w:ascii="Arial" w:cs="Arial" w:eastAsia="Arial" w:hAnsi="Arial"/>
          <w:sz w:val="17"/>
          <w:szCs w:val="17"/>
          <w:color w:val="auto"/>
        </w:rPr>
        <w:t>Your duties hereunder may be altered, amended, modified or revoked only by a writing signed by all of the parties hereto.</w:t>
      </w:r>
    </w:p>
    <w:p>
      <w:pPr>
        <w:spacing w:after="0" w:line="236" w:lineRule="exact"/>
        <w:rPr>
          <w:rFonts w:ascii="Arial" w:cs="Arial" w:eastAsia="Arial" w:hAnsi="Arial"/>
          <w:sz w:val="17"/>
          <w:szCs w:val="17"/>
          <w:color w:val="auto"/>
        </w:rPr>
      </w:pPr>
    </w:p>
    <w:p>
      <w:pPr>
        <w:ind w:left="-8" w:right="20" w:firstLine="1305"/>
        <w:spacing w:after="0" w:line="257" w:lineRule="auto"/>
        <w:tabs>
          <w:tab w:leader="none" w:pos="1944" w:val="left"/>
        </w:tabs>
        <w:numPr>
          <w:ilvl w:val="2"/>
          <w:numId w:val="341"/>
        </w:numPr>
        <w:rPr>
          <w:rFonts w:ascii="Arial" w:cs="Arial" w:eastAsia="Arial" w:hAnsi="Arial"/>
          <w:sz w:val="18"/>
          <w:szCs w:val="18"/>
          <w:color w:val="auto"/>
        </w:rPr>
      </w:pPr>
      <w:r>
        <w:rPr>
          <w:rFonts w:ascii="Arial" w:cs="Arial" w:eastAsia="Arial" w:hAnsi="Arial"/>
          <w:sz w:val="18"/>
          <w:szCs w:val="18"/>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of Holder while acting in good faith and in the exercise of your own good judgment, and any act done or omitted by you pursuant to the advice of your own attorneys shall be conclusive evidence of such good faith.</w:t>
      </w:r>
    </w:p>
    <w:p>
      <w:pPr>
        <w:spacing w:after="0" w:line="188" w:lineRule="exact"/>
        <w:rPr>
          <w:rFonts w:ascii="Arial" w:cs="Arial" w:eastAsia="Arial" w:hAnsi="Arial"/>
          <w:sz w:val="18"/>
          <w:szCs w:val="18"/>
          <w:color w:val="auto"/>
        </w:rPr>
      </w:pPr>
    </w:p>
    <w:p>
      <w:pPr>
        <w:ind w:left="-8" w:firstLine="1305"/>
        <w:spacing w:after="0" w:line="255" w:lineRule="auto"/>
        <w:tabs>
          <w:tab w:leader="none" w:pos="1947" w:val="left"/>
        </w:tabs>
        <w:numPr>
          <w:ilvl w:val="2"/>
          <w:numId w:val="341"/>
        </w:numPr>
        <w:rPr>
          <w:rFonts w:ascii="Arial" w:cs="Arial" w:eastAsia="Arial" w:hAnsi="Arial"/>
          <w:sz w:val="18"/>
          <w:szCs w:val="18"/>
          <w:color w:val="auto"/>
        </w:rPr>
      </w:pPr>
      <w:r>
        <w:rPr>
          <w:rFonts w:ascii="Arial" w:cs="Arial" w:eastAsia="Arial" w:hAnsi="Arial"/>
          <w:sz w:val="18"/>
          <w:szCs w:val="18"/>
          <w:color w:val="auto"/>
        </w:rPr>
        <w:t>You are hereby expressly authorized to disregard any and all warnings given by any of the parties hereto or by any other person or entity, excepting only orders or process of courts of law, and are hereby expressly authorized to comply with and obey orders, judgments or decrees of any court. If you are uncertain of any actions to be taken or instructions to be followed, you may refuse to act in the absence of an order, judgment or decrees of a court. In case you obey or comply with any such order, judgment or decree of any court, you shall not be liable to any of the parties hereto or to any other person or entity, by reason of such compliance, notwithstanding any such order, judgment or decree being subsequently reversed, modified, annulled, set aside, vacated or found to have been entered without jurisdiction.</w:t>
      </w:r>
    </w:p>
    <w:p>
      <w:pPr>
        <w:spacing w:after="0" w:line="193" w:lineRule="exact"/>
        <w:rPr>
          <w:rFonts w:ascii="Arial" w:cs="Arial" w:eastAsia="Arial" w:hAnsi="Arial"/>
          <w:sz w:val="18"/>
          <w:szCs w:val="18"/>
          <w:color w:val="auto"/>
        </w:rPr>
      </w:pPr>
    </w:p>
    <w:p>
      <w:pPr>
        <w:ind w:left="-8" w:right="600" w:firstLine="1305"/>
        <w:spacing w:after="0" w:line="277" w:lineRule="auto"/>
        <w:tabs>
          <w:tab w:leader="none" w:pos="1944" w:val="left"/>
        </w:tabs>
        <w:numPr>
          <w:ilvl w:val="2"/>
          <w:numId w:val="341"/>
        </w:numPr>
        <w:rPr>
          <w:rFonts w:ascii="Arial" w:cs="Arial" w:eastAsia="Arial" w:hAnsi="Arial"/>
          <w:sz w:val="18"/>
          <w:szCs w:val="18"/>
          <w:color w:val="auto"/>
        </w:rPr>
      </w:pPr>
      <w:r>
        <w:rPr>
          <w:rFonts w:ascii="Arial" w:cs="Arial" w:eastAsia="Arial" w:hAnsi="Arial"/>
          <w:sz w:val="18"/>
          <w:szCs w:val="18"/>
          <w:color w:val="auto"/>
        </w:rPr>
        <w:t>You shall not be liable in any respect on account of the identity, authority or rights of the parties executing or delivering or purporting to execute or deliver the Agreement or any documents or papers deposited or called for hereunder.</w:t>
      </w:r>
    </w:p>
    <w:p>
      <w:pPr>
        <w:spacing w:after="0" w:line="170" w:lineRule="exact"/>
        <w:rPr>
          <w:rFonts w:ascii="Arial" w:cs="Arial" w:eastAsia="Arial" w:hAnsi="Arial"/>
          <w:sz w:val="18"/>
          <w:szCs w:val="18"/>
          <w:color w:val="auto"/>
        </w:rPr>
      </w:pPr>
    </w:p>
    <w:p>
      <w:pPr>
        <w:ind w:left="-8" w:right="640" w:firstLine="1305"/>
        <w:spacing w:after="0" w:line="277" w:lineRule="auto"/>
        <w:tabs>
          <w:tab w:leader="none" w:pos="1947" w:val="left"/>
        </w:tabs>
        <w:numPr>
          <w:ilvl w:val="2"/>
          <w:numId w:val="341"/>
        </w:numPr>
        <w:rPr>
          <w:rFonts w:ascii="Arial" w:cs="Arial" w:eastAsia="Arial" w:hAnsi="Arial"/>
          <w:sz w:val="18"/>
          <w:szCs w:val="18"/>
          <w:color w:val="auto"/>
        </w:rPr>
      </w:pPr>
      <w:r>
        <w:rPr>
          <w:rFonts w:ascii="Arial" w:cs="Arial" w:eastAsia="Arial" w:hAnsi="Arial"/>
          <w:sz w:val="18"/>
          <w:szCs w:val="18"/>
          <w:color w:val="auto"/>
        </w:rPr>
        <w:t>You shall be entitled to employ such legal counsel and other experts as you may deem necessary properly to advise you in connection with your obligations hereunder and may rely upon the advice of such counsel.</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2"/>
          <w:numId w:val="341"/>
        </w:numPr>
        <w:rPr>
          <w:rFonts w:ascii="Arial" w:cs="Arial" w:eastAsia="Arial" w:hAnsi="Arial"/>
          <w:sz w:val="17"/>
          <w:szCs w:val="17"/>
          <w:color w:val="auto"/>
        </w:rPr>
      </w:pPr>
      <w:r>
        <w:rPr>
          <w:rFonts w:ascii="Arial" w:cs="Arial" w:eastAsia="Arial" w:hAnsi="Arial"/>
          <w:sz w:val="17"/>
          <w:szCs w:val="17"/>
          <w:color w:val="auto"/>
        </w:rPr>
        <w:t>Your rights and responsibilities as Escrow Agent hereunder shall terminate if (i) you cease to be Secretary of the Company or</w:t>
      </w:r>
    </w:p>
    <w:p>
      <w:pPr>
        <w:spacing w:after="0" w:line="34" w:lineRule="exact"/>
        <w:rPr>
          <w:rFonts w:ascii="Arial" w:cs="Arial" w:eastAsia="Arial" w:hAnsi="Arial"/>
          <w:sz w:val="17"/>
          <w:szCs w:val="17"/>
          <w:color w:val="auto"/>
        </w:rPr>
      </w:pPr>
    </w:p>
    <w:p>
      <w:pPr>
        <w:ind w:left="-8" w:right="640" w:firstLine="8"/>
        <w:spacing w:after="0" w:line="290" w:lineRule="auto"/>
        <w:tabs>
          <w:tab w:leader="none" w:pos="257" w:val="left"/>
        </w:tabs>
        <w:numPr>
          <w:ilvl w:val="0"/>
          <w:numId w:val="342"/>
        </w:numPr>
        <w:rPr>
          <w:rFonts w:ascii="Arial" w:cs="Arial" w:eastAsia="Arial" w:hAnsi="Arial"/>
          <w:sz w:val="17"/>
          <w:szCs w:val="17"/>
          <w:color w:val="auto"/>
        </w:rPr>
      </w:pPr>
      <w:r>
        <w:rPr>
          <w:rFonts w:ascii="Arial" w:cs="Arial" w:eastAsia="Arial" w:hAnsi="Arial"/>
          <w:sz w:val="17"/>
          <w:szCs w:val="17"/>
          <w:color w:val="auto"/>
        </w:rPr>
        <w:t>you resign by written notice to each party. In the event of a termination under clause (i), your successor as Secretary shall become Escrow Agent hereunder; in the event of a termination under clause (ii), the Company shall appoint a successor Escrow Agent hereunder.</w:t>
      </w:r>
    </w:p>
    <w:p>
      <w:pPr>
        <w:spacing w:after="0" w:line="161" w:lineRule="exact"/>
        <w:rPr>
          <w:rFonts w:ascii="Arial" w:cs="Arial" w:eastAsia="Arial" w:hAnsi="Arial"/>
          <w:sz w:val="17"/>
          <w:szCs w:val="17"/>
          <w:color w:val="auto"/>
        </w:rPr>
      </w:pPr>
    </w:p>
    <w:p>
      <w:pPr>
        <w:ind w:left="-8" w:right="100" w:firstLine="1305"/>
        <w:spacing w:after="0" w:line="277" w:lineRule="auto"/>
        <w:tabs>
          <w:tab w:leader="none" w:pos="1957" w:val="left"/>
        </w:tabs>
        <w:numPr>
          <w:ilvl w:val="2"/>
          <w:numId w:val="342"/>
        </w:numPr>
        <w:rPr>
          <w:rFonts w:ascii="Arial" w:cs="Arial" w:eastAsia="Arial" w:hAnsi="Arial"/>
          <w:sz w:val="18"/>
          <w:szCs w:val="18"/>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170" w:lineRule="exact"/>
        <w:rPr>
          <w:rFonts w:ascii="Arial" w:cs="Arial" w:eastAsia="Arial" w:hAnsi="Arial"/>
          <w:sz w:val="18"/>
          <w:szCs w:val="18"/>
          <w:color w:val="auto"/>
        </w:rPr>
      </w:pPr>
    </w:p>
    <w:p>
      <w:pPr>
        <w:ind w:left="-8" w:firstLine="1305"/>
        <w:spacing w:after="0" w:line="257" w:lineRule="auto"/>
        <w:tabs>
          <w:tab w:leader="none" w:pos="1944" w:val="left"/>
        </w:tabs>
        <w:numPr>
          <w:ilvl w:val="2"/>
          <w:numId w:val="342"/>
        </w:numPr>
        <w:rPr>
          <w:rFonts w:ascii="Arial" w:cs="Arial" w:eastAsia="Arial" w:hAnsi="Arial"/>
          <w:sz w:val="18"/>
          <w:szCs w:val="18"/>
          <w:color w:val="auto"/>
        </w:rPr>
      </w:pPr>
      <w:r>
        <w:rPr>
          <w:rFonts w:ascii="Arial" w:cs="Arial" w:eastAsia="Arial" w:hAnsi="Arial"/>
          <w:sz w:val="18"/>
          <w:szCs w:val="18"/>
          <w:color w:val="auto"/>
        </w:rPr>
        <w:t>It is understood and agreed that if you believe a dispute has arisen with respect to the delivery and/or ownership or right of possession of the securities held by you hereunder,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194945</wp:posOffset>
            </wp:positionV>
            <wp:extent cx="726757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472" w:name="page473"/>
    <w:bookmarkEnd w:id="472"/>
    <w:p>
      <w:pPr>
        <w:ind w:firstLine="1305"/>
        <w:spacing w:after="0" w:line="277" w:lineRule="auto"/>
        <w:tabs>
          <w:tab w:leader="none" w:pos="196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These Joint Escrow Instructions set forth your sole duties with respect to any and all matters pertinent hereto and no implied duties or obligations shall be read into these Joint Escrow Instructions against you.</w:t>
      </w:r>
    </w:p>
    <w:p>
      <w:pPr>
        <w:spacing w:after="0" w:line="170" w:lineRule="exact"/>
        <w:rPr>
          <w:rFonts w:ascii="Arial" w:cs="Arial" w:eastAsia="Arial" w:hAnsi="Arial"/>
          <w:sz w:val="18"/>
          <w:szCs w:val="18"/>
          <w:color w:val="auto"/>
        </w:rPr>
      </w:pPr>
    </w:p>
    <w:p>
      <w:pPr>
        <w:ind w:right="140" w:firstLine="1305"/>
        <w:spacing w:after="0" w:line="259" w:lineRule="auto"/>
        <w:tabs>
          <w:tab w:leader="none" w:pos="195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Company shall indemnify you and hold you harmless against any and all damages, losses, liabilities, costs, and expenses, including attorneys’ fees and disbursements, (including without limitation the fees of counsel retained pursuant to Section 4(e) above, for anything done or omitted to be done by you as Escrow Agent in connection with this Agreement or the performance of your duties hereunder, except such as shall result from your gross negligence or willful misconduct.</w:t>
      </w:r>
    </w:p>
    <w:p>
      <w:pPr>
        <w:spacing w:after="0" w:line="186" w:lineRule="exact"/>
        <w:rPr>
          <w:rFonts w:ascii="Arial" w:cs="Arial" w:eastAsia="Arial" w:hAnsi="Arial"/>
          <w:sz w:val="18"/>
          <w:szCs w:val="18"/>
          <w:color w:val="auto"/>
        </w:rPr>
      </w:pPr>
    </w:p>
    <w:p>
      <w:pPr>
        <w:jc w:val="both"/>
        <w:ind w:right="60" w:firstLine="656"/>
        <w:spacing w:after="0" w:line="312" w:lineRule="auto"/>
        <w:tabs>
          <w:tab w:leader="none" w:pos="1296"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days’ advance written notice to each of the other parties hereto.</w:t>
      </w:r>
    </w:p>
    <w:p>
      <w:pPr>
        <w:sectPr>
          <w:pgSz w:w="11900" w:h="16838" w:orient="portrait"/>
          <w:cols w:equalWidth="0" w:num="1">
            <w:col w:w="11400"/>
          </w:cols>
          <w:pgMar w:left="240" w:top="341" w:right="259" w:bottom="1440" w:gutter="0" w:footer="0" w:header="0"/>
        </w:sectPr>
      </w:pP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Notices to the Company shall be sent to the address set forth in the salutation hereto, Attn: President</w:t>
      </w:r>
    </w:p>
    <w:p>
      <w:pPr>
        <w:spacing w:after="0" w:line="211" w:lineRule="exact"/>
        <w:rPr>
          <w:sz w:val="20"/>
          <w:szCs w:val="20"/>
          <w:color w:val="auto"/>
        </w:rPr>
      </w:pPr>
    </w:p>
    <w:p>
      <w:pPr>
        <w:sectPr>
          <w:pgSz w:w="11900" w:h="16838" w:orient="portrait"/>
          <w:cols w:equalWidth="0" w:num="2">
            <w:col w:w="2480" w:space="720"/>
            <w:col w:w="8200"/>
          </w:cols>
          <w:pgMar w:left="240" w:top="341" w:right="25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HOLDER: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Notices to Holder shall be sent to the address set forth below Holder’s signature below.</w:t>
      </w:r>
    </w:p>
    <w:p>
      <w:pPr>
        <w:spacing w:after="0" w:line="211" w:lineRule="exact"/>
        <w:rPr>
          <w:sz w:val="20"/>
          <w:szCs w:val="20"/>
          <w:color w:val="auto"/>
        </w:rPr>
      </w:pPr>
    </w:p>
    <w:p>
      <w:pPr>
        <w:sectPr>
          <w:pgSz w:w="11900" w:h="16838" w:orient="portrait"/>
          <w:cols w:equalWidth="0" w:num="2">
            <w:col w:w="2480" w:space="720"/>
            <w:col w:w="8200"/>
          </w:cols>
          <w:pgMar w:left="240" w:top="341" w:right="25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ESCROW AGENT: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Notices to the Escrow Agent shall be sent to the address set forth in the salutation hereto.</w:t>
      </w:r>
    </w:p>
    <w:p>
      <w:pPr>
        <w:spacing w:after="0" w:line="211" w:lineRule="exact"/>
        <w:rPr>
          <w:sz w:val="20"/>
          <w:szCs w:val="20"/>
          <w:color w:val="auto"/>
        </w:rPr>
      </w:pPr>
    </w:p>
    <w:p>
      <w:pPr>
        <w:sectPr>
          <w:pgSz w:w="11900" w:h="16838" w:orient="portrait"/>
          <w:cols w:equalWidth="0" w:num="2">
            <w:col w:w="2760" w:space="440"/>
            <w:col w:w="8200"/>
          </w:cols>
          <w:pgMar w:left="240" w:top="341" w:right="259" w:bottom="1440" w:gutter="0" w:footer="0" w:header="0"/>
          <w:type w:val="continuous"/>
        </w:sectPr>
      </w:pPr>
    </w:p>
    <w:p>
      <w:pPr>
        <w:spacing w:after="0" w:line="37" w:lineRule="exact"/>
        <w:rPr>
          <w:sz w:val="20"/>
          <w:szCs w:val="20"/>
          <w:color w:val="auto"/>
        </w:rPr>
      </w:pPr>
    </w:p>
    <w:p>
      <w:pPr>
        <w:ind w:left="1300" w:hanging="644"/>
        <w:spacing w:after="0"/>
        <w:tabs>
          <w:tab w:leader="none" w:pos="130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77" w:lineRule="auto"/>
        <w:tabs>
          <w:tab w:leader="none" w:pos="194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By signing these Joint Escrow Instructions, you become a party hereto only for the purpose of said Joint Escrow Instructions, and you do not become a party to the Agreement.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assigns.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473" w:name="page474"/>
    <w:bookmarkEnd w:id="473"/>
    <w:p>
      <w:pPr>
        <w:spacing w:after="0"/>
        <w:rPr>
          <w:sz w:val="20"/>
          <w:szCs w:val="20"/>
          <w:color w:val="auto"/>
        </w:rPr>
      </w:pPr>
      <w:r>
        <w:rPr>
          <w:rFonts w:ascii="Arial" w:cs="Arial" w:eastAsia="Arial" w:hAnsi="Arial"/>
          <w:sz w:val="18"/>
          <w:szCs w:val="18"/>
          <w:color w:val="auto"/>
        </w:rPr>
        <w:t>IN WITNESS WHEREOF, the parties hereto have executed these Joint Escrow Instructions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right"/>
        <w:ind w:right="4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5715</wp:posOffset>
            </wp:positionV>
            <wp:extent cx="283845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-130810</wp:posOffset>
            </wp:positionV>
            <wp:extent cx="283845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HOLDER:</w:t>
      </w: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506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6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tcPr>
          <w:p>
            <w:pPr>
              <w:spacing w:after="0"/>
              <w:rPr>
                <w:sz w:val="18"/>
                <w:szCs w:val="18"/>
                <w:color w:val="auto"/>
              </w:rPr>
            </w:pPr>
          </w:p>
        </w:tc>
      </w:tr>
      <w:tr>
        <w:trPr>
          <w:trHeight w:val="642"/>
        </w:trPr>
        <w:tc>
          <w:tcPr>
            <w:tcW w:w="12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760" w:type="dxa"/>
            <w:vAlign w:val="bottom"/>
          </w:tcPr>
          <w:p>
            <w:pPr>
              <w:jc w:val="right"/>
              <w:ind w:right="1610"/>
              <w:spacing w:after="0"/>
              <w:rPr>
                <w:sz w:val="20"/>
                <w:szCs w:val="20"/>
                <w:color w:val="auto"/>
              </w:rPr>
            </w:pPr>
            <w:r>
              <w:rPr>
                <w:rFonts w:ascii="Arial" w:cs="Arial" w:eastAsia="Arial" w:hAnsi="Arial"/>
                <w:sz w:val="18"/>
                <w:szCs w:val="18"/>
                <w:color w:val="auto"/>
                <w:w w:val="78"/>
              </w:rPr>
              <w:t>[</w:t>
            </w:r>
          </w:p>
        </w:tc>
        <w:tc>
          <w:tcPr>
            <w:tcW w:w="2720" w:type="dxa"/>
            <w:vAlign w:val="bottom"/>
          </w:tcPr>
          <w:p>
            <w:pPr>
              <w:jc w:val="right"/>
              <w:ind w:right="890"/>
              <w:spacing w:after="0"/>
              <w:rPr>
                <w:sz w:val="20"/>
                <w:szCs w:val="20"/>
                <w:color w:val="auto"/>
              </w:rPr>
            </w:pPr>
            <w:r>
              <w:rPr>
                <w:rFonts w:ascii="Arial" w:cs="Arial" w:eastAsia="Arial" w:hAnsi="Arial"/>
                <w:sz w:val="18"/>
                <w:szCs w:val="18"/>
                <w:color w:val="auto"/>
              </w:rPr>
              <w:t>]</w:t>
            </w:r>
          </w:p>
        </w:tc>
      </w:tr>
      <w:tr>
        <w:trPr>
          <w:trHeight w:val="432"/>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jc w:val="right"/>
              <w:ind w:right="1610"/>
              <w:spacing w:after="0"/>
              <w:rPr>
                <w:sz w:val="20"/>
                <w:szCs w:val="20"/>
                <w:color w:val="auto"/>
              </w:rPr>
            </w:pPr>
            <w:r>
              <w:rPr>
                <w:rFonts w:ascii="Arial" w:cs="Arial" w:eastAsia="Arial" w:hAnsi="Arial"/>
                <w:sz w:val="18"/>
                <w:szCs w:val="18"/>
                <w:color w:val="auto"/>
                <w:w w:val="78"/>
              </w:rPr>
              <w:t>[</w:t>
            </w:r>
          </w:p>
        </w:tc>
        <w:tc>
          <w:tcPr>
            <w:tcW w:w="2720" w:type="dxa"/>
            <w:vAlign w:val="bottom"/>
          </w:tcPr>
          <w:p>
            <w:pPr>
              <w:jc w:val="right"/>
              <w:ind w:right="89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ESCROW AGENT:</w:t>
      </w: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83845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SIGNATURE PAGE TO JOINT ESCROW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220980</wp:posOffset>
            </wp:positionV>
            <wp:extent cx="72675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74" w:name="page475"/>
    <w:bookmarkEnd w:id="474"/>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ASSIGNMENT SEPARATE FROM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475" w:name="page476"/>
    <w:bookmarkEnd w:id="475"/>
    <w:p>
      <w:pPr>
        <w:jc w:val="center"/>
        <w:ind w:right="-59"/>
        <w:spacing w:after="0"/>
        <w:rPr>
          <w:sz w:val="20"/>
          <w:szCs w:val="20"/>
          <w:color w:val="auto"/>
        </w:rPr>
      </w:pPr>
      <w:r>
        <w:rPr>
          <w:rFonts w:ascii="Arial" w:cs="Arial" w:eastAsia="Arial" w:hAnsi="Arial"/>
          <w:sz w:val="18"/>
          <w:szCs w:val="18"/>
          <w:b w:val="1"/>
          <w:bCs w:val="1"/>
          <w:color w:val="auto"/>
        </w:rPr>
        <w:t>STOCK ASSIGNMENT SEPARATE FROM CERTIFICATE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VALUE RECEIVED, I hereby sell, assign and transfer unto ( ) shares of Common Stock, $0.001 par value per share, of Fulcrum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 standing in my name on the books of the Corporation represented by Certificate(s) Number herewith, and do hereby irrevocably constitute and appoint Wilmer Cutler Pickering Hale and Dorr LLP attorney to transfer the said stock on the books of the Corporation with full power of substitution in the premises.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30187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5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of Spouse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1"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Instructions to Participant</w:t>
      </w:r>
      <w:r>
        <w:rPr>
          <w:rFonts w:ascii="Arial" w:cs="Arial" w:eastAsia="Arial" w:hAnsi="Arial"/>
          <w:sz w:val="17"/>
          <w:szCs w:val="17"/>
          <w:color w:val="auto"/>
        </w:rPr>
        <w:t>: Please do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not</w:t>
      </w:r>
      <w:r>
        <w:rPr>
          <w:rFonts w:ascii="Arial" w:cs="Arial" w:eastAsia="Arial" w:hAnsi="Arial"/>
          <w:sz w:val="17"/>
          <w:szCs w:val="17"/>
          <w:b w:val="1"/>
          <w:bCs w:val="1"/>
          <w:color w:val="auto"/>
        </w:rPr>
        <w:t xml:space="preserve"> </w:t>
      </w:r>
      <w:r>
        <w:rPr>
          <w:rFonts w:ascii="Arial" w:cs="Arial" w:eastAsia="Arial" w:hAnsi="Arial"/>
          <w:sz w:val="17"/>
          <w:szCs w:val="17"/>
          <w:color w:val="auto"/>
        </w:rPr>
        <w:t>fill in any blanks other than the signature line(s). The purpose of the Stock Assignment Separate from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is to enable the Company to acquire the Shares upon exercise of its Right of First Refusal and/or Purchase Option without requiring additional signatures on the part of the Participant or Participant’s spouse, if any. The signature(s) to this assignment must correspond with the name as written upon the face of the certificate, in every particular, without alteration,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76" w:name="page477"/>
    <w:bookmarkEnd w:id="476"/>
    <w:p>
      <w:pPr>
        <w:ind w:left="10400"/>
        <w:spacing w:after="0"/>
        <w:rPr>
          <w:sz w:val="20"/>
          <w:szCs w:val="20"/>
          <w:color w:val="auto"/>
        </w:rPr>
      </w:pPr>
      <w:r>
        <w:rPr>
          <w:rFonts w:ascii="Arial" w:cs="Arial" w:eastAsia="Arial" w:hAnsi="Arial"/>
          <w:sz w:val="16"/>
          <w:szCs w:val="16"/>
          <w:b w:val="1"/>
          <w:bCs w:val="1"/>
          <w:color w:val="auto"/>
        </w:rPr>
        <w:t>Exhibit 10.10</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Certain identified information has been excluded from the exhibit because it is both (i) not material and (ii) would likely cause competitive harm to the Company, if publicly disclosed. Double asterisks denote omissions.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REFERENCE AND LICENSE AGREEMENT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 xml:space="preserve">THIS RIGHT OF REFERENCE AND LICENSE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8,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made and entered into by and between GlaxoSmithKline Intellectual Property (No. 2) Limited, a company organized under the laws of England and Wales and having a place of business at 980 Great West Road, Brentford, Middlesex TW8 9GS England (“</w:t>
      </w:r>
      <w:r>
        <w:rPr>
          <w:rFonts w:ascii="Arial" w:cs="Arial" w:eastAsia="Arial" w:hAnsi="Arial"/>
          <w:sz w:val="18"/>
          <w:szCs w:val="18"/>
          <w:u w:val="single" w:color="auto"/>
          <w:color w:val="auto"/>
        </w:rPr>
        <w:t>GIP2</w:t>
      </w:r>
      <w:r>
        <w:rPr>
          <w:rFonts w:ascii="Arial" w:cs="Arial" w:eastAsia="Arial" w:hAnsi="Arial"/>
          <w:sz w:val="18"/>
          <w:szCs w:val="18"/>
          <w:color w:val="auto"/>
        </w:rPr>
        <w:t>”), GlaxoSmithKline LLC, a Delaware limited liability company having a place of business at 1250 S. Collegeville Road, Collegeville, PA 19426-0989 (“</w:t>
      </w:r>
      <w:r>
        <w:rPr>
          <w:rFonts w:ascii="Arial" w:cs="Arial" w:eastAsia="Arial" w:hAnsi="Arial"/>
          <w:sz w:val="18"/>
          <w:szCs w:val="18"/>
          <w:u w:val="single" w:color="auto"/>
          <w:color w:val="auto"/>
        </w:rPr>
        <w:t>GSK LLC</w:t>
      </w:r>
      <w:r>
        <w:rPr>
          <w:rFonts w:ascii="Arial" w:cs="Arial" w:eastAsia="Arial" w:hAnsi="Arial"/>
          <w:sz w:val="18"/>
          <w:szCs w:val="18"/>
          <w:color w:val="auto"/>
        </w:rPr>
        <w:t>”) and Glaxo Group Limited, a company organized under the laws of England and Wales and having a place of business at 980 Great West Road, Brentford, Middlesex TW8 9GS England (“</w:t>
      </w:r>
      <w:r>
        <w:rPr>
          <w:rFonts w:ascii="Arial" w:cs="Arial" w:eastAsia="Arial" w:hAnsi="Arial"/>
          <w:sz w:val="18"/>
          <w:szCs w:val="18"/>
          <w:u w:val="single" w:color="auto"/>
          <w:color w:val="auto"/>
        </w:rPr>
        <w:t>GGL</w:t>
      </w:r>
      <w:r>
        <w:rPr>
          <w:rFonts w:ascii="Arial" w:cs="Arial" w:eastAsia="Arial" w:hAnsi="Arial"/>
          <w:sz w:val="18"/>
          <w:szCs w:val="18"/>
          <w:color w:val="auto"/>
        </w:rPr>
        <w:t>”) (GIP2, GSK LLC and GGL are collectively referred to herein as “</w:t>
      </w:r>
      <w:r>
        <w:rPr>
          <w:rFonts w:ascii="Arial" w:cs="Arial" w:eastAsia="Arial" w:hAnsi="Arial"/>
          <w:sz w:val="18"/>
          <w:szCs w:val="18"/>
          <w:u w:val="single" w:color="auto"/>
          <w:color w:val="auto"/>
        </w:rPr>
        <w:t>GSK</w:t>
      </w:r>
      <w:r>
        <w:rPr>
          <w:rFonts w:ascii="Arial" w:cs="Arial" w:eastAsia="Arial" w:hAnsi="Arial"/>
          <w:sz w:val="18"/>
          <w:szCs w:val="18"/>
          <w:color w:val="auto"/>
        </w:rPr>
        <w:t>”), and Fulcrum Therapeutics, Inc., a Delaware corporation having a place of business at 26 Landsdowne Street, Cambridge, MA 02139 (“</w:t>
      </w:r>
      <w:r>
        <w:rPr>
          <w:rFonts w:ascii="Arial" w:cs="Arial" w:eastAsia="Arial" w:hAnsi="Arial"/>
          <w:sz w:val="18"/>
          <w:szCs w:val="18"/>
          <w:u w:val="single" w:color="auto"/>
          <w:color w:val="auto"/>
        </w:rPr>
        <w:t>Fulcrum</w:t>
      </w:r>
      <w:r>
        <w:rPr>
          <w:rFonts w:ascii="Arial" w:cs="Arial" w:eastAsia="Arial" w:hAnsi="Arial"/>
          <w:sz w:val="18"/>
          <w:szCs w:val="18"/>
          <w:color w:val="auto"/>
        </w:rPr>
        <w:t>”). GSK and Fulcrum may be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GSK (or its Affiliate) is the owner of the Losmapimod IND and the GSK Intellectual Property (each as defined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Fulcrum desires to obtain a right of reference to the Losmapimod IND and an exclusive license under the GSK Intellectual Property;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GSK desires to grant to Fulcrum such rights in accordance with the terms and conditions of this Agreement and the Equity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which will be executed simultaneously with this Agreement.</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NOW </w:t>
      </w:r>
      <w:r>
        <w:rPr>
          <w:rFonts w:ascii="Arial" w:cs="Arial" w:eastAsia="Arial" w:hAnsi="Arial"/>
          <w:sz w:val="17"/>
          <w:szCs w:val="17"/>
          <w:b w:val="1"/>
          <w:bCs w:val="1"/>
          <w:color w:val="auto"/>
        </w:rPr>
        <w:t>THEREFORE</w:t>
      </w:r>
      <w:r>
        <w:rPr>
          <w:rFonts w:ascii="Arial" w:cs="Arial" w:eastAsia="Arial" w:hAnsi="Arial"/>
          <w:sz w:val="18"/>
          <w:szCs w:val="18"/>
          <w:color w:val="auto"/>
        </w:rPr>
        <w:t>, in consideration of the premises and mutual covenants herein contained,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as used herein, have the following meanings:</w:t>
      </w:r>
    </w:p>
    <w:p>
      <w:pPr>
        <w:spacing w:after="0" w:line="225" w:lineRule="exact"/>
        <w:rPr>
          <w:sz w:val="20"/>
          <w:szCs w:val="20"/>
          <w:color w:val="auto"/>
        </w:rPr>
      </w:pPr>
    </w:p>
    <w:p>
      <w:pPr>
        <w:jc w:val="both"/>
        <w:ind w:right="40" w:firstLine="68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w:t>
      </w:r>
      <w:r>
        <w:rPr>
          <w:rFonts w:ascii="Arial" w:cs="Arial" w:eastAsia="Arial" w:hAnsi="Arial"/>
          <w:sz w:val="17"/>
          <w:szCs w:val="17"/>
          <w:color w:val="auto"/>
        </w:rPr>
        <w:t>means any Person that directly or indirectly, whether</w:t>
      </w:r>
      <w:r>
        <w:rPr>
          <w:rFonts w:ascii="Arial" w:cs="Arial" w:eastAsia="Arial" w:hAnsi="Arial"/>
          <w:sz w:val="18"/>
          <w:szCs w:val="18"/>
          <w:color w:val="auto"/>
        </w:rPr>
        <w:t xml:space="preserve"> </w:t>
      </w:r>
      <w:r>
        <w:rPr>
          <w:rFonts w:ascii="Arial" w:cs="Arial" w:eastAsia="Arial" w:hAnsi="Arial"/>
          <w:sz w:val="17"/>
          <w:szCs w:val="17"/>
          <w:i w:val="1"/>
          <w:iCs w:val="1"/>
          <w:color w:val="auto"/>
        </w:rPr>
        <w:t>de jure</w:t>
      </w:r>
      <w:r>
        <w:rPr>
          <w:rFonts w:ascii="Arial" w:cs="Arial" w:eastAsia="Arial" w:hAnsi="Arial"/>
          <w:sz w:val="18"/>
          <w:szCs w:val="18"/>
          <w:color w:val="auto"/>
        </w:rPr>
        <w:t xml:space="preserve"> </w:t>
      </w:r>
      <w:r>
        <w:rPr>
          <w:rFonts w:ascii="Arial" w:cs="Arial" w:eastAsia="Arial" w:hAnsi="Arial"/>
          <w:sz w:val="17"/>
          <w:szCs w:val="17"/>
          <w:color w:val="auto"/>
        </w:rPr>
        <w:t>or</w:t>
      </w:r>
      <w:r>
        <w:rPr>
          <w:rFonts w:ascii="Arial" w:cs="Arial" w:eastAsia="Arial" w:hAnsi="Arial"/>
          <w:sz w:val="18"/>
          <w:szCs w:val="18"/>
          <w:color w:val="auto"/>
        </w:rPr>
        <w:t xml:space="preserve"> </w:t>
      </w:r>
      <w:r>
        <w:rPr>
          <w:rFonts w:ascii="Arial" w:cs="Arial" w:eastAsia="Arial" w:hAnsi="Arial"/>
          <w:sz w:val="17"/>
          <w:szCs w:val="17"/>
          <w:i w:val="1"/>
          <w:iCs w:val="1"/>
          <w:color w:val="auto"/>
        </w:rPr>
        <w:t>de facto</w:t>
      </w:r>
      <w:r>
        <w:rPr>
          <w:rFonts w:ascii="Arial" w:cs="Arial" w:eastAsia="Arial" w:hAnsi="Arial"/>
          <w:sz w:val="17"/>
          <w:szCs w:val="17"/>
          <w:color w:val="auto"/>
        </w:rPr>
        <w:t>, is controlled by, controlling or under common control with, a Party,</w:t>
      </w:r>
      <w:r>
        <w:rPr>
          <w:rFonts w:ascii="Arial" w:cs="Arial" w:eastAsia="Arial" w:hAnsi="Arial"/>
          <w:sz w:val="18"/>
          <w:szCs w:val="18"/>
          <w:color w:val="auto"/>
        </w:rPr>
        <w:t xml:space="preserve"> </w:t>
      </w:r>
      <w:r>
        <w:rPr>
          <w:rFonts w:ascii="Arial" w:cs="Arial" w:eastAsia="Arial" w:hAnsi="Arial"/>
          <w:sz w:val="17"/>
          <w:szCs w:val="17"/>
          <w:color w:val="auto"/>
        </w:rPr>
        <w:t>but only for so long as such control shall continue. For purposes of this definition, “control” (including, with correlative meanings, “controlled by”, “controlling” and “under common control with”) means,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7" w:name="page478"/>
    <w:bookmarkEnd w:id="477"/>
    <w:p>
      <w:pPr>
        <w:spacing w:after="0" w:line="302" w:lineRule="auto"/>
        <w:rPr>
          <w:sz w:val="20"/>
          <w:szCs w:val="20"/>
          <w:color w:val="auto"/>
        </w:rPr>
      </w:pPr>
      <w:r>
        <w:rPr>
          <w:rFonts w:ascii="Arial" w:cs="Arial" w:eastAsia="Arial" w:hAnsi="Arial"/>
          <w:sz w:val="16"/>
          <w:szCs w:val="16"/>
          <w:color w:val="auto"/>
        </w:rPr>
        <w:t>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vested and exercisable option, warrant or other similar arrangement) or other comparable equity interests of such Person. A Person shall cease to be an “Affiliate” under this Agreement upon the date that such Person no longer satisfies the requirements set forth in this definition.</w:t>
      </w:r>
    </w:p>
    <w:p>
      <w:pPr>
        <w:spacing w:after="0" w:line="154" w:lineRule="exact"/>
        <w:rPr>
          <w:sz w:val="20"/>
          <w:szCs w:val="20"/>
          <w:color w:val="auto"/>
        </w:rPr>
      </w:pPr>
    </w:p>
    <w:p>
      <w:pPr>
        <w:ind w:right="240" w:firstLine="68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or any day on which banks are generally not open for business in New York, NY United States or London, England, but in any event excluding the nine (9) consecutive calendar days beginning on December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continuing through and including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Calendar Year during the Term.</w:t>
      </w:r>
    </w:p>
    <w:p>
      <w:pPr>
        <w:spacing w:after="0" w:line="116" w:lineRule="exact"/>
        <w:rPr>
          <w:sz w:val="20"/>
          <w:szCs w:val="20"/>
          <w:color w:val="auto"/>
        </w:rPr>
      </w:pPr>
    </w:p>
    <w:p>
      <w:pPr>
        <w:ind w:right="54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Quarter</w:t>
      </w:r>
      <w:r>
        <w:rPr>
          <w:rFonts w:ascii="Arial" w:cs="Arial" w:eastAsia="Arial" w:hAnsi="Arial"/>
          <w:sz w:val="18"/>
          <w:szCs w:val="18"/>
          <w:color w:val="auto"/>
        </w:rPr>
        <w:t xml:space="preserve">” </w:t>
      </w:r>
      <w:r>
        <w:rPr>
          <w:rFonts w:ascii="Arial" w:cs="Arial" w:eastAsia="Arial" w:hAnsi="Arial"/>
          <w:sz w:val="17"/>
          <w:szCs w:val="17"/>
          <w:color w:val="auto"/>
        </w:rPr>
        <w:t>means each of the consecutive three (3) month periods ending on March 31, June 30, September 30 and December 31 of any</w:t>
      </w:r>
      <w:r>
        <w:rPr>
          <w:rFonts w:ascii="Arial" w:cs="Arial" w:eastAsia="Arial" w:hAnsi="Arial"/>
          <w:sz w:val="18"/>
          <w:szCs w:val="18"/>
          <w:color w:val="auto"/>
        </w:rPr>
        <w:t xml:space="preserve"> </w:t>
      </w:r>
      <w:r>
        <w:rPr>
          <w:rFonts w:ascii="Arial" w:cs="Arial" w:eastAsia="Arial" w:hAnsi="Arial"/>
          <w:sz w:val="17"/>
          <w:szCs w:val="17"/>
          <w:color w:val="auto"/>
        </w:rPr>
        <w:t>Calendar Year.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Year</w:t>
      </w:r>
      <w:r>
        <w:rPr>
          <w:rFonts w:ascii="Arial" w:cs="Arial" w:eastAsia="Arial" w:hAnsi="Arial"/>
          <w:sz w:val="18"/>
          <w:szCs w:val="18"/>
          <w:color w:val="auto"/>
        </w:rPr>
        <w:t>” means each twelve (12) month period commencing on January 1 and ending on December 31.</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means</w:t>
      </w:r>
      <w:r>
        <w:rPr>
          <w:rFonts w:ascii="Arial" w:cs="Arial" w:eastAsia="Arial" w:hAnsi="Arial"/>
          <w:sz w:val="16"/>
          <w:szCs w:val="16"/>
          <w:color w:val="auto"/>
        </w:rPr>
        <w:t>, with respect to Fulcrum’s obligations under this Agreement, the carrying out of such obligations or tasks</w:t>
      </w:r>
      <w:r>
        <w:rPr>
          <w:rFonts w:ascii="Arial" w:cs="Arial" w:eastAsia="Arial" w:hAnsi="Arial"/>
          <w:sz w:val="17"/>
          <w:szCs w:val="17"/>
          <w:color w:val="auto"/>
        </w:rPr>
        <w:t xml:space="preserve"> </w:t>
      </w:r>
      <w:r>
        <w:rPr>
          <w:rFonts w:ascii="Arial" w:cs="Arial" w:eastAsia="Arial" w:hAnsi="Arial"/>
          <w:sz w:val="16"/>
          <w:szCs w:val="16"/>
          <w:color w:val="auto"/>
        </w:rPr>
        <w:t xml:space="preserve">with a level of efforts and resources consistent with the commercially reasonable practices of a company of similar size and resources in the biopharmaceutical industry for the research, development or commercialization of a pharmaceutical product of commercial potential comparable to that of the applicable Licensed Product at a similar stage of development or commercialization, taking into account efficacy, safety, patent and regulatory exclusivity, anticipated or approved labeling, present and future market potential, competitive market conditions, costs and risks of development and commercialization, relevant scientific and technical considerations and the profitability of the applicable Licensed Product in light of pricing and reimbursement issues;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Fulcrum shall not take into consideration any amounts owed to GSK under this Agreement. Commercially Reasonable Efforts shall be determined on a market-by-market and Licensed Product-by-Licensed Product basis, and it is anticipated that the level of efforts required shall be different for different markets and Licensed Products and shall change over time, reflecting changes in the status of the Licensed Product and markets involved</w:t>
      </w:r>
      <w:r>
        <w:rPr>
          <w:rFonts w:ascii="Arial" w:cs="Arial" w:eastAsia="Arial" w:hAnsi="Arial"/>
          <w:sz w:val="17"/>
          <w:szCs w:val="17"/>
          <w:color w:val="auto"/>
        </w:rPr>
        <w:t>.</w:t>
      </w:r>
    </w:p>
    <w:p>
      <w:pPr>
        <w:spacing w:after="0" w:line="17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Compound</w:t>
      </w:r>
      <w:r>
        <w:rPr>
          <w:rFonts w:ascii="Arial" w:cs="Arial" w:eastAsia="Arial" w:hAnsi="Arial"/>
          <w:sz w:val="18"/>
          <w:szCs w:val="18"/>
          <w:color w:val="auto"/>
        </w:rPr>
        <w:t xml:space="preserve">” means the small molecule p38 inhibitor known as Losmapimod, which molecule is identified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this Agreement, attached hereto and incorporated herein.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item of Data, Patents or other proprietary right, the possession of the right, whether directly or indirectly, and whether by ownership, license, or other right (other than pursuant to this Agreement), to grant an exclusive license under such Data, Patents or other proprietary right.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w:t>
      </w:r>
      <w:r>
        <w:rPr>
          <w:rFonts w:ascii="Arial" w:cs="Arial" w:eastAsia="Arial" w:hAnsi="Arial"/>
          <w:sz w:val="18"/>
          <w:szCs w:val="18"/>
          <w:color w:val="auto"/>
        </w:rPr>
        <w:t>” means, with respect to the Compound, (i) the documents and data stored on an encrypted hard drive transferred to Fulcrum by GSK prior to the Effective Date and identified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8" w:name="page479"/>
    <w:bookmarkEnd w:id="478"/>
    <w:p>
      <w:pPr>
        <w:spacing w:after="0"/>
        <w:rPr>
          <w:sz w:val="20"/>
          <w:szCs w:val="20"/>
          <w:color w:val="auto"/>
        </w:rPr>
      </w:pPr>
      <w:r>
        <w:rPr>
          <w:rFonts w:ascii="Arial" w:cs="Arial" w:eastAsia="Arial" w:hAnsi="Arial"/>
          <w:sz w:val="18"/>
          <w:szCs w:val="18"/>
          <w:color w:val="auto"/>
        </w:rPr>
        <w:t xml:space="preserve">within GSK as </w:t>
      </w:r>
      <w:r>
        <w:rPr>
          <w:rFonts w:ascii="Arial" w:cs="Arial" w:eastAsia="Arial" w:hAnsi="Arial"/>
          <w:sz w:val="17"/>
          <w:szCs w:val="17"/>
          <w:color w:val="auto"/>
        </w:rPr>
        <w:t>“FT04Feb2019” and (ii) the documents, data and information required to be delivered pursuant to</w:t>
      </w:r>
      <w:r>
        <w:rPr>
          <w:rFonts w:ascii="Arial" w:cs="Arial" w:eastAsia="Arial" w:hAnsi="Arial"/>
          <w:sz w:val="18"/>
          <w:szCs w:val="18"/>
          <w:color w:val="auto"/>
        </w:rPr>
        <w:t xml:space="preserve"> </w:t>
      </w:r>
      <w:r>
        <w:rPr>
          <w:rFonts w:ascii="Arial" w:cs="Arial" w:eastAsia="Arial" w:hAnsi="Arial"/>
          <w:sz w:val="17"/>
          <w:szCs w:val="17"/>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Debarred</w:t>
      </w:r>
      <w:r>
        <w:rPr>
          <w:rFonts w:ascii="Arial" w:cs="Arial" w:eastAsia="Arial" w:hAnsi="Arial"/>
          <w:sz w:val="18"/>
          <w:szCs w:val="18"/>
          <w:color w:val="auto"/>
        </w:rPr>
        <w:t>” or “</w:t>
      </w:r>
      <w:r>
        <w:rPr>
          <w:rFonts w:ascii="Arial" w:cs="Arial" w:eastAsia="Arial" w:hAnsi="Arial"/>
          <w:sz w:val="18"/>
          <w:szCs w:val="18"/>
          <w:u w:val="single" w:color="auto"/>
          <w:color w:val="auto"/>
        </w:rPr>
        <w:t>Debarment</w:t>
      </w:r>
      <w:r>
        <w:rPr>
          <w:rFonts w:ascii="Arial" w:cs="Arial" w:eastAsia="Arial" w:hAnsi="Arial"/>
          <w:sz w:val="18"/>
          <w:szCs w:val="18"/>
          <w:color w:val="auto"/>
        </w:rPr>
        <w:t>” means, with respect to a Person, that such Person (a) is debarred by the FDA pursuant to Section 306 of the United States Federal Food, Drug and Cosmetic Act, or is the subject of conviction described in such section (or is subject to a similar sanction of any other applicable Regulatory Authority), (b) is the subject of an FDA debarment investigation or proceeding (or similar proceeding of any other applicable Regulatory Authority), or (c) has been charged with or convicted under U.S. Law for conduct relating to the development or approval, or otherwise relating to the regulation, of any product under the Generic Drug Enforcement Act of 1992.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w:t>
      </w:r>
      <w:r>
        <w:rPr>
          <w:rFonts w:ascii="Arial" w:cs="Arial" w:eastAsia="Arial" w:hAnsi="Arial"/>
          <w:sz w:val="18"/>
          <w:szCs w:val="18"/>
          <w:color w:val="auto"/>
        </w:rPr>
        <w:t xml:space="preserve">” means </w:t>
      </w:r>
      <w:r>
        <w:rPr>
          <w:rFonts w:ascii="Arial" w:cs="Arial" w:eastAsia="Arial" w:hAnsi="Arial"/>
          <w:sz w:val="17"/>
          <w:szCs w:val="17"/>
          <w:color w:val="auto"/>
        </w:rPr>
        <w:t>the European Medicines Agency and any successor entity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Exploit</w:t>
      </w:r>
      <w:r>
        <w:rPr>
          <w:rFonts w:ascii="Arial" w:cs="Arial" w:eastAsia="Arial" w:hAnsi="Arial"/>
          <w:sz w:val="18"/>
          <w:szCs w:val="18"/>
          <w:color w:val="auto"/>
        </w:rPr>
        <w:t xml:space="preserve">” means </w:t>
      </w:r>
      <w:r>
        <w:rPr>
          <w:rFonts w:ascii="Arial" w:cs="Arial" w:eastAsia="Arial" w:hAnsi="Arial"/>
          <w:sz w:val="17"/>
          <w:szCs w:val="17"/>
          <w:color w:val="auto"/>
        </w:rPr>
        <w:t>to research, develop, design, make, use, sell, offer for sale, license, lease, supply, distribute, provide, perform, practice, import, export</w:t>
      </w:r>
      <w:r>
        <w:rPr>
          <w:rFonts w:ascii="Arial" w:cs="Arial" w:eastAsia="Arial" w:hAnsi="Arial"/>
          <w:sz w:val="18"/>
          <w:szCs w:val="18"/>
          <w:color w:val="auto"/>
        </w:rPr>
        <w:t xml:space="preserve"> </w:t>
      </w:r>
      <w:r>
        <w:rPr>
          <w:rFonts w:ascii="Arial" w:cs="Arial" w:eastAsia="Arial" w:hAnsi="Arial"/>
          <w:sz w:val="17"/>
          <w:szCs w:val="17"/>
          <w:color w:val="auto"/>
        </w:rPr>
        <w:t>or otherwise make available, commercialize or exploit any technology, or to allow any Person to do any of the foregoing.</w:t>
      </w:r>
    </w:p>
    <w:p>
      <w:pPr>
        <w:spacing w:after="0" w:line="17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w:t>
      </w:r>
      <w:r>
        <w:rPr>
          <w:rFonts w:ascii="Arial" w:cs="Arial" w:eastAsia="Arial" w:hAnsi="Arial"/>
          <w:sz w:val="18"/>
          <w:szCs w:val="18"/>
          <w:color w:val="auto"/>
        </w:rPr>
        <w:t>” means the economic, scientific and political organization of member states known as the European Union, as its membership may be altered from time to time, and any successor thereto. Notwithstanding the foregoing, the EU shall be deemed to include the United Kingdom for purposes of this definition regardless of whether or not the United Kingdom is a member state of the European Union.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w:t>
      </w:r>
      <w:r>
        <w:rPr>
          <w:rFonts w:ascii="Arial" w:cs="Arial" w:eastAsia="Arial" w:hAnsi="Arial"/>
          <w:sz w:val="17"/>
          <w:szCs w:val="17"/>
          <w:color w:val="auto"/>
        </w:rPr>
        <w:t>means the United States Food and Drug Administration and any successor agency thereto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w:t>
      </w:r>
      <w:r>
        <w:rPr>
          <w:rFonts w:ascii="Arial" w:cs="Arial" w:eastAsia="Arial" w:hAnsi="Arial"/>
          <w:sz w:val="18"/>
          <w:szCs w:val="18"/>
          <w:color w:val="auto"/>
        </w:rPr>
        <w:t>” means all therapeutic uses in humans.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means, with respect to a Licensed Product in a particular country, the first sale of such Licensed Product by a Selling Party to a</w:t>
      </w:r>
      <w:r>
        <w:rPr>
          <w:rFonts w:ascii="Arial" w:cs="Arial" w:eastAsia="Arial" w:hAnsi="Arial"/>
          <w:sz w:val="18"/>
          <w:szCs w:val="18"/>
          <w:color w:val="auto"/>
        </w:rPr>
        <w:t xml:space="preserve"> </w:t>
      </w:r>
      <w:r>
        <w:rPr>
          <w:rFonts w:ascii="Arial" w:cs="Arial" w:eastAsia="Arial" w:hAnsi="Arial"/>
          <w:sz w:val="17"/>
          <w:szCs w:val="17"/>
          <w:color w:val="auto"/>
        </w:rPr>
        <w:t>Third Party for end use or consumption in such country.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FSHD</w:t>
      </w:r>
      <w:r>
        <w:rPr>
          <w:rFonts w:ascii="Arial" w:cs="Arial" w:eastAsia="Arial" w:hAnsi="Arial"/>
          <w:sz w:val="18"/>
          <w:szCs w:val="18"/>
          <w:color w:val="auto"/>
        </w:rPr>
        <w:t>” means facioscapulohumeral muscular dystrophy.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Generic Version</w:t>
      </w:r>
      <w:r>
        <w:rPr>
          <w:rFonts w:ascii="Arial" w:cs="Arial" w:eastAsia="Arial" w:hAnsi="Arial"/>
          <w:sz w:val="18"/>
          <w:szCs w:val="18"/>
          <w:color w:val="auto"/>
        </w:rPr>
        <w:t>” means a product that is (i) approved for the same indication as a Licensed Product and contains the Compound; and (ii) sold by a Third Party that is not a Sublicensee of Fulcrum, under a Regulatory Approval granted to a Third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GSK Intellectual Property</w:t>
      </w:r>
      <w:r>
        <w:rPr>
          <w:rFonts w:ascii="Arial" w:cs="Arial" w:eastAsia="Arial" w:hAnsi="Arial"/>
          <w:sz w:val="18"/>
          <w:szCs w:val="18"/>
          <w:color w:val="auto"/>
        </w:rPr>
        <w:t>” means the GSK Patents and the Data.</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GSK Patents</w:t>
      </w:r>
      <w:r>
        <w:rPr>
          <w:rFonts w:ascii="Arial" w:cs="Arial" w:eastAsia="Arial" w:hAnsi="Arial"/>
          <w:sz w:val="18"/>
          <w:szCs w:val="18"/>
          <w:color w:val="auto"/>
        </w:rPr>
        <w:t xml:space="preserve">” means the Patents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attached hereto and incorporated herein, and all counterpart Patents thereof, and all corresponding Patents throughout the world.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means an investigational new drug application filed with the FDA.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9" w:name="page480"/>
    <w:bookmarkEnd w:id="4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federal, state, local, national or supra-national law (both common and statutory law and civil and criminal law), treaty, convention, rule, directive, legislation, ordinance, regulatory code (including, without limitation, statutory instruments, guidance notes, circulars, directives, decisions, rules and regulations) or similar provision having the force of law or an order of any Regulatory Authority or any self-regulatory organization.</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any pharmaceutical preparation that contains the Compound as an active pharmaceutical ingredient, in any and all forms, presentations, delivery systems, dosages and formulations.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Losmapimod IND</w:t>
      </w:r>
      <w:r>
        <w:rPr>
          <w:rFonts w:ascii="Arial" w:cs="Arial" w:eastAsia="Arial" w:hAnsi="Arial"/>
          <w:sz w:val="18"/>
          <w:szCs w:val="18"/>
          <w:color w:val="auto"/>
        </w:rPr>
        <w:t>” means IND No. [**], previously filed with FDA by GSK or its Affiliates for the Compound, and all amendments of any of the foregoing.</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Marketing Authorization Application</w:t>
      </w:r>
      <w:r>
        <w:rPr>
          <w:rFonts w:ascii="Arial" w:cs="Arial" w:eastAsia="Arial" w:hAnsi="Arial"/>
          <w:sz w:val="18"/>
          <w:szCs w:val="18"/>
          <w:color w:val="auto"/>
        </w:rPr>
        <w:t>” means: (a) in the United States, a New Drug Application (as defined in Title 21, Section 314.50 et seq. of the U.S. Code of Federal Regulations or any successor regulations), including any amendment or supplement thereto, and (b) in any other country or regulatory jurisdiction, an application for Regulatory Approval required for marketing or sale of a Licensed Product in such country or regulatory jurisdiction, including any amendment or supplement thereto.</w:t>
      </w:r>
    </w:p>
    <w:p>
      <w:pPr>
        <w:spacing w:after="0" w:line="187" w:lineRule="exact"/>
        <w:rPr>
          <w:sz w:val="20"/>
          <w:szCs w:val="20"/>
          <w:color w:val="auto"/>
        </w:rPr>
      </w:pPr>
    </w:p>
    <w:p>
      <w:pPr>
        <w:ind w:right="20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means </w:t>
      </w:r>
      <w:r>
        <w:rPr>
          <w:rFonts w:ascii="Arial" w:cs="Arial" w:eastAsia="Arial" w:hAnsi="Arial"/>
          <w:sz w:val="17"/>
          <w:szCs w:val="17"/>
          <w:color w:val="auto"/>
        </w:rPr>
        <w:t>the gross amounts billed or invoiced by Fulcrum, its Affiliates and Sublicensees (each, a “</w:t>
      </w:r>
      <w:r>
        <w:rPr>
          <w:rFonts w:ascii="Arial" w:cs="Arial" w:eastAsia="Arial" w:hAnsi="Arial"/>
          <w:sz w:val="17"/>
          <w:szCs w:val="17"/>
          <w:u w:val="single" w:color="auto"/>
          <w:color w:val="auto"/>
        </w:rPr>
        <w:t>Selling Party</w:t>
      </w:r>
      <w:r>
        <w:rPr>
          <w:rFonts w:ascii="Arial" w:cs="Arial" w:eastAsia="Arial" w:hAnsi="Arial"/>
          <w:sz w:val="17"/>
          <w:szCs w:val="17"/>
          <w:color w:val="auto"/>
        </w:rPr>
        <w:t>”) to any Third Party that is</w:t>
      </w:r>
      <w:r>
        <w:rPr>
          <w:rFonts w:ascii="Arial" w:cs="Arial" w:eastAsia="Arial" w:hAnsi="Arial"/>
          <w:sz w:val="18"/>
          <w:szCs w:val="18"/>
          <w:color w:val="auto"/>
        </w:rPr>
        <w:t xml:space="preserve"> </w:t>
      </w:r>
      <w:r>
        <w:rPr>
          <w:rFonts w:ascii="Arial" w:cs="Arial" w:eastAsia="Arial" w:hAnsi="Arial"/>
          <w:sz w:val="17"/>
          <w:szCs w:val="17"/>
          <w:color w:val="auto"/>
        </w:rPr>
        <w:t>not a Sublicensee with respect to sales of Licensed Products in the Territory, less the following:</w:t>
      </w:r>
    </w:p>
    <w:p>
      <w:pPr>
        <w:spacing w:after="0" w:line="174" w:lineRule="exact"/>
        <w:rPr>
          <w:sz w:val="20"/>
          <w:szCs w:val="20"/>
          <w:color w:val="auto"/>
        </w:rPr>
      </w:pPr>
    </w:p>
    <w:p>
      <w:pPr>
        <w:ind w:left="660" w:right="560" w:firstLine="645"/>
        <w:spacing w:after="0" w:line="277" w:lineRule="auto"/>
        <w:tabs>
          <w:tab w:leader="none" w:pos="195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discounts, credits, refunds, wholesaler allowances, inventory management fees and rebates actually allowed by Fulcrum, its Affiliates or Sublicensees with respect to Licensed Products;</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sales, import, export, customs, and value added taxes, and duties directly imposed on the Licensed Products and actually paid by Fulcrum, its Affiliates or Sublicensees, excluding taxes on the net income of Fulcrum, its Affiliates and Sublicensees;</w:t>
      </w:r>
    </w:p>
    <w:p>
      <w:pPr>
        <w:spacing w:after="0" w:line="170" w:lineRule="exact"/>
        <w:rPr>
          <w:rFonts w:ascii="Arial" w:cs="Arial" w:eastAsia="Arial" w:hAnsi="Arial"/>
          <w:sz w:val="18"/>
          <w:szCs w:val="18"/>
          <w:color w:val="auto"/>
        </w:rPr>
      </w:pPr>
    </w:p>
    <w:p>
      <w:pPr>
        <w:ind w:left="660" w:right="820" w:firstLine="645"/>
        <w:spacing w:after="0" w:line="277" w:lineRule="auto"/>
        <w:tabs>
          <w:tab w:leader="none" w:pos="196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outbound freight, postage, duties, transportation, handling and insurance costs actually paid by Fulcrum, its Affiliates or Sublicensees with respect to Licensed Products;</w:t>
      </w:r>
    </w:p>
    <w:p>
      <w:pPr>
        <w:spacing w:after="0" w:line="170" w:lineRule="exact"/>
        <w:rPr>
          <w:rFonts w:ascii="Arial" w:cs="Arial" w:eastAsia="Arial" w:hAnsi="Arial"/>
          <w:sz w:val="18"/>
          <w:szCs w:val="18"/>
          <w:color w:val="auto"/>
        </w:rPr>
      </w:pPr>
    </w:p>
    <w:p>
      <w:pPr>
        <w:ind w:left="660" w:firstLine="645"/>
        <w:spacing w:after="0" w:line="264" w:lineRule="auto"/>
        <w:tabs>
          <w:tab w:leader="none" w:pos="196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billed or invoiced amounts written off as uncollectible by Fulcrum, its Affiliates or Sublicensees with respect to Licensed Products,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any such written off amount is thereafter collected, such amount shall be included in Net Sales in the Calendar Quarter in which it is collected;</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196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annual fees due under Section 9008 of the United States Patient Protection and Affordable Care Act of 2010 (Pub. L. No. 111-48) allocable to sales of Licensed Product;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80" w:name="page481"/>
    <w:bookmarkEnd w:id="480"/>
    <w:p>
      <w:pPr>
        <w:ind w:left="1960" w:hanging="655"/>
        <w:spacing w:after="0"/>
        <w:tabs>
          <w:tab w:leader="none" w:pos="196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amounts actually allowed or credited on returns of sales of Licensed Products by Fulcrum, its Affiliates or their Sublicensees.</w:t>
      </w:r>
    </w:p>
    <w:p>
      <w:pPr>
        <w:spacing w:after="0" w:line="237"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In no event shall any particular amount identified above be deducted more than once in calculating Net Sales (</w:t>
      </w:r>
      <w:r>
        <w:rPr>
          <w:rFonts w:ascii="Arial" w:cs="Arial" w:eastAsia="Arial" w:hAnsi="Arial"/>
          <w:sz w:val="16"/>
          <w:szCs w:val="16"/>
          <w:i w:val="1"/>
          <w:iCs w:val="1"/>
          <w:color w:val="auto"/>
        </w:rPr>
        <w:t>i.e.,</w:t>
      </w:r>
      <w:r>
        <w:rPr>
          <w:rFonts w:ascii="Arial" w:cs="Arial" w:eastAsia="Arial" w:hAnsi="Arial"/>
          <w:sz w:val="16"/>
          <w:szCs w:val="16"/>
          <w:color w:val="auto"/>
        </w:rPr>
        <w:t xml:space="preserve"> no “double counting” of deductions). All discounts, allowances, credits, rebates, and other deductions shall be fairly and equitably allocated to the Licensed Product and other product(s) of Fulcrum, and of its Affiliates and Sublicensees, such that the Licensed Products do not bear a disproportionate portion of such deductions.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Such amounts shall be determined in accordance with either (i) U.S.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or (ii) International Financial Reporting Standards (“</w:t>
      </w:r>
      <w:r>
        <w:rPr>
          <w:rFonts w:ascii="Arial" w:cs="Arial" w:eastAsia="Arial" w:hAnsi="Arial"/>
          <w:sz w:val="18"/>
          <w:szCs w:val="18"/>
          <w:u w:val="single" w:color="auto"/>
          <w:color w:val="auto"/>
        </w:rPr>
        <w:t>IFRS</w:t>
      </w:r>
      <w:r>
        <w:rPr>
          <w:rFonts w:ascii="Arial" w:cs="Arial" w:eastAsia="Arial" w:hAnsi="Arial"/>
          <w:sz w:val="18"/>
          <w:szCs w:val="18"/>
          <w:color w:val="auto"/>
        </w:rPr>
        <w:t>”) depending on the accounting standard used by the applicable Selling Party in such Selling Party’s financial reporting, case consistently applied.</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w:t>
      </w:r>
      <w:r>
        <w:rPr>
          <w:rFonts w:ascii="Arial" w:cs="Arial" w:eastAsia="Arial" w:hAnsi="Arial"/>
          <w:sz w:val="18"/>
          <w:szCs w:val="18"/>
          <w:color w:val="auto"/>
        </w:rPr>
        <w:t xml:space="preserve">” means </w:t>
      </w:r>
      <w:r>
        <w:rPr>
          <w:rFonts w:ascii="Arial" w:cs="Arial" w:eastAsia="Arial" w:hAnsi="Arial"/>
          <w:sz w:val="17"/>
          <w:szCs w:val="17"/>
          <w:color w:val="auto"/>
        </w:rPr>
        <w:t>all: (a) letters patent (including inventor’s certificates), including any substitution, extension, registration, confirmation, validation,</w:t>
      </w:r>
      <w:r>
        <w:rPr>
          <w:rFonts w:ascii="Arial" w:cs="Arial" w:eastAsia="Arial" w:hAnsi="Arial"/>
          <w:sz w:val="18"/>
          <w:szCs w:val="18"/>
          <w:color w:val="auto"/>
        </w:rPr>
        <w:t xml:space="preserve"> </w:t>
      </w:r>
      <w:r>
        <w:rPr>
          <w:rFonts w:ascii="Arial" w:cs="Arial" w:eastAsia="Arial" w:hAnsi="Arial"/>
          <w:sz w:val="17"/>
          <w:szCs w:val="17"/>
          <w:color w:val="auto"/>
        </w:rPr>
        <w:t>reissue, re-examination, supplementary protection certificates, confirmation patents, patent of additions, renewal or any like filing thereof; (b) pending applications for letters patent (including applications for inventor’s certificates), including any continuation, division or continuation-in-part thereof and any provisional applications; and (c) any United States and international counterparts to any of (a) and (b) above</w:t>
      </w:r>
      <w:r>
        <w:rPr>
          <w:rFonts w:ascii="Arial" w:cs="Arial" w:eastAsia="Arial" w:hAnsi="Arial"/>
          <w:sz w:val="18"/>
          <w:szCs w:val="18"/>
          <w:color w:val="auto"/>
        </w:rPr>
        <w:t>.</w:t>
      </w:r>
    </w:p>
    <w:p>
      <w:pPr>
        <w:spacing w:after="0" w:line="18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70" w:lineRule="exact"/>
        <w:rPr>
          <w:sz w:val="20"/>
          <w:szCs w:val="20"/>
          <w:color w:val="auto"/>
        </w:rPr>
      </w:pPr>
    </w:p>
    <w:p>
      <w:pPr>
        <w:ind w:right="14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Phase 1 Clinical Trial</w:t>
      </w:r>
      <w:r>
        <w:rPr>
          <w:rFonts w:ascii="Arial" w:cs="Arial" w:eastAsia="Arial" w:hAnsi="Arial"/>
          <w:sz w:val="17"/>
          <w:szCs w:val="17"/>
          <w:color w:val="auto"/>
        </w:rPr>
        <w:t xml:space="preserve">” </w:t>
      </w:r>
      <w:r>
        <w:rPr>
          <w:rFonts w:ascii="Arial" w:cs="Arial" w:eastAsia="Arial" w:hAnsi="Arial"/>
          <w:sz w:val="16"/>
          <w:szCs w:val="16"/>
          <w:color w:val="auto"/>
        </w:rPr>
        <w:t>means a study of a Licensed Product in healthy individuals or patients, the principal purpose of which is a preliminary</w:t>
      </w:r>
      <w:r>
        <w:rPr>
          <w:rFonts w:ascii="Arial" w:cs="Arial" w:eastAsia="Arial" w:hAnsi="Arial"/>
          <w:sz w:val="17"/>
          <w:szCs w:val="17"/>
          <w:color w:val="auto"/>
        </w:rPr>
        <w:t xml:space="preserve"> </w:t>
      </w:r>
      <w:r>
        <w:rPr>
          <w:rFonts w:ascii="Arial" w:cs="Arial" w:eastAsia="Arial" w:hAnsi="Arial"/>
          <w:sz w:val="16"/>
          <w:szCs w:val="16"/>
          <w:color w:val="auto"/>
        </w:rPr>
        <w:t>determination of safety, tolerability, pharmacological activity or pharmacokinetics, as further defined in 21 C.F.R. 312.21(a), or the corresponding regulations in any jurisdiction or country other than the United States, or any amended or successor regulations, to permit the design of further clinical trials.</w:t>
      </w:r>
    </w:p>
    <w:p>
      <w:pPr>
        <w:spacing w:after="0" w:line="160" w:lineRule="exact"/>
        <w:rPr>
          <w:sz w:val="20"/>
          <w:szCs w:val="20"/>
          <w:color w:val="auto"/>
        </w:rPr>
      </w:pPr>
    </w:p>
    <w:p>
      <w:pPr>
        <w:ind w:right="18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2 Clinical Trial</w:t>
      </w:r>
      <w:r>
        <w:rPr>
          <w:rFonts w:ascii="Arial" w:cs="Arial" w:eastAsia="Arial" w:hAnsi="Arial"/>
          <w:sz w:val="18"/>
          <w:szCs w:val="18"/>
          <w:color w:val="auto"/>
        </w:rPr>
        <w:t xml:space="preserve">” </w:t>
      </w:r>
      <w:r>
        <w:rPr>
          <w:rFonts w:ascii="Arial" w:cs="Arial" w:eastAsia="Arial" w:hAnsi="Arial"/>
          <w:sz w:val="17"/>
          <w:szCs w:val="17"/>
          <w:color w:val="auto"/>
        </w:rPr>
        <w:t>means a study of a Licensed Product in the Field in human patients designed or intended to determine initial efficacy,</w:t>
      </w:r>
      <w:r>
        <w:rPr>
          <w:rFonts w:ascii="Arial" w:cs="Arial" w:eastAsia="Arial" w:hAnsi="Arial"/>
          <w:sz w:val="18"/>
          <w:szCs w:val="18"/>
          <w:color w:val="auto"/>
        </w:rPr>
        <w:t xml:space="preserve"> </w:t>
      </w:r>
      <w:r>
        <w:rPr>
          <w:rFonts w:ascii="Arial" w:cs="Arial" w:eastAsia="Arial" w:hAnsi="Arial"/>
          <w:sz w:val="17"/>
          <w:szCs w:val="17"/>
          <w:color w:val="auto"/>
        </w:rPr>
        <w:t>pharmacological effect or dose range or regimen, as further defined in 21 C.F.R. 312.21(b), or the corresponding regulations in any jurisdiction or country other than the United States, or any amended or successor regulations, to permit the design of further clinical trials.</w:t>
      </w:r>
    </w:p>
    <w:p>
      <w:pPr>
        <w:spacing w:after="0" w:line="179"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3 Clinical Trial</w:t>
      </w:r>
      <w:r>
        <w:rPr>
          <w:rFonts w:ascii="Arial" w:cs="Arial" w:eastAsia="Arial" w:hAnsi="Arial"/>
          <w:sz w:val="18"/>
          <w:szCs w:val="18"/>
          <w:color w:val="auto"/>
        </w:rPr>
        <w:t xml:space="preserve">” </w:t>
      </w:r>
      <w:r>
        <w:rPr>
          <w:rFonts w:ascii="Arial" w:cs="Arial" w:eastAsia="Arial" w:hAnsi="Arial"/>
          <w:sz w:val="17"/>
          <w:szCs w:val="17"/>
          <w:color w:val="auto"/>
        </w:rPr>
        <w:t>means a pivotal study in the Field in human patients with a defined dose or a set of defined doses of a Licensed Product</w:t>
      </w:r>
      <w:r>
        <w:rPr>
          <w:rFonts w:ascii="Arial" w:cs="Arial" w:eastAsia="Arial" w:hAnsi="Arial"/>
          <w:sz w:val="18"/>
          <w:szCs w:val="18"/>
          <w:color w:val="auto"/>
        </w:rPr>
        <w:t xml:space="preserve"> </w:t>
      </w:r>
      <w:r>
        <w:rPr>
          <w:rFonts w:ascii="Arial" w:cs="Arial" w:eastAsia="Arial" w:hAnsi="Arial"/>
          <w:sz w:val="17"/>
          <w:szCs w:val="17"/>
          <w:color w:val="auto"/>
        </w:rPr>
        <w:t>designed or intended to ascertain efficacy and safety of such Licensed Product for the purpose of enabling the preparation and submission of a Marketing Authorization Application to the competent Regulatory Authority in a country of the Territory, as further defined in 21 C.F.R. 312.21(c), or the corresponding regulations in any jurisdiction or country other than the United States, or any amended or successor regulations.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1" w:name="page482"/>
    <w:bookmarkEnd w:id="481"/>
    <w:p>
      <w:pPr>
        <w:ind w:right="2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Approval</w:t>
      </w:r>
      <w:r>
        <w:rPr>
          <w:rFonts w:ascii="Arial" w:cs="Arial" w:eastAsia="Arial" w:hAnsi="Arial"/>
          <w:sz w:val="17"/>
          <w:szCs w:val="17"/>
          <w:color w:val="auto"/>
        </w:rPr>
        <w:t xml:space="preserve">” </w:t>
      </w:r>
      <w:r>
        <w:rPr>
          <w:rFonts w:ascii="Arial" w:cs="Arial" w:eastAsia="Arial" w:hAnsi="Arial"/>
          <w:sz w:val="16"/>
          <w:szCs w:val="16"/>
          <w:color w:val="auto"/>
        </w:rPr>
        <w:t>means any and all approvals (including supplements, amendments, and pre- and post-approvals), licenses, registrations or</w:t>
      </w:r>
      <w:r>
        <w:rPr>
          <w:rFonts w:ascii="Arial" w:cs="Arial" w:eastAsia="Arial" w:hAnsi="Arial"/>
          <w:sz w:val="17"/>
          <w:szCs w:val="17"/>
          <w:color w:val="auto"/>
        </w:rPr>
        <w:t xml:space="preserve"> </w:t>
      </w:r>
      <w:r>
        <w:rPr>
          <w:rFonts w:ascii="Arial" w:cs="Arial" w:eastAsia="Arial" w:hAnsi="Arial"/>
          <w:sz w:val="16"/>
          <w:szCs w:val="16"/>
          <w:color w:val="auto"/>
        </w:rPr>
        <w:t>authorizations (or waivers) of any national, supra-national (e.g., the European Commission or the Council of the EU), regional, state or local regulatory agency, department, bureau, commission, council or other governmental entity, that are necessary for the manufacture, distribution, use, import, transport, promotion, marketing, offer for sale or sale of a product in a regulatory jurisdiction; but excluding any pricing and reimbursement approval.</w:t>
      </w:r>
    </w:p>
    <w:p>
      <w:pPr>
        <w:spacing w:after="0" w:line="167" w:lineRule="exact"/>
        <w:rPr>
          <w:sz w:val="20"/>
          <w:szCs w:val="20"/>
          <w:color w:val="auto"/>
        </w:rPr>
      </w:pPr>
    </w:p>
    <w:p>
      <w:pPr>
        <w:ind w:right="28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xml:space="preserve">” </w:t>
      </w:r>
      <w:r>
        <w:rPr>
          <w:rFonts w:ascii="Arial" w:cs="Arial" w:eastAsia="Arial" w:hAnsi="Arial"/>
          <w:sz w:val="16"/>
          <w:szCs w:val="16"/>
          <w:color w:val="auto"/>
        </w:rPr>
        <w:t>means the applicable national (e.g., the FDA), supra-national (e.g., the European Commission or the Council of the EU),</w:t>
      </w:r>
      <w:r>
        <w:rPr>
          <w:rFonts w:ascii="Arial" w:cs="Arial" w:eastAsia="Arial" w:hAnsi="Arial"/>
          <w:sz w:val="17"/>
          <w:szCs w:val="17"/>
          <w:color w:val="auto"/>
        </w:rPr>
        <w:t xml:space="preserve"> </w:t>
      </w:r>
      <w:r>
        <w:rPr>
          <w:rFonts w:ascii="Arial" w:cs="Arial" w:eastAsia="Arial" w:hAnsi="Arial"/>
          <w:sz w:val="16"/>
          <w:szCs w:val="16"/>
          <w:color w:val="auto"/>
        </w:rPr>
        <w:t>regional, state or local regulatory agency, department, bureau, commission, council or other governmental authority that, in each case, regulates or governs the Exploitation of the Compound or Licensed Product or the granting of Regulatory Approval of a Licensed Product in a regulatory jurisdiction.</w:t>
      </w:r>
    </w:p>
    <w:p>
      <w:pPr>
        <w:spacing w:after="0" w:line="16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Exclusivity</w:t>
      </w:r>
      <w:r>
        <w:rPr>
          <w:rFonts w:ascii="Arial" w:cs="Arial" w:eastAsia="Arial" w:hAnsi="Arial"/>
          <w:sz w:val="18"/>
          <w:szCs w:val="18"/>
          <w:color w:val="auto"/>
        </w:rPr>
        <w:t xml:space="preserve">” means </w:t>
      </w:r>
      <w:r>
        <w:rPr>
          <w:rFonts w:ascii="Arial" w:cs="Arial" w:eastAsia="Arial" w:hAnsi="Arial"/>
          <w:sz w:val="17"/>
          <w:szCs w:val="17"/>
          <w:color w:val="auto"/>
        </w:rPr>
        <w:t>any exclusive marketing rights or data exclusivity rights granted by a Regulatory Authority (other than Patents) with</w:t>
      </w:r>
      <w:r>
        <w:rPr>
          <w:rFonts w:ascii="Arial" w:cs="Arial" w:eastAsia="Arial" w:hAnsi="Arial"/>
          <w:sz w:val="18"/>
          <w:szCs w:val="18"/>
          <w:color w:val="auto"/>
        </w:rPr>
        <w:t xml:space="preserve"> </w:t>
      </w:r>
      <w:r>
        <w:rPr>
          <w:rFonts w:ascii="Arial" w:cs="Arial" w:eastAsia="Arial" w:hAnsi="Arial"/>
          <w:sz w:val="17"/>
          <w:szCs w:val="17"/>
          <w:color w:val="auto"/>
        </w:rPr>
        <w:t>respect to a Licensed Product sold in a given country, including orphan drug exclusivity, new chemical entity exclusivity, data exclusivity or pediatric exclusivity, which confers an exclusive commercialization period during which Fulcrum or its Affiliates or Sublicensees have the exclusive right to market and sell a Licensed Product in such country</w:t>
      </w:r>
      <w:r>
        <w:rPr>
          <w:rFonts w:ascii="Arial" w:cs="Arial" w:eastAsia="Arial" w:hAnsi="Arial"/>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Management Designees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 contract research organization, a contract manufacturing organization or other similar service provider that provides drug development services to Fulcrum.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Sublicensee</w:t>
      </w:r>
      <w:r>
        <w:rPr>
          <w:rFonts w:ascii="Arial" w:cs="Arial" w:eastAsia="Arial" w:hAnsi="Arial"/>
          <w:sz w:val="17"/>
          <w:szCs w:val="17"/>
          <w:color w:val="auto"/>
        </w:rPr>
        <w:t xml:space="preserve">” means </w:t>
      </w:r>
      <w:r>
        <w:rPr>
          <w:rFonts w:ascii="Arial" w:cs="Arial" w:eastAsia="Arial" w:hAnsi="Arial"/>
          <w:sz w:val="16"/>
          <w:szCs w:val="16"/>
          <w:color w:val="auto"/>
        </w:rPr>
        <w:t>a Third Party that has been granted a sublicense under the rights granted to Fulcrum pursuant to</w:t>
      </w:r>
      <w:r>
        <w:rPr>
          <w:rFonts w:ascii="Arial" w:cs="Arial" w:eastAsia="Arial" w:hAnsi="Arial"/>
          <w:sz w:val="17"/>
          <w:szCs w:val="17"/>
          <w:color w:val="auto"/>
        </w:rPr>
        <w:t xml:space="preserve"> </w:t>
      </w:r>
      <w:r>
        <w:rPr>
          <w:rFonts w:ascii="Arial" w:cs="Arial" w:eastAsia="Arial" w:hAnsi="Arial"/>
          <w:sz w:val="16"/>
          <w:szCs w:val="16"/>
          <w:u w:val="single" w:color="auto"/>
          <w:color w:val="auto"/>
        </w:rPr>
        <w:t>Section 2.3</w:t>
      </w:r>
      <w:r>
        <w:rPr>
          <w:rFonts w:ascii="Arial" w:cs="Arial" w:eastAsia="Arial" w:hAnsi="Arial"/>
          <w:sz w:val="17"/>
          <w:szCs w:val="17"/>
          <w:color w:val="auto"/>
        </w:rPr>
        <w:t xml:space="preserve"> </w:t>
      </w:r>
      <w:r>
        <w:rPr>
          <w:rFonts w:ascii="Arial" w:cs="Arial" w:eastAsia="Arial" w:hAnsi="Arial"/>
          <w:sz w:val="16"/>
          <w:szCs w:val="16"/>
          <w:color w:val="auto"/>
        </w:rPr>
        <w:t>of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Data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worldwide.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w:t>
      </w:r>
      <w:r>
        <w:rPr>
          <w:rFonts w:ascii="Arial" w:cs="Arial" w:eastAsia="Arial" w:hAnsi="Arial"/>
          <w:sz w:val="17"/>
          <w:szCs w:val="17"/>
          <w:color w:val="auto"/>
        </w:rPr>
        <w:t>means any Person other than GSK or Fulcrum or any of their respective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means any</w:t>
      </w:r>
      <w:r>
        <w:rPr>
          <w:rFonts w:ascii="Arial" w:cs="Arial" w:eastAsia="Arial" w:hAnsi="Arial"/>
          <w:sz w:val="17"/>
          <w:szCs w:val="17"/>
          <w:color w:val="auto"/>
        </w:rPr>
        <w:t>, action, suit, proceeding, liability or obligation brought by a Third Party.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2" w:name="page483"/>
    <w:bookmarkEnd w:id="482"/>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 GRANT; DATA TRANSFER</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u w:val="single" w:color="auto"/>
          <w:color w:val="auto"/>
        </w:rPr>
        <w:t>Right of Reference</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 xml:space="preserve">GSK hereby grants Fulcrum a right of reference as to the Losmapimod IND. Within [**] following the Effective Date GSK shall deliver, or shall cause to be delivered, to Fulcrum an executed Letter of Authorization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to the FDA confirming that Fulcrum, its Affiliates and its Sublicensees have the right to reference the Losmapimod IND in connection with their Exploitation of the Compound and Licensed Products as provided under this Agreement.</w:t>
      </w:r>
    </w:p>
    <w:p>
      <w:pPr>
        <w:spacing w:after="0" w:line="18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License Grant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Subject to the terms and conditions of this Agreement, GSK, on behalf of itself and its Affiliates, shall and hereby does, effective as of the Effective Date, grant Fulcrum an exclusive (subject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royalty-bearing, sublicensable (subject to </w:t>
      </w:r>
      <w:r>
        <w:rPr>
          <w:rFonts w:ascii="Arial" w:cs="Arial" w:eastAsia="Arial" w:hAnsi="Arial"/>
          <w:sz w:val="18"/>
          <w:szCs w:val="18"/>
          <w:u w:val="single" w:color="auto"/>
          <w:color w:val="auto"/>
        </w:rPr>
        <w:t>Article IV</w:t>
      </w:r>
      <w:r>
        <w:rPr>
          <w:rFonts w:ascii="Arial" w:cs="Arial" w:eastAsia="Arial" w:hAnsi="Arial"/>
          <w:sz w:val="18"/>
          <w:szCs w:val="18"/>
          <w:color w:val="auto"/>
        </w:rPr>
        <w:t>) license under the GSK Intellectual Property to Exploit the Compound and Licensed Products in the Field in the Territory.</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5"/>
          <w:szCs w:val="15"/>
          <w:b w:val="1"/>
          <w:bCs w:val="1"/>
          <w:u w:val="single" w:color="auto"/>
          <w:color w:val="auto"/>
        </w:rPr>
        <w:t>Sublicenses</w:t>
      </w:r>
      <w:r>
        <w:rPr>
          <w:rFonts w:ascii="Arial" w:cs="Arial" w:eastAsia="Arial" w:hAnsi="Arial"/>
          <w:sz w:val="15"/>
          <w:szCs w:val="15"/>
          <w:b w:val="1"/>
          <w:bCs w:val="1"/>
          <w:color w:val="auto"/>
        </w:rPr>
        <w:t>.</w:t>
      </w:r>
    </w:p>
    <w:p>
      <w:pPr>
        <w:spacing w:after="0" w:line="229" w:lineRule="exact"/>
        <w:rPr>
          <w:sz w:val="20"/>
          <w:szCs w:val="20"/>
          <w:color w:val="auto"/>
        </w:rPr>
      </w:pPr>
    </w:p>
    <w:p>
      <w:pPr>
        <w:ind w:right="140" w:firstLine="656"/>
        <w:spacing w:after="0" w:line="279" w:lineRule="auto"/>
        <w:tabs>
          <w:tab w:leader="none" w:pos="1294" w:val="left"/>
        </w:tabs>
        <w:numPr>
          <w:ilvl w:val="0"/>
          <w:numId w:val="34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2.3(b)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Fulcrum may sublicense the rights granted to it by GSK under </w:t>
      </w:r>
      <w:r>
        <w:rPr>
          <w:rFonts w:ascii="Arial" w:cs="Arial" w:eastAsia="Arial" w:hAnsi="Arial"/>
          <w:sz w:val="17"/>
          <w:szCs w:val="17"/>
          <w:u w:val="single" w:color="auto"/>
          <w:color w:val="auto"/>
        </w:rPr>
        <w:t>Section 2.2</w:t>
      </w:r>
      <w:r>
        <w:rPr>
          <w:rFonts w:ascii="Arial" w:cs="Arial" w:eastAsia="Arial" w:hAnsi="Arial"/>
          <w:sz w:val="17"/>
          <w:szCs w:val="17"/>
          <w:color w:val="auto"/>
        </w:rPr>
        <w:t>. Each sublicense to a Sublicensee must be granted pursuant to a written sublicense agreement consistent with the requirements of this Agreement applicable thereto, and Fulcrum shall provide to GSK, within [**] after the execution of such sublicense agreement, a complete copy thereof, which copy Fulcrum may redact for financial terms and other information not required to evidence Fulcrum’s compliance with the sublicensing terms of this Agreement.</w:t>
      </w:r>
    </w:p>
    <w:p>
      <w:pPr>
        <w:spacing w:after="0" w:line="171" w:lineRule="exact"/>
        <w:rPr>
          <w:rFonts w:ascii="Arial" w:cs="Arial" w:eastAsia="Arial" w:hAnsi="Arial"/>
          <w:sz w:val="17"/>
          <w:szCs w:val="17"/>
          <w:color w:val="auto"/>
        </w:rPr>
      </w:pPr>
    </w:p>
    <w:p>
      <w:pPr>
        <w:ind w:right="60" w:firstLine="656"/>
        <w:spacing w:after="0" w:line="259" w:lineRule="auto"/>
        <w:tabs>
          <w:tab w:leader="none" w:pos="130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Commencing on the Effective Date and continuing until the date on which Fulcrum first submits an IND to the FDA for a Licensed Product, Fulcrum shall not sublicense any of the rights as to Licensed Products in the United States granted to Fulcrum by GSK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to any Third Party without GSK’s prior written consent;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terms of this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shall not apply to any sublicense by Fulcrum to any Service Provider.</w:t>
      </w:r>
    </w:p>
    <w:p>
      <w:pPr>
        <w:spacing w:after="0" w:line="186" w:lineRule="exact"/>
        <w:rPr>
          <w:rFonts w:ascii="Arial" w:cs="Arial" w:eastAsia="Arial" w:hAnsi="Arial"/>
          <w:sz w:val="18"/>
          <w:szCs w:val="18"/>
          <w:color w:val="auto"/>
        </w:rPr>
      </w:pPr>
    </w:p>
    <w:p>
      <w:pPr>
        <w:ind w:right="60" w:firstLine="656"/>
        <w:spacing w:after="0" w:line="259" w:lineRule="auto"/>
        <w:tabs>
          <w:tab w:leader="none" w:pos="130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Fulcrum shall remain responsible for its obligations, including as set forth in </w:t>
      </w:r>
      <w:r>
        <w:rPr>
          <w:rFonts w:ascii="Arial" w:cs="Arial" w:eastAsia="Arial" w:hAnsi="Arial"/>
          <w:sz w:val="18"/>
          <w:szCs w:val="18"/>
          <w:u w:val="single" w:color="auto"/>
          <w:color w:val="auto"/>
        </w:rPr>
        <w:t>Sections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that have been delegated, subcontracted or sublicensed to any of its Affiliates or Sublicensees, and Fulcrum shall be liable for any failure by any Affiliate or Sublicensee of Fulcrum to comply with the terms of this Agreement to the extent that compliance with such terms has been delegated, subcontracted or sublicensed to such Affiliate or Sublicensee.</w:t>
      </w:r>
    </w:p>
    <w:p>
      <w:pPr>
        <w:spacing w:after="0" w:line="18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u w:val="single" w:color="auto"/>
          <w:color w:val="auto"/>
        </w:rPr>
        <w:t>Rights Retained by GSK</w:t>
      </w:r>
      <w:r>
        <w:rPr>
          <w:rFonts w:ascii="Arial" w:cs="Arial" w:eastAsia="Arial" w:hAnsi="Arial"/>
          <w:sz w:val="16"/>
          <w:szCs w:val="16"/>
          <w:b w:val="1"/>
          <w:bCs w:val="1"/>
          <w:color w:val="auto"/>
        </w:rPr>
        <w:t>.</w:t>
      </w:r>
    </w:p>
    <w:p>
      <w:pPr>
        <w:spacing w:after="0" w:line="22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Fulcrum shall receive only those rights of GSK expressly granted by GSK under the provisions of this Agreement, and any right of GSK not expressly granted to Fulcrum under the provisions of this Agreement shall be retained by GSK. For the avoidance of doubt, (a) GSK</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83" w:name="page484"/>
    <w:bookmarkEnd w:id="483"/>
    <w:p>
      <w:pPr>
        <w:ind w:right="20"/>
        <w:spacing w:after="0" w:line="255" w:lineRule="auto"/>
        <w:rPr>
          <w:sz w:val="20"/>
          <w:szCs w:val="20"/>
          <w:color w:val="auto"/>
        </w:rPr>
      </w:pPr>
      <w:r>
        <w:rPr>
          <w:rFonts w:ascii="Arial" w:cs="Arial" w:eastAsia="Arial" w:hAnsi="Arial"/>
          <w:sz w:val="18"/>
          <w:szCs w:val="18"/>
          <w:color w:val="auto"/>
        </w:rPr>
        <w:t xml:space="preserve">and its Affiliates shall retain the right, without the right to grant sublicenses, to conduct nonclinical research under the GSK Intellectual Property; and (b) with Fulcrum’s consent (as described below), GSK’s [**] may, under the GSK Patents, [**] solely relating to the use of Licensed Product in connection with the [**];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prior to [**], GSK shall seek Fulcrum’s consent thereto and, in connection therewith, shall [**] to Fulcrum for its review, and (ii) Fulcrum shall determine whether to grant such consent based on such protocol and all other relevant factors, which consent Fulcrum shall not unreasonably withhold or delay. This Agreement creates no obligation for GSK or any of its Affiliates to remove or segregate the Data from its systems for any purpose.</w:t>
      </w:r>
    </w:p>
    <w:p>
      <w:pPr>
        <w:spacing w:after="0" w:line="189"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u w:val="single" w:color="auto"/>
          <w:color w:val="auto"/>
        </w:rPr>
        <w:t>Data Transfer</w:t>
      </w:r>
      <w:r>
        <w:rPr>
          <w:rFonts w:ascii="Arial" w:cs="Arial" w:eastAsia="Arial" w:hAnsi="Arial"/>
          <w:sz w:val="16"/>
          <w:szCs w:val="16"/>
          <w:b w:val="1"/>
          <w:bCs w:val="1"/>
          <w:color w:val="auto"/>
        </w:rPr>
        <w:t>.</w:t>
      </w:r>
    </w:p>
    <w:p>
      <w:pPr>
        <w:spacing w:after="0" w:line="229" w:lineRule="exact"/>
        <w:rPr>
          <w:sz w:val="20"/>
          <w:szCs w:val="20"/>
          <w:color w:val="auto"/>
        </w:rPr>
      </w:pPr>
    </w:p>
    <w:p>
      <w:pPr>
        <w:ind w:firstLine="656"/>
        <w:spacing w:after="0" w:line="277" w:lineRule="auto"/>
        <w:tabs>
          <w:tab w:leader="none" w:pos="129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To the extent not already provided prior to the Effective Date, within [**] following the Effective Date, GSK shall cooperate with Fulcrum’s reasonable instructions to effect the transfer of electronic copies of the Data to Fulcrum (the “</w:t>
      </w:r>
      <w:r>
        <w:rPr>
          <w:rFonts w:ascii="Arial" w:cs="Arial" w:eastAsia="Arial" w:hAnsi="Arial"/>
          <w:sz w:val="18"/>
          <w:szCs w:val="18"/>
          <w:u w:val="single" w:color="auto"/>
          <w:color w:val="auto"/>
        </w:rPr>
        <w:t>Data Transfer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0" w:lineRule="auto"/>
        <w:tabs>
          <w:tab w:leader="none" w:pos="1304" w:val="left"/>
        </w:tabs>
        <w:numPr>
          <w:ilvl w:val="0"/>
          <w:numId w:val="349"/>
        </w:numPr>
        <w:rPr>
          <w:rFonts w:ascii="Arial" w:cs="Arial" w:eastAsia="Arial" w:hAnsi="Arial"/>
          <w:sz w:val="17"/>
          <w:szCs w:val="17"/>
          <w:color w:val="auto"/>
        </w:rPr>
      </w:pPr>
      <w:r>
        <w:rPr>
          <w:rFonts w:ascii="Arial" w:cs="Arial" w:eastAsia="Arial" w:hAnsi="Arial"/>
          <w:sz w:val="17"/>
          <w:szCs w:val="17"/>
          <w:color w:val="auto"/>
        </w:rPr>
        <w:t>Commencing on the Effective Date, GSK shall use commercially reasonable efforts to deliver to Fulcrum (i) those SAS datasets related to the Compound, which are set forth on Schedule 2.5(b), within [**] following the Effective Date, and (ii) as requested by Fulcrum in a spreadsheet named “GSK Information Requests_vMaster 05 Feb (version 2) sent to GSK on February 5, 2019 by [**] of Fulcrum to [**] of GSK (the “</w:t>
      </w:r>
      <w:r>
        <w:rPr>
          <w:rFonts w:ascii="Arial" w:cs="Arial" w:eastAsia="Arial" w:hAnsi="Arial"/>
          <w:sz w:val="17"/>
          <w:szCs w:val="17"/>
          <w:u w:val="single" w:color="auto"/>
          <w:color w:val="auto"/>
        </w:rPr>
        <w:t>Spreadsheet</w:t>
      </w:r>
      <w:r>
        <w:rPr>
          <w:rFonts w:ascii="Arial" w:cs="Arial" w:eastAsia="Arial" w:hAnsi="Arial"/>
          <w:sz w:val="17"/>
          <w:szCs w:val="17"/>
          <w:color w:val="auto"/>
        </w:rPr>
        <w:t xml:space="preserve">”): (A) the drug substance and placebo batch records related to the physical material of the Compound being transferred to Fulcrum as described in Section 2.6 below, which are set forth in request number [**] and request numbers [**] (inclusive) of the Spreadsheet, within [**] following the Effective Date and (B) the Microsoft Word and PDF files for all nonclinical and clinical study reports related to the Compound, which are set forth in request numbers [**] (inclusive) of the Spreadsheet, within [**] following the Effective Date to the extent not previously delivered by GSK to Fulcrum. If, upon expiration of the applicable timeframes in this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GSK has not delivered all Data described in this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then GSK and Fulcrum shall use good faith efforts to implement an appropriate alternative means to provide Fulcrum with any such Data that GSK has not delivered within the applicable timeframes in this </w:t>
      </w:r>
      <w:r>
        <w:rPr>
          <w:rFonts w:ascii="Arial" w:cs="Arial" w:eastAsia="Arial" w:hAnsi="Arial"/>
          <w:sz w:val="17"/>
          <w:szCs w:val="17"/>
          <w:u w:val="single" w:color="auto"/>
          <w:color w:val="auto"/>
        </w:rPr>
        <w:t>Section 2.5(b)</w:t>
      </w:r>
      <w:r>
        <w:rPr>
          <w:rFonts w:ascii="Arial" w:cs="Arial" w:eastAsia="Arial" w:hAnsi="Arial"/>
          <w:sz w:val="17"/>
          <w:szCs w:val="17"/>
          <w:color w:val="auto"/>
        </w:rPr>
        <w:t>, to the extent such Data is available.</w:t>
      </w:r>
    </w:p>
    <w:p>
      <w:pPr>
        <w:spacing w:after="0" w:line="177" w:lineRule="exact"/>
        <w:rPr>
          <w:rFonts w:ascii="Arial" w:cs="Arial" w:eastAsia="Arial" w:hAnsi="Arial"/>
          <w:sz w:val="17"/>
          <w:szCs w:val="17"/>
          <w:color w:val="auto"/>
        </w:rPr>
      </w:pPr>
    </w:p>
    <w:p>
      <w:pPr>
        <w:ind w:right="140" w:firstLine="656"/>
        <w:spacing w:after="0" w:line="293" w:lineRule="auto"/>
        <w:tabs>
          <w:tab w:leader="none" w:pos="1307" w:val="left"/>
        </w:tabs>
        <w:numPr>
          <w:ilvl w:val="0"/>
          <w:numId w:val="349"/>
        </w:numPr>
        <w:rPr>
          <w:rFonts w:ascii="Arial" w:cs="Arial" w:eastAsia="Arial" w:hAnsi="Arial"/>
          <w:sz w:val="16"/>
          <w:szCs w:val="16"/>
          <w:color w:val="auto"/>
        </w:rPr>
      </w:pPr>
      <w:r>
        <w:rPr>
          <w:rFonts w:ascii="Arial" w:cs="Arial" w:eastAsia="Arial" w:hAnsi="Arial"/>
          <w:sz w:val="16"/>
          <w:szCs w:val="16"/>
          <w:color w:val="auto"/>
        </w:rPr>
        <w:t>For a period of [**] commencing on the Effective Date, Fulcrum may request, and GSK shall use commercially reasonable efforts to provide, any Data not provided in the initial Data Transfer. During such [**] period commencing on the Effective Date, Fulcrum may also request that GSK provide information that is not Data that is reasonably related to the Compound and may be useful to Fulcrum for further development of, or the submission of regulatory filings relating to, the Compound for the treatment of FSHD (such information, “</w:t>
      </w:r>
      <w:r>
        <w:rPr>
          <w:rFonts w:ascii="Arial" w:cs="Arial" w:eastAsia="Arial" w:hAnsi="Arial"/>
          <w:sz w:val="16"/>
          <w:szCs w:val="16"/>
          <w:u w:val="single" w:color="auto"/>
          <w:color w:val="auto"/>
        </w:rPr>
        <w:t>Supplemental Data</w:t>
      </w:r>
      <w:r>
        <w:rPr>
          <w:rFonts w:ascii="Arial" w:cs="Arial" w:eastAsia="Arial" w:hAnsi="Arial"/>
          <w:sz w:val="16"/>
          <w:szCs w:val="16"/>
          <w:color w:val="auto"/>
        </w:rPr>
        <w:t>”), to the extent such Supplemental Data is in GSK’s (or its Affiliates’) possession and is Controlled by GSK (or its Affiliates), and GSK shall use commercially reasonable efforts to locate or provide any such requested Supplemental Data. Any Supplemental Data that may be provided by GSK to Fulcrum as provided herein shall be deemed to be Data.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4" w:name="page485"/>
    <w:bookmarkEnd w:id="484"/>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7"/>
          <w:szCs w:val="17"/>
          <w:b w:val="1"/>
          <w:bCs w:val="1"/>
          <w:u w:val="single" w:color="auto"/>
          <w:color w:val="auto"/>
        </w:rPr>
        <w:t>Material Transfer</w:t>
      </w:r>
      <w:r>
        <w:rPr>
          <w:rFonts w:ascii="Arial" w:cs="Arial" w:eastAsia="Arial" w:hAnsi="Arial"/>
          <w:sz w:val="17"/>
          <w:szCs w:val="17"/>
          <w:b w:val="1"/>
          <w:bCs w:val="1"/>
          <w:color w:val="auto"/>
        </w:rPr>
        <w: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GSK shall provide to Fulcrum the physical material of the Compound, including clinical placebo tablets, which are set forth on </w:t>
      </w:r>
      <w:r>
        <w:rPr>
          <w:rFonts w:ascii="Arial" w:cs="Arial" w:eastAsia="Arial" w:hAnsi="Arial"/>
          <w:sz w:val="18"/>
          <w:szCs w:val="18"/>
          <w:u w:val="single" w:color="auto"/>
          <w:color w:val="auto"/>
        </w:rPr>
        <w:t>Schedule 2.6</w:t>
      </w:r>
      <w:r>
        <w:rPr>
          <w:rFonts w:ascii="Arial" w:cs="Arial" w:eastAsia="Arial" w:hAnsi="Arial"/>
          <w:sz w:val="18"/>
          <w:szCs w:val="18"/>
          <w:color w:val="auto"/>
        </w:rPr>
        <w:t xml:space="preserve"> attached hereto and incorporated herein, and which physical transfer GSK shall initiate within [**] of the Effective Date with respect to all physical material of the Compound set forth on </w:t>
      </w:r>
      <w:r>
        <w:rPr>
          <w:rFonts w:ascii="Arial" w:cs="Arial" w:eastAsia="Arial" w:hAnsi="Arial"/>
          <w:sz w:val="18"/>
          <w:szCs w:val="18"/>
          <w:u w:val="single" w:color="auto"/>
          <w:color w:val="auto"/>
        </w:rPr>
        <w:t>Schedule 2.6</w:t>
      </w:r>
      <w:r>
        <w:rPr>
          <w:rFonts w:ascii="Arial" w:cs="Arial" w:eastAsia="Arial" w:hAnsi="Arial"/>
          <w:sz w:val="18"/>
          <w:szCs w:val="18"/>
          <w:color w:val="auto"/>
        </w:rPr>
        <w:t>.</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u w:val="single" w:color="auto"/>
          <w:color w:val="auto"/>
        </w:rPr>
        <w:t>Reports.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Within [**] after then end of each Calendar Year during the Term, Fulcrum shall provide a written report to GSK, which report shall summarize in reasonable detail all of the development, regulatory and commercialization activities conducted by or on behalf of Fulcrum or its Affiliates with respect to the Compound and Product in the Territory.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ISSUANCE; PAYMENTS</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u w:val="single" w:color="auto"/>
          <w:color w:val="auto"/>
        </w:rPr>
        <w:t>Equity Issuance</w:t>
      </w:r>
      <w:r>
        <w:rPr>
          <w:rFonts w:ascii="Arial" w:cs="Arial" w:eastAsia="Arial" w:hAnsi="Arial"/>
          <w:sz w:val="16"/>
          <w:szCs w:val="16"/>
          <w:b w:val="1"/>
          <w:bCs w:val="1"/>
          <w:color w:val="auto"/>
        </w:rPr>
        <w:t>.</w:t>
      </w:r>
    </w:p>
    <w:p>
      <w:pPr>
        <w:spacing w:after="0" w:line="229" w:lineRule="exact"/>
        <w:rPr>
          <w:sz w:val="20"/>
          <w:szCs w:val="20"/>
          <w:color w:val="auto"/>
        </w:rPr>
      </w:pPr>
    </w:p>
    <w:p>
      <w:pPr>
        <w:ind w:right="220" w:firstLine="656"/>
        <w:spacing w:after="0" w:line="259" w:lineRule="auto"/>
        <w:tabs>
          <w:tab w:leader="none" w:pos="1294"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Issuance of Equity</w:t>
      </w:r>
      <w:r>
        <w:rPr>
          <w:rFonts w:ascii="Arial" w:cs="Arial" w:eastAsia="Arial" w:hAnsi="Arial"/>
          <w:sz w:val="18"/>
          <w:szCs w:val="18"/>
          <w:color w:val="auto"/>
        </w:rPr>
        <w:t>. In partial consideration for the licenses and other rights granted to Fulcrum hereunder, Fulcrum shall issue to GSK twelve million five hundred thousand (12,500,000) shares of Fulcrum’s Series B Preferred Stock pursuant to a subscription agreement and any other agreements by and between GSK and Fulcrum and dated as of the date hereof, relating to the issuance of such shares and any other rights related thereto to GSK (collectively, the “</w:t>
      </w:r>
      <w:r>
        <w:rPr>
          <w:rFonts w:ascii="Arial" w:cs="Arial" w:eastAsia="Arial" w:hAnsi="Arial"/>
          <w:sz w:val="18"/>
          <w:szCs w:val="18"/>
          <w:u w:val="single" w:color="auto"/>
          <w:color w:val="auto"/>
        </w:rPr>
        <w:t>Equity Agreements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40" w:firstLine="656"/>
        <w:spacing w:after="0" w:line="308" w:lineRule="auto"/>
        <w:tabs>
          <w:tab w:leader="none" w:pos="1304"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Equity Agreements</w:t>
      </w:r>
      <w:r>
        <w:rPr>
          <w:rFonts w:ascii="Arial" w:cs="Arial" w:eastAsia="Arial" w:hAnsi="Arial"/>
          <w:sz w:val="17"/>
          <w:szCs w:val="17"/>
          <w:color w:val="auto"/>
        </w:rPr>
        <w:t>. As a condition precedent to the effectiveness of this Agreement, the Parties shall have duly authorized, executed and delivered the all of the Equity Agreements and performed their respective obligations that are required to be performed thereunder.</w:t>
      </w:r>
    </w:p>
    <w:p>
      <w:pPr>
        <w:spacing w:after="0" w:line="14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u w:val="single" w:color="auto"/>
          <w:color w:val="auto"/>
        </w:rPr>
        <w:t>Development and Regulatory Milestone Payments</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Fulcrum shall make each of the development and regulatory milestone payments set forth in the table below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to GSK within [**] after the first achievement (whether by or on behalf of Fulcrum or any of its Affiliates or,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Sublicensees) of the corresponding milestone event set forth in the table below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by the first Licensed Product to achieve such a milestone event. Fulcrum shall notify GSK within [**] of the achievement of each development and regulatory milestone event. Each milestone payment set forth in the table below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be paid only once during the Term, for the first time any Licensed Product reaches such milestone event during the Term, and regardless of the number of Licensed Products that achieve such milestone event, the number of times such milestone event is achieved by any Licensed Product, or the number of additional Licensed Products that subsequently achieve any such milestone event. Notwithstanding the foregoing, in the event any regulatory milestone event in</w:t>
      </w:r>
    </w:p>
    <w:p>
      <w:pPr>
        <w:spacing w:after="0" w:line="3" w:lineRule="exact"/>
        <w:rPr>
          <w:sz w:val="20"/>
          <w:szCs w:val="20"/>
          <w:color w:val="auto"/>
        </w:rPr>
      </w:pPr>
    </w:p>
    <w:p>
      <w:pPr>
        <w:ind w:left="5660" w:right="1120" w:hanging="5652"/>
        <w:spacing w:after="0" w:line="511" w:lineRule="auto"/>
        <w:tabs>
          <w:tab w:leader="none" w:pos="24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through (e) is achieved, prior to the achievement of a development milestone in (a) or (b) (the “skipped milestone”), the applicable skipped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485" w:name="page486"/>
    <w:bookmarkEnd w:id="485"/>
    <w:p>
      <w:pPr>
        <w:ind w:right="100"/>
        <w:spacing w:after="0" w:line="264" w:lineRule="auto"/>
        <w:rPr>
          <w:sz w:val="20"/>
          <w:szCs w:val="20"/>
          <w:color w:val="auto"/>
        </w:rPr>
      </w:pPr>
      <w:r>
        <w:rPr>
          <w:rFonts w:ascii="Arial" w:cs="Arial" w:eastAsia="Arial" w:hAnsi="Arial"/>
          <w:sz w:val="18"/>
          <w:szCs w:val="18"/>
          <w:color w:val="auto"/>
        </w:rPr>
        <w:t xml:space="preserve">milestone will become due and payable together with the applicable regulatory milestone in (c), (d) or (e). For clarification, the total milestone payments that may become payable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if all milestone events in the table below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are achieved is thirty-seven million five hundred thousand dollars ($37,500,000).</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Milestone Event</w:t>
            </w:r>
          </w:p>
        </w:tc>
        <w:tc>
          <w:tcPr>
            <w:tcW w:w="460" w:type="dxa"/>
            <w:vAlign w:val="bottom"/>
          </w:tcPr>
          <w:p>
            <w:pPr>
              <w:spacing w:after="0"/>
              <w:rPr>
                <w:sz w:val="14"/>
                <w:szCs w:val="14"/>
                <w:color w:val="auto"/>
              </w:rPr>
            </w:pPr>
          </w:p>
        </w:tc>
        <w:tc>
          <w:tcPr>
            <w:tcW w:w="24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Milestone Payment</w:t>
            </w:r>
          </w:p>
        </w:tc>
      </w:tr>
      <w:tr>
        <w:trPr>
          <w:trHeight w:val="210"/>
        </w:trPr>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Initiation of the first Phase 2 Clinical Trial for a Licensed Product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(b) [**]</w:t>
            </w:r>
          </w:p>
        </w:tc>
        <w:tc>
          <w:tcPr>
            <w:tcW w:w="460" w:type="dxa"/>
            <w:vAlign w:val="bottom"/>
          </w:tcPr>
          <w:p>
            <w:pPr>
              <w:spacing w:after="0"/>
              <w:rPr>
                <w:sz w:val="18"/>
                <w:szCs w:val="18"/>
                <w:color w:val="auto"/>
              </w:rPr>
            </w:pP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w:t>
            </w:r>
          </w:p>
        </w:tc>
        <w:tc>
          <w:tcPr>
            <w:tcW w:w="4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(d) [**]</w:t>
            </w:r>
          </w:p>
        </w:tc>
        <w:tc>
          <w:tcPr>
            <w:tcW w:w="460" w:type="dxa"/>
            <w:vAlign w:val="bottom"/>
          </w:tcPr>
          <w:p>
            <w:pPr>
              <w:spacing w:after="0"/>
              <w:rPr>
                <w:sz w:val="18"/>
                <w:szCs w:val="18"/>
                <w:color w:val="auto"/>
              </w:rPr>
            </w:pP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w:t>
            </w:r>
          </w:p>
        </w:tc>
        <w:tc>
          <w:tcPr>
            <w:tcW w:w="4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5"/>
          <w:szCs w:val="15"/>
          <w:b w:val="1"/>
          <w:bCs w:val="1"/>
          <w:u w:val="single" w:color="auto"/>
          <w:color w:val="auto"/>
        </w:rPr>
        <w:t>Sales Milestone Payments</w:t>
      </w:r>
      <w:r>
        <w:rPr>
          <w:rFonts w:ascii="Arial" w:cs="Arial" w:eastAsia="Arial" w:hAnsi="Arial"/>
          <w:sz w:val="15"/>
          <w:szCs w:val="15"/>
          <w:b w:val="1"/>
          <w:bCs w:val="1"/>
          <w:color w:val="auto"/>
        </w:rPr>
        <w:t>.</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Fulcrum shall make each of the following one-time sales milestone payments to GSK within [**] after the end of the Calendar Quarter in which aggregate annual Net Sales of the first Licensed Product in the Territory to reach the threshold(s) specified in the table below in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Fulcrum shall notify GSK promptly of the achievement of each such sales threshold. If more than one sales threshold is reached in any given Calendar Year, then the applicable milestone payment for each such achievement shall be due and owing with respect to such Calendar Year. Each milestone payment set forth in the table below in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shall be paid only once during the Term, for the first time any Licensed Product reaches such sales milestone threshold, and regardless of the number of Licensed Products that achieve such sales milestone threshold, the number of times such milestone event is achieved by any Licensed Product, or the number of additional Licensed Products for which such milestone event is subsequently achieved. For clarification, the total milestone payments that may become payable under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if all sales milestone thresholds in the table below in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are achieved is sixty million dollars ($60,000,000).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Threshold for Aggregate Annual</w:t>
            </w:r>
          </w:p>
        </w:tc>
        <w:tc>
          <w:tcPr>
            <w:tcW w:w="2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Milestone Payment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Worldwide Net Sales</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7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920" w:type="dxa"/>
            <w:vAlign w:val="bottom"/>
            <w:gridSpan w:val="3"/>
          </w:tcPr>
          <w:p>
            <w:pPr>
              <w:jc w:val="center"/>
              <w:ind w:left="30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920" w:type="dxa"/>
            <w:vAlign w:val="bottom"/>
            <w:gridSpan w:val="3"/>
            <w:shd w:val="clear" w:color="auto" w:fill="CCEEFF"/>
          </w:tcPr>
          <w:p>
            <w:pPr>
              <w:jc w:val="center"/>
              <w:ind w:left="30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20" w:type="dxa"/>
            <w:vAlign w:val="bottom"/>
          </w:tcPr>
          <w:p>
            <w:pPr>
              <w:jc w:val="right"/>
              <w:ind w:right="183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340" w:type="dxa"/>
            <w:vAlign w:val="bottom"/>
          </w:tcPr>
          <w:p>
            <w:pPr>
              <w:spacing w:after="0"/>
              <w:rPr>
                <w:sz w:val="24"/>
                <w:szCs w:val="24"/>
                <w:color w:val="auto"/>
              </w:rPr>
            </w:pPr>
          </w:p>
        </w:tc>
        <w:tc>
          <w:tcPr>
            <w:tcW w:w="1780" w:type="dxa"/>
            <w:vAlign w:val="bottom"/>
          </w:tcPr>
          <w:p>
            <w:pPr>
              <w:ind w:left="320"/>
              <w:spacing w:after="0"/>
              <w:rPr>
                <w:sz w:val="20"/>
                <w:szCs w:val="20"/>
                <w:color w:val="auto"/>
              </w:rPr>
            </w:pPr>
            <w:r>
              <w:rPr>
                <w:rFonts w:ascii="Arial" w:cs="Arial" w:eastAsia="Arial" w:hAnsi="Arial"/>
                <w:sz w:val="18"/>
                <w:szCs w:val="18"/>
                <w:b w:val="1"/>
                <w:bCs w:val="1"/>
                <w:color w:val="auto"/>
              </w:rPr>
              <w:t>Section 3.4.</w:t>
            </w:r>
          </w:p>
        </w:tc>
        <w:tc>
          <w:tcPr>
            <w:tcW w:w="278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w w:val="88"/>
              </w:rPr>
              <w:t>Royalty Payments.</w:t>
            </w: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-353060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160" w:firstLine="656"/>
        <w:spacing w:after="0" w:line="286" w:lineRule="auto"/>
        <w:tabs>
          <w:tab w:leader="none" w:pos="1294"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Royalty Rates</w:t>
      </w:r>
      <w:r>
        <w:rPr>
          <w:rFonts w:ascii="Arial" w:cs="Arial" w:eastAsia="Arial" w:hAnsi="Arial"/>
          <w:sz w:val="16"/>
          <w:szCs w:val="16"/>
          <w:color w:val="auto"/>
        </w:rPr>
        <w:t>. Fulcrum shall pay to GSK tiered royalties on the aggregate annual Net Sales of Licensed Products sold in the Territory during each Calendar Year quarterly within [**] after the end of such Calendar Quarter during the Royalty Term at the applicable rate(s) set forth below with such royalties to be calculated by multiplying the applicable incremental amount of Net Sales of such Licensed Products in the Territory in such Calendar Quarter by the corresponding royalty rate set forth in the table below and by subsequently making the applicable adjustments in accordance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Annual Net Sales of Licensed Product</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Royalty Rate</w:t>
            </w:r>
          </w:p>
        </w:tc>
        <w:tc>
          <w:tcPr>
            <w:tcW w:w="260" w:type="dxa"/>
            <w:vAlign w:val="bottom"/>
            <w:tcBorders>
              <w:bottom w:val="single" w:sz="8" w:color="CCEEFF"/>
            </w:tcBorders>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For that portion of annual Net Sales less than or equal to $[**]</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For that portion of annual Net Sales greater than $[**] and less than or equal to $[**]</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that portion of annual Net Sales greater than $[**]</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40" w:firstLine="656"/>
        <w:spacing w:after="0" w:line="280" w:lineRule="auto"/>
        <w:tabs>
          <w:tab w:leader="none" w:pos="1304"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Royalty Term</w:t>
      </w:r>
      <w:r>
        <w:rPr>
          <w:rFonts w:ascii="Arial" w:cs="Arial" w:eastAsia="Arial" w:hAnsi="Arial"/>
          <w:sz w:val="16"/>
          <w:szCs w:val="16"/>
          <w:color w:val="auto"/>
        </w:rPr>
        <w:t xml:space="preserve">. Royalties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be payable on a country-by-country basis in the Territory during the period commencing on the First Commercial Sale of such Licensed Product in such country and continuing on until the earlier of (i) approval of a Generic Version of such Licensed Product by the applicable Regulatory Agency on a country-by-country basis; and (ii)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First Commercial Sale of such Licensed Product in such country (the “</w:t>
      </w:r>
      <w:r>
        <w:rPr>
          <w:rFonts w:ascii="Arial" w:cs="Arial" w:eastAsia="Arial" w:hAnsi="Arial"/>
          <w:sz w:val="16"/>
          <w:szCs w:val="16"/>
          <w:u w:val="single" w:color="auto"/>
          <w:color w:val="auto"/>
        </w:rPr>
        <w:t>Royalty Term</w:t>
      </w:r>
      <w:r>
        <w:rPr>
          <w:rFonts w:ascii="Arial" w:cs="Arial" w:eastAsia="Arial" w:hAnsi="Arial"/>
          <w:sz w:val="16"/>
          <w:szCs w:val="16"/>
          <w:color w:val="auto"/>
        </w:rPr>
        <w:t xml:space="preserve">”). Upon expiration of the Royalty Term for any Licensed Product in a given country, the licenses granted to Fulcrum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 respect to such Licensed Product in such country shall automatically become fully paid-up, perpetual and royalty-free and shall survive any expiration or termination of this Agreement, and Net Sales of such Licensed Product in such country shall thereafter be excluded from aggregate annual Net Sales of such Licensed Product for purposes of calculating royalties pursuant to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1320" w:hanging="664"/>
        <w:spacing w:after="0"/>
        <w:tabs>
          <w:tab w:leader="none" w:pos="132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Royalty 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60" w:firstLine="645"/>
        <w:spacing w:after="0" w:line="264" w:lineRule="auto"/>
        <w:tabs>
          <w:tab w:leader="none" w:pos="1978" w:val="left"/>
        </w:tabs>
        <w:numPr>
          <w:ilvl w:val="1"/>
          <w:numId w:val="353"/>
        </w:numPr>
        <w:rPr>
          <w:rFonts w:ascii="Arial" w:cs="Arial" w:eastAsia="Arial" w:hAnsi="Arial"/>
          <w:sz w:val="18"/>
          <w:szCs w:val="18"/>
          <w:color w:val="auto"/>
        </w:rPr>
      </w:pPr>
      <w:r>
        <w:rPr>
          <w:rFonts w:ascii="Arial" w:cs="Arial" w:eastAsia="Arial" w:hAnsi="Arial"/>
          <w:sz w:val="18"/>
          <w:szCs w:val="18"/>
          <w:color w:val="auto"/>
        </w:rPr>
        <w:t>During any applicable Royalty Term, following the expiration of Regulatory Exclusivity for any Licensed Product on a country-by-country basis, the royalty rates in Table 3.4(a) applicable to Net Sales of such Licensed Products in such country will be reduced by [**] percent ([**]%).</w:t>
      </w:r>
    </w:p>
    <w:p>
      <w:pPr>
        <w:spacing w:after="0" w:line="181" w:lineRule="exact"/>
        <w:rPr>
          <w:rFonts w:ascii="Arial" w:cs="Arial" w:eastAsia="Arial" w:hAnsi="Arial"/>
          <w:sz w:val="18"/>
          <w:szCs w:val="18"/>
          <w:color w:val="auto"/>
        </w:rPr>
      </w:pPr>
    </w:p>
    <w:p>
      <w:pPr>
        <w:jc w:val="both"/>
        <w:ind w:left="660" w:right="420" w:firstLine="645"/>
        <w:spacing w:after="0" w:line="312" w:lineRule="auto"/>
        <w:tabs>
          <w:tab w:leader="none" w:pos="1987" w:val="left"/>
        </w:tabs>
        <w:numPr>
          <w:ilvl w:val="1"/>
          <w:numId w:val="353"/>
        </w:numPr>
        <w:rPr>
          <w:rFonts w:ascii="Arial" w:cs="Arial" w:eastAsia="Arial" w:hAnsi="Arial"/>
          <w:sz w:val="16"/>
          <w:szCs w:val="16"/>
          <w:color w:val="auto"/>
        </w:rPr>
      </w:pPr>
      <w:r>
        <w:rPr>
          <w:rFonts w:ascii="Arial" w:cs="Arial" w:eastAsia="Arial" w:hAnsi="Arial"/>
          <w:sz w:val="16"/>
          <w:szCs w:val="16"/>
          <w:color w:val="auto"/>
        </w:rPr>
        <w:t>If Fulcrum or any of its Affiliates or Sublicensees, as applicable, determines, in its reasonable judgment, that it is necessary to obtain a license from any Third Party (each a “</w:t>
      </w:r>
      <w:r>
        <w:rPr>
          <w:rFonts w:ascii="Arial" w:cs="Arial" w:eastAsia="Arial" w:hAnsi="Arial"/>
          <w:sz w:val="16"/>
          <w:szCs w:val="16"/>
          <w:u w:val="single" w:color="auto"/>
          <w:color w:val="auto"/>
        </w:rPr>
        <w:t>Third Party License</w:t>
      </w:r>
      <w:r>
        <w:rPr>
          <w:rFonts w:ascii="Arial" w:cs="Arial" w:eastAsia="Arial" w:hAnsi="Arial"/>
          <w:sz w:val="16"/>
          <w:szCs w:val="16"/>
          <w:color w:val="auto"/>
        </w:rPr>
        <w:t>”) under any Patents in order to Exploit a Licensed Product in a country, then Fulcrum may deduct [**] percent ([**]%) of any license fees under such Third Party License payable by Fulcrum or any Affiliate or</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86" w:name="page487"/>
    <w:bookmarkEnd w:id="486"/>
    <w:p>
      <w:pPr>
        <w:ind w:left="600" w:right="80"/>
        <w:spacing w:after="0" w:line="271" w:lineRule="auto"/>
        <w:rPr>
          <w:sz w:val="20"/>
          <w:szCs w:val="20"/>
          <w:color w:val="auto"/>
        </w:rPr>
      </w:pPr>
      <w:r>
        <w:rPr>
          <w:rFonts w:ascii="Arial" w:cs="Arial" w:eastAsia="Arial" w:hAnsi="Arial"/>
          <w:sz w:val="17"/>
          <w:szCs w:val="17"/>
          <w:color w:val="auto"/>
        </w:rPr>
        <w:t xml:space="preserve">Sublicensee in any Calendar Quarter to such Third Party with respect to sales of such Licensed Product in such country under such Third Party License from the royalty payment that would otherwise be due with respect to Net Sales of such Licensed Product in such country in such Calendar Quarter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(as adjusted by </w:t>
      </w:r>
      <w:r>
        <w:rPr>
          <w:rFonts w:ascii="Arial" w:cs="Arial" w:eastAsia="Arial" w:hAnsi="Arial"/>
          <w:sz w:val="17"/>
          <w:szCs w:val="17"/>
          <w:u w:val="single" w:color="auto"/>
          <w:color w:val="auto"/>
        </w:rPr>
        <w:t>Section 3.4(c)(i)</w:t>
      </w:r>
      <w:r>
        <w:rPr>
          <w:rFonts w:ascii="Arial" w:cs="Arial" w:eastAsia="Arial" w:hAnsi="Arial"/>
          <w:sz w:val="17"/>
          <w:szCs w:val="17"/>
          <w:color w:val="auto"/>
        </w:rPr>
        <w:t xml:space="preserve">, as applicable);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no event shall any royalty payment to GSK on Net Sales of any Licensed Product in any country in any Calendar Quarter be reduced to less than [**] percent ([**]%) of the royalties that would otherwise be owed to GSK with respect to Net Sales of such Licensed Product under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(as adjusted by </w:t>
      </w:r>
      <w:r>
        <w:rPr>
          <w:rFonts w:ascii="Arial" w:cs="Arial" w:eastAsia="Arial" w:hAnsi="Arial"/>
          <w:sz w:val="17"/>
          <w:szCs w:val="17"/>
          <w:u w:val="single" w:color="auto"/>
          <w:color w:val="auto"/>
        </w:rPr>
        <w:t>Section 3.4(c)(i)</w:t>
      </w:r>
      <w:r>
        <w:rPr>
          <w:rFonts w:ascii="Arial" w:cs="Arial" w:eastAsia="Arial" w:hAnsi="Arial"/>
          <w:sz w:val="17"/>
          <w:szCs w:val="17"/>
          <w:color w:val="auto"/>
        </w:rPr>
        <w:t xml:space="preserve">, if applicable). Any amount of royalties paid to such Third Party which is entitled to be deducted under this </w:t>
      </w:r>
      <w:r>
        <w:rPr>
          <w:rFonts w:ascii="Arial" w:cs="Arial" w:eastAsia="Arial" w:hAnsi="Arial"/>
          <w:sz w:val="17"/>
          <w:szCs w:val="17"/>
          <w:u w:val="single" w:color="auto"/>
          <w:color w:val="auto"/>
        </w:rPr>
        <w:t>Section 3.4(c)(ii)</w:t>
      </w:r>
      <w:r>
        <w:rPr>
          <w:rFonts w:ascii="Arial" w:cs="Arial" w:eastAsia="Arial" w:hAnsi="Arial"/>
          <w:sz w:val="17"/>
          <w:szCs w:val="17"/>
          <w:color w:val="auto"/>
        </w:rPr>
        <w:t xml:space="preserve"> but is not deducted as a result of the foregoing limitation shall be carried over and applied against royalties payable to GSK in respect of such Licensed Product in such country in subsequent Calendar Quarters until the full deduction is taken.</w:t>
      </w:r>
    </w:p>
    <w:p>
      <w:pPr>
        <w:spacing w:after="0" w:line="175" w:lineRule="exact"/>
        <w:rPr>
          <w:sz w:val="20"/>
          <w:szCs w:val="20"/>
          <w:color w:val="auto"/>
        </w:rPr>
      </w:pPr>
    </w:p>
    <w:p>
      <w:pPr>
        <w:ind w:left="600"/>
        <w:spacing w:after="0"/>
        <w:tabs>
          <w:tab w:leader="none" w:pos="204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u w:val="single" w:color="auto"/>
          <w:color w:val="auto"/>
        </w:rPr>
        <w:t>Reports; Audits</w:t>
      </w:r>
      <w:r>
        <w:rPr>
          <w:rFonts w:ascii="Arial" w:cs="Arial" w:eastAsia="Arial" w:hAnsi="Arial"/>
          <w:sz w:val="16"/>
          <w:szCs w:val="16"/>
          <w:b w:val="1"/>
          <w:bCs w:val="1"/>
          <w:color w:val="auto"/>
        </w:rPr>
        <w:t>.</w:t>
      </w:r>
    </w:p>
    <w:p>
      <w:pPr>
        <w:spacing w:after="0" w:line="229" w:lineRule="exact"/>
        <w:rPr>
          <w:sz w:val="20"/>
          <w:szCs w:val="20"/>
          <w:color w:val="auto"/>
        </w:rPr>
      </w:pPr>
    </w:p>
    <w:p>
      <w:pPr>
        <w:ind w:left="-60" w:right="60" w:firstLine="656"/>
        <w:spacing w:after="0" w:line="255" w:lineRule="auto"/>
        <w:tabs>
          <w:tab w:leader="none" w:pos="123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Until the expiration of the Term as to all Licensed Products in all countries, Fulcrum agrees to make written reports to GSK within [**] after the end of each Calendar Quarter covering sales by Fulcrum, its Affiliates and Sublicensees of any Licensed Product that is subject to Fulcrum’s royalty obligations hereunder on a country-by-country basis during such Calendar Quarter. Each such written report shall provide (a) the Net Sales during such Calendar Quarter, in US dollars, (b) the royalties payable, in US dollars, which accrued hereunder with respect to such Net Sales and (c) the exchange rate used in calculating any of the foregoing. The information contained in each report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be considered Confidential Information of Fulcrum and its Affiliates.</w:t>
      </w:r>
    </w:p>
    <w:p>
      <w:pPr>
        <w:spacing w:after="0" w:line="193" w:lineRule="exact"/>
        <w:rPr>
          <w:rFonts w:ascii="Arial" w:cs="Arial" w:eastAsia="Arial" w:hAnsi="Arial"/>
          <w:sz w:val="18"/>
          <w:szCs w:val="18"/>
          <w:color w:val="auto"/>
        </w:rPr>
      </w:pPr>
    </w:p>
    <w:p>
      <w:pPr>
        <w:ind w:left="-60" w:firstLine="656"/>
        <w:spacing w:after="0" w:line="253" w:lineRule="auto"/>
        <w:tabs>
          <w:tab w:leader="none" w:pos="12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Fulcrum agrees, upon not less than [**] prior written notice, to permit, and to require its Affiliates and Sublicensees to permit, an independent accounting firm selected by GSK and reasonably acceptable to Fulcrum to examine the books and records relating to any Licensed Product for the purpose of verifying reports provided by Fulcrum under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Such audit shall not (i) be performed more frequently than [**] period (unless a previous audit during such [**] period revealed a material discrepancy with respect to such period), or (ii) be repeated for any Calendar Quarter, and shall be conducted for the sole purpose of verifying the accuracy and completeness of all financial, accounting and numerical information and calculations provided under this Agreement. The independent accounting firm shall have the right to make copies of relevant portions of Fulcrum’s books and records;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copies shall be the Confidential Information of Fulcrum, shall be protected by appropriate confidentiality obligations and shall not be shared with GSK or any other Person. The independent accounting firm will prepare and provide to the Parties a written report stating only whether the reports submitted, and amounts paid hereunder were correct or incorrect, and the amounts of any discrepancies. GSK shall bear the cost of any audit conducted under this </w:t>
      </w:r>
      <w:r>
        <w:rPr>
          <w:rFonts w:ascii="Arial" w:cs="Arial" w:eastAsia="Arial" w:hAnsi="Arial"/>
          <w:sz w:val="18"/>
          <w:szCs w:val="18"/>
          <w:u w:val="single" w:color="auto"/>
          <w:color w:val="auto"/>
        </w:rPr>
        <w:t>Section 3.5(b)</w:t>
      </w:r>
      <w:r>
        <w:rPr>
          <w:rFonts w:ascii="Arial" w:cs="Arial" w:eastAsia="Arial" w:hAnsi="Arial"/>
          <w:sz w:val="18"/>
          <w:szCs w:val="18"/>
          <w:color w:val="auto"/>
        </w:rPr>
        <w:t xml:space="preserve"> unless a discrepancy greater than [**] percent ([**]%) over any Calendar Year is found, in which case Fulcrum shall bear the cost of such audit.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41" w:right="279" w:bottom="1440" w:gutter="0" w:footer="0" w:header="0"/>
        </w:sectPr>
      </w:pPr>
    </w:p>
    <w:bookmarkStart w:id="487" w:name="page488"/>
    <w:bookmarkEnd w:id="487"/>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u w:val="single" w:color="auto"/>
          <w:color w:val="auto"/>
        </w:rPr>
        <w:t>Payment Method</w:t>
      </w:r>
      <w:r>
        <w:rPr>
          <w:rFonts w:ascii="Arial" w:cs="Arial" w:eastAsia="Arial" w:hAnsi="Arial"/>
          <w:sz w:val="16"/>
          <w:szCs w:val="16"/>
          <w:b w:val="1"/>
          <w:bCs w:val="1"/>
          <w:color w:val="auto"/>
        </w:rPr>
        <w: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All Royalty Payments shall be made in US dollars in immediately available funds via either a bank wire transfer, an ACH (automated clearing house) mechanism, or any other means of electronic funds transfer, at Fulcrum’s election, to a bank account specified by GSK in a notice at least [**] before the payment is due.</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u w:val="single" w:color="auto"/>
          <w:color w:val="auto"/>
        </w:rPr>
        <w:t>Late Payments</w:t>
      </w:r>
      <w:r>
        <w:rPr>
          <w:rFonts w:ascii="Arial" w:cs="Arial" w:eastAsia="Arial" w:hAnsi="Arial"/>
          <w:sz w:val="16"/>
          <w:szCs w:val="16"/>
          <w:b w:val="1"/>
          <w:bCs w:val="1"/>
          <w:color w:val="auto"/>
        </w:rPr>
        <w:t>.</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If Fulcrum shall fail to make a timely Royalty Payment pursuant to the terms of this Agreement, GSK shall provide written notice of such failure to Fulcrum (a “</w:t>
      </w:r>
      <w:r>
        <w:rPr>
          <w:rFonts w:ascii="Arial" w:cs="Arial" w:eastAsia="Arial" w:hAnsi="Arial"/>
          <w:sz w:val="17"/>
          <w:szCs w:val="17"/>
          <w:u w:val="single" w:color="auto"/>
          <w:color w:val="auto"/>
        </w:rPr>
        <w:t>Late Payment Notice</w:t>
      </w:r>
      <w:r>
        <w:rPr>
          <w:rFonts w:ascii="Arial" w:cs="Arial" w:eastAsia="Arial" w:hAnsi="Arial"/>
          <w:sz w:val="17"/>
          <w:szCs w:val="17"/>
          <w:color w:val="auto"/>
        </w:rPr>
        <w:t>”), and interest shall accrue on the past due amount starting on the date of the Late Payment Notice at the prime or equivalent rate per annum quoted by the Wall Street Journal, Eastern Edition on the first Business Day after such payment is due, plus [**] percent ([**]%), computed for the actual number of days after the date of the Late Payment Notice that the payment was past due.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FIRST NEGOTIATION</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u w:val="single" w:color="auto"/>
          <w:color w:val="auto"/>
        </w:rPr>
        <w:t>Negotiation Right</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Commencing on the Effective Date and until the completion of a Phase 2 Clinical Trial for a Licensed Product, if Fulcrum wishes to sublicense to any Third Party any of the rights granted to Fulcrum by GSK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in any country(ies) in the Territory other than the United States, Fulcrum shall, prior to entering into a sublicense agreement with any Third Party, notify GSK in writing of Fulcrum’s desire to sublicense its rights to a Third Party and the terms on which Fulcrum proposes to grant such sublicense;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terms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not apply to any sublicense to any Service Provider. GSK shall have [**] from receipt of such notice to decide whether to enter into further negotiations with Fulcrum for GSK or its Affiliate to Exploit Licensed Product in the applicable country(ies) in the Territory other than the United States. If GSK does not elect for it or its Affiliate to Exploit Licensed Product in the applicable country(ies) in the Territory other than the United States or does not respond to Fulcrum’s notice within such [**] period,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Fulcrum may sublicense the rights granted to Fulcrum by GSK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in the applicable country(ies) in the Territory other than the United States to any Third Party,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GSK elects within such [**] period to negotiate for it or its Affiliate to Exploit Licensed Product in the applicable country(ies) in the Territory other than the United States, then the Parties shall negotiate in good faith for a period of not more than [**] after such election by GSK. If the Parties have not reached an agreement within such [**] period, then Fulcrum shall have the right to (i) enter into negotiations with any Third Party for the sublicense of its rights granted to Fulcrum by GSK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in the applicable country(ies) in the Territory other than the United States and (ii) grant sublicenses in the applicable country(ies) in the Territory without further obligations to negotiate with GSK, provided that any such sublicense (x) is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and (y) does not include terms that are in the aggregate less favorable than those offered by GSK. For the avoidance of doubt, GSK’s right of first negotiation under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expire upon the first completion of a Phase 2 Clinical Trial for a Licensed Product.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88" w:name="page489"/>
    <w:bookmarkEnd w:id="488"/>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u w:val="single" w:color="auto"/>
          <w:color w:val="auto"/>
        </w:rPr>
        <w:t>Patent Maintenance</w:t>
      </w:r>
      <w:r>
        <w:rPr>
          <w:rFonts w:ascii="Arial" w:cs="Arial" w:eastAsia="Arial" w:hAnsi="Arial"/>
          <w:sz w:val="16"/>
          <w:szCs w:val="16"/>
          <w:b w:val="1"/>
          <w:bCs w:val="1"/>
          <w:color w:val="auto"/>
        </w:rPr>
        <w:t>.</w:t>
      </w:r>
    </w:p>
    <w:p>
      <w:pPr>
        <w:spacing w:after="0" w:line="229" w:lineRule="exact"/>
        <w:rPr>
          <w:sz w:val="20"/>
          <w:szCs w:val="20"/>
          <w:color w:val="auto"/>
        </w:rPr>
      </w:pPr>
    </w:p>
    <w:p>
      <w:pPr>
        <w:ind w:left="-20" w:right="120" w:firstLine="656"/>
        <w:spacing w:after="0" w:line="279" w:lineRule="auto"/>
        <w:tabs>
          <w:tab w:leader="none" w:pos="1274"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GSK Patents</w:t>
      </w:r>
      <w:r>
        <w:rPr>
          <w:rFonts w:ascii="Arial" w:cs="Arial" w:eastAsia="Arial" w:hAnsi="Arial"/>
          <w:sz w:val="17"/>
          <w:szCs w:val="17"/>
          <w:color w:val="auto"/>
        </w:rPr>
        <w:t xml:space="preserve">. All decisions and actions with respect to the maintenance of the GSK Patents shall be the responsibility of Fulcrum, at Fulcrum’s sole cost and expense. Fulcrum may abandon or discontinue the maintenance of any GSK Patent in a country;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Fulcrum first notifies GSK in writing at least [**] in advance of the due date of any payment or other action that is required to maintain such GSK Patent, and, upon such notice, GSK shall have the option, but not the obligation, to maintain such GSK Patent in the Territory at its sole cost and expense.</w:t>
      </w:r>
    </w:p>
    <w:p>
      <w:pPr>
        <w:spacing w:after="0" w:line="171" w:lineRule="exact"/>
        <w:rPr>
          <w:rFonts w:ascii="Arial" w:cs="Arial" w:eastAsia="Arial" w:hAnsi="Arial"/>
          <w:sz w:val="17"/>
          <w:szCs w:val="17"/>
          <w:color w:val="auto"/>
        </w:rPr>
      </w:pPr>
    </w:p>
    <w:p>
      <w:pPr>
        <w:ind w:left="-20" w:right="180" w:firstLine="656"/>
        <w:spacing w:after="0" w:line="286" w:lineRule="auto"/>
        <w:tabs>
          <w:tab w:leader="none" w:pos="1284"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Patent Term Extensions</w:t>
      </w:r>
      <w:r>
        <w:rPr>
          <w:rFonts w:ascii="Arial" w:cs="Arial" w:eastAsia="Arial" w:hAnsi="Arial"/>
          <w:sz w:val="17"/>
          <w:szCs w:val="17"/>
          <w:color w:val="auto"/>
        </w:rPr>
        <w:t>. As between the Parties, Fulcrum shall have the sole right, but not the obligation, at its sole cost and expense, to file for and seek to obtain patent term extensions (including any pediatric exclusivity extensions as may be available) or supplemental protection certificates or their equivalents in any country with respect to the GSK Patents based on Regulatory Approvals for the GSK Patents.</w:t>
      </w:r>
    </w:p>
    <w:p>
      <w:pPr>
        <w:spacing w:after="0" w:line="165" w:lineRule="exact"/>
        <w:rPr>
          <w:rFonts w:ascii="Arial" w:cs="Arial" w:eastAsia="Arial" w:hAnsi="Arial"/>
          <w:sz w:val="17"/>
          <w:szCs w:val="17"/>
          <w:color w:val="auto"/>
        </w:rPr>
      </w:pPr>
    </w:p>
    <w:p>
      <w:pPr>
        <w:ind w:left="-20" w:right="420" w:firstLine="656"/>
        <w:spacing w:after="0" w:line="277" w:lineRule="auto"/>
        <w:tabs>
          <w:tab w:leader="none" w:pos="1287"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Data Exclusivity</w:t>
      </w:r>
      <w:r>
        <w:rPr>
          <w:rFonts w:ascii="Arial" w:cs="Arial" w:eastAsia="Arial" w:hAnsi="Arial"/>
          <w:sz w:val="18"/>
          <w:szCs w:val="18"/>
          <w:color w:val="auto"/>
        </w:rPr>
        <w:t>. With respect to data exclusivity periods, Fulcrum shall have the sole right, but not the obligation, at its sole cost and expense, to seek, maintain and enforce all such data exclusivity periods available for Licensed Products.</w:t>
      </w:r>
    </w:p>
    <w:p>
      <w:pPr>
        <w:spacing w:after="0" w:line="166"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u w:val="single" w:color="auto"/>
          <w:color w:val="auto"/>
        </w:rPr>
        <w:t>Patent Enforcement</w:t>
      </w:r>
      <w:r>
        <w:rPr>
          <w:rFonts w:ascii="Arial" w:cs="Arial" w:eastAsia="Arial" w:hAnsi="Arial"/>
          <w:sz w:val="16"/>
          <w:szCs w:val="16"/>
          <w:b w:val="1"/>
          <w:bCs w:val="1"/>
          <w:color w:val="auto"/>
        </w:rPr>
        <w:t>.</w:t>
      </w:r>
    </w:p>
    <w:p>
      <w:pPr>
        <w:spacing w:after="0" w:line="229" w:lineRule="exact"/>
        <w:rPr>
          <w:sz w:val="20"/>
          <w:szCs w:val="20"/>
          <w:color w:val="auto"/>
        </w:rPr>
      </w:pPr>
    </w:p>
    <w:p>
      <w:pPr>
        <w:ind w:left="-20" w:firstLine="656"/>
        <w:spacing w:after="0" w:line="270" w:lineRule="auto"/>
        <w:tabs>
          <w:tab w:leader="none" w:pos="1274"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Notification</w:t>
      </w:r>
      <w:r>
        <w:rPr>
          <w:rFonts w:ascii="Arial" w:cs="Arial" w:eastAsia="Arial" w:hAnsi="Arial"/>
          <w:sz w:val="17"/>
          <w:szCs w:val="17"/>
          <w:color w:val="auto"/>
        </w:rPr>
        <w:t>. If either Party becomes aware of any existing or threatened infringement of any GSK Patent in the Field in the Territory, including (i) any such existing or threatened infringement on account of a Third Party’s Exploitation of the Compound or any Generic Version of a Licensed Product in the Field in any country in the Territory, or (ii) any certification filed by a Third Party in the United States pursuant to the Drug Price Competition and Patent Term Restoration Act of 1984 (or any successor legislation) or similar provisions in other jurisdictions, in connection with an abbreviated new drug application or a paper new drug application (or equivalent) with respect to the Compound or any Licensed Product in the Field in any country in the Territory, or any other similar Third Party communication, including notices pursuant to §§ 101 and 103 of such act from any person or entity who has filed an abbreviated new drug application or a paper new drug application (or equivalent) with respect to the Compound or any Generic Version of a Licensed Product in the Field ((i) and (ii), collectively, “</w:t>
      </w:r>
      <w:r>
        <w:rPr>
          <w:rFonts w:ascii="Arial" w:cs="Arial" w:eastAsia="Arial" w:hAnsi="Arial"/>
          <w:sz w:val="17"/>
          <w:szCs w:val="17"/>
          <w:u w:val="single" w:color="auto"/>
          <w:color w:val="auto"/>
        </w:rPr>
        <w:t>Competitive Infringement</w:t>
      </w:r>
      <w:r>
        <w:rPr>
          <w:rFonts w:ascii="Arial" w:cs="Arial" w:eastAsia="Arial" w:hAnsi="Arial"/>
          <w:sz w:val="17"/>
          <w:szCs w:val="17"/>
          <w:color w:val="auto"/>
        </w:rPr>
        <w:t>”), it shall promptly notify the other Party in writing to that effect, and the Parties will consult with each other regarding any actions to be taken with respect to such Competitive Infringement.</w:t>
      </w:r>
    </w:p>
    <w:p>
      <w:pPr>
        <w:spacing w:after="0" w:line="177" w:lineRule="exact"/>
        <w:rPr>
          <w:rFonts w:ascii="Arial" w:cs="Arial" w:eastAsia="Arial" w:hAnsi="Arial"/>
          <w:sz w:val="17"/>
          <w:szCs w:val="17"/>
          <w:color w:val="auto"/>
        </w:rPr>
      </w:pPr>
    </w:p>
    <w:p>
      <w:pPr>
        <w:ind w:left="-20" w:right="40" w:firstLine="656"/>
        <w:spacing w:after="0" w:line="261" w:lineRule="auto"/>
        <w:tabs>
          <w:tab w:leader="none" w:pos="1284"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Right to Enforce</w:t>
      </w:r>
      <w:r>
        <w:rPr>
          <w:rFonts w:ascii="Arial" w:cs="Arial" w:eastAsia="Arial" w:hAnsi="Arial"/>
          <w:sz w:val="18"/>
          <w:szCs w:val="18"/>
          <w:b w:val="1"/>
          <w:bCs w:val="1"/>
          <w:color w:val="auto"/>
        </w:rPr>
        <w:t>.</w:t>
      </w:r>
      <w:r>
        <w:rPr>
          <w:rFonts w:ascii="Arial" w:cs="Arial" w:eastAsia="Arial" w:hAnsi="Arial"/>
          <w:sz w:val="18"/>
          <w:szCs w:val="18"/>
          <w:color w:val="auto"/>
        </w:rPr>
        <w:t xml:space="preserve"> Fulcrum shall have the first right, but shall not be obligated, to bring and control an infringement action with respect to any Competitive Infringement of any GSK Patent, at Fulcrum’s sole cost and expense. If Fulcrum does not bring such an action with respect to a GSK Patent (or settle or otherwise secure the abatement of such infringement) prior to the earlier of: (i) [**] following GSK’s receipt or delivery of the notice under </w:t>
      </w:r>
      <w:r>
        <w:rPr>
          <w:rFonts w:ascii="Arial" w:cs="Arial" w:eastAsia="Arial" w:hAnsi="Arial"/>
          <w:sz w:val="18"/>
          <w:szCs w:val="18"/>
          <w:u w:val="single" w:color="auto"/>
          <w:color w:val="auto"/>
        </w:rPr>
        <w:t>Section 5.2(a)</w:t>
      </w:r>
      <w:r>
        <w:rPr>
          <w:rFonts w:ascii="Arial" w:cs="Arial" w:eastAsia="Arial" w:hAnsi="Arial"/>
          <w:sz w:val="18"/>
          <w:szCs w:val="18"/>
          <w:color w:val="auto"/>
        </w:rPr>
        <w:t>, or (ii) [**] before the deadline, if any, set forth in the applicable Laws for the filing of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8" w:right="239" w:bottom="1440" w:gutter="0" w:footer="0" w:header="0"/>
        </w:sectPr>
      </w:pPr>
    </w:p>
    <w:bookmarkStart w:id="489" w:name="page490"/>
    <w:bookmarkEnd w:id="489"/>
    <w:p>
      <w:pPr>
        <w:spacing w:after="0"/>
        <w:rPr>
          <w:sz w:val="20"/>
          <w:szCs w:val="20"/>
          <w:color w:val="auto"/>
        </w:rPr>
      </w:pPr>
      <w:r>
        <w:rPr>
          <w:rFonts w:ascii="Arial" w:cs="Arial" w:eastAsia="Arial" w:hAnsi="Arial"/>
          <w:sz w:val="17"/>
          <w:szCs w:val="17"/>
          <w:color w:val="auto"/>
        </w:rPr>
        <w:t>actions, GSK shall have the right, but not the obligation, to bring and control any such action, at its own expense and by counsel of its own choice.</w:t>
      </w:r>
    </w:p>
    <w:p>
      <w:pPr>
        <w:spacing w:after="0" w:line="237" w:lineRule="exact"/>
        <w:rPr>
          <w:sz w:val="20"/>
          <w:szCs w:val="20"/>
          <w:color w:val="auto"/>
        </w:rPr>
      </w:pPr>
    </w:p>
    <w:p>
      <w:pPr>
        <w:ind w:firstLine="656"/>
        <w:spacing w:after="0" w:line="255" w:lineRule="auto"/>
        <w:tabs>
          <w:tab w:leader="none" w:pos="1307"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Each Party shall cooperate fully with the enforcing Party in such enforcement, at such enforcing Party’s request and expense, including joining such action as a party plaintiff if required by applicable Laws to pursue such action. The enforcing Party shall keep the other Party regularly informed of the status and progress of such enforcement efforts and shall reasonably consider the other Party’s comments on any such efforts. The non-enforcing Party shall be entitled to separate representation in such matter by counsel of its own choice and at its own expense, but such Party shall at all times cooperate fully with the enforcing Party. Neither Party shall have the right to settle any patent infringement litigation under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in a manner that diminishes the rights or interests of the other Party without the prior written consent of such other Party, such consent not to be unreasonably withheld, conditioned or delayed.</w:t>
      </w:r>
    </w:p>
    <w:p>
      <w:pPr>
        <w:spacing w:after="0" w:line="189" w:lineRule="exact"/>
        <w:rPr>
          <w:rFonts w:ascii="Arial" w:cs="Arial" w:eastAsia="Arial" w:hAnsi="Arial"/>
          <w:sz w:val="18"/>
          <w:szCs w:val="18"/>
          <w:color w:val="auto"/>
        </w:rPr>
      </w:pPr>
    </w:p>
    <w:p>
      <w:pPr>
        <w:ind w:firstLine="656"/>
        <w:spacing w:after="0" w:line="255" w:lineRule="auto"/>
        <w:tabs>
          <w:tab w:leader="none" w:pos="1304"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Expenses and Recoveries</w:t>
      </w:r>
      <w:r>
        <w:rPr>
          <w:rFonts w:ascii="Arial" w:cs="Arial" w:eastAsia="Arial" w:hAnsi="Arial"/>
          <w:sz w:val="18"/>
          <w:szCs w:val="18"/>
          <w:color w:val="auto"/>
        </w:rPr>
        <w:t xml:space="preserve">. The enforcing Party bringing a claim, suit or action under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solely responsible for any expenses incurred by such Party as a result of such claim, suit or action. If such Party recovers monetary damages in such claim, suit or action, except as otherwise agreed by the Parties in connection with a cost-sharing arrangement, such recovery shall be allocated first to the reimbursement of any expenses incurred by the Parties in such litigation, and any remaining amounts shall be shared as follows: the remaining amount of any such recovery shall be deemed Net Sales for the Calendar Quarter in which such recovery payment is received by the Parties, and GSK shall receive royalty payments on such amounts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GSK COVENANTS</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6"/>
          <w:szCs w:val="16"/>
          <w:b w:val="1"/>
          <w:bCs w:val="1"/>
          <w:u w:val="single" w:color="auto"/>
          <w:color w:val="auto"/>
        </w:rPr>
        <w:t>Representations and Warranties of Both Parties</w:t>
      </w:r>
      <w:r>
        <w:rPr>
          <w:rFonts w:ascii="Arial" w:cs="Arial" w:eastAsia="Arial" w:hAnsi="Arial"/>
          <w:sz w:val="16"/>
          <w:szCs w:val="16"/>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Party hereby represents and warrants to the other Party, as of the Effective Date, that:</w:t>
      </w:r>
    </w:p>
    <w:p>
      <w:pPr>
        <w:spacing w:after="0" w:line="225" w:lineRule="exact"/>
        <w:rPr>
          <w:sz w:val="20"/>
          <w:szCs w:val="20"/>
          <w:color w:val="auto"/>
        </w:rPr>
      </w:pPr>
    </w:p>
    <w:p>
      <w:pPr>
        <w:ind w:right="500" w:firstLine="656"/>
        <w:spacing w:after="0" w:line="277" w:lineRule="auto"/>
        <w:tabs>
          <w:tab w:leader="none" w:pos="129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Such Party is duly organized, validly existing and in good standing under the Laws of the jurisdiction of its incorporation and has full corporate power and authority to enter into this Agreement and to carry out the provisions hereof;</w:t>
      </w:r>
    </w:p>
    <w:p>
      <w:pPr>
        <w:spacing w:after="0" w:line="170" w:lineRule="exact"/>
        <w:rPr>
          <w:rFonts w:ascii="Arial" w:cs="Arial" w:eastAsia="Arial" w:hAnsi="Arial"/>
          <w:sz w:val="18"/>
          <w:szCs w:val="18"/>
          <w:color w:val="auto"/>
        </w:rPr>
      </w:pPr>
    </w:p>
    <w:p>
      <w:pPr>
        <w:ind w:right="260" w:firstLine="656"/>
        <w:spacing w:after="0" w:line="277" w:lineRule="auto"/>
        <w:tabs>
          <w:tab w:leader="none" w:pos="130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Such Party has taken all necessary action on its part to authorize the execution and delivery of this Agreement and the performance of its obligations hereunder;</w:t>
      </w:r>
    </w:p>
    <w:p>
      <w:pPr>
        <w:spacing w:after="0" w:line="170" w:lineRule="exact"/>
        <w:rPr>
          <w:rFonts w:ascii="Arial" w:cs="Arial" w:eastAsia="Arial" w:hAnsi="Arial"/>
          <w:sz w:val="18"/>
          <w:szCs w:val="18"/>
          <w:color w:val="auto"/>
        </w:rPr>
      </w:pPr>
    </w:p>
    <w:p>
      <w:pPr>
        <w:ind w:right="20" w:firstLine="656"/>
        <w:spacing w:after="0" w:line="277" w:lineRule="auto"/>
        <w:tabs>
          <w:tab w:leader="none" w:pos="130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on behalf of such Party, and constitutes a legal, valid, binding obligation, enforceable against it in accordance with the terms hereof;</w:t>
      </w:r>
    </w:p>
    <w:p>
      <w:pPr>
        <w:spacing w:after="0" w:line="170" w:lineRule="exact"/>
        <w:rPr>
          <w:rFonts w:ascii="Arial" w:cs="Arial" w:eastAsia="Arial" w:hAnsi="Arial"/>
          <w:sz w:val="18"/>
          <w:szCs w:val="18"/>
          <w:color w:val="auto"/>
        </w:rPr>
      </w:pPr>
    </w:p>
    <w:p>
      <w:pPr>
        <w:ind w:right="660" w:firstLine="656"/>
        <w:spacing w:after="0" w:line="308" w:lineRule="auto"/>
        <w:tabs>
          <w:tab w:leader="none" w:pos="1304"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by such Party does not and will not conflict with any agreement or any provision thereof, or any instrument or understanding, oral or written, to which it is or becomes a party or by which it is or becomes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0" w:name="page491"/>
    <w:bookmarkEnd w:id="490"/>
    <w:p>
      <w:pPr>
        <w:spacing w:after="0"/>
        <w:rPr>
          <w:sz w:val="20"/>
          <w:szCs w:val="20"/>
          <w:color w:val="auto"/>
        </w:rPr>
      </w:pPr>
      <w:r>
        <w:rPr>
          <w:rFonts w:ascii="Arial" w:cs="Arial" w:eastAsia="Arial" w:hAnsi="Arial"/>
          <w:sz w:val="17"/>
          <w:szCs w:val="17"/>
          <w:color w:val="auto"/>
        </w:rPr>
        <w:t>bound, nor violate any Law or regulation of any court, governmental body or administrative or other agency having jurisdiction over such Party; and</w:t>
      </w:r>
    </w:p>
    <w:p>
      <w:pPr>
        <w:spacing w:after="0" w:line="237" w:lineRule="exact"/>
        <w:rPr>
          <w:sz w:val="20"/>
          <w:szCs w:val="20"/>
          <w:color w:val="auto"/>
        </w:rPr>
      </w:pPr>
    </w:p>
    <w:p>
      <w:pPr>
        <w:ind w:right="20" w:firstLine="656"/>
        <w:spacing w:after="0" w:line="264" w:lineRule="auto"/>
        <w:tabs>
          <w:tab w:leader="none" w:pos="130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No government authorization, consent, approval, license, exemption of, or filing or registration with any court or governmental department, commission, board, bureau, agency or instrumentality, domestic or foreign, under any Laws currently in effect, is necessary for its execution and delivery of this Agreement.</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u w:val="single" w:color="auto"/>
          <w:color w:val="auto"/>
        </w:rPr>
        <w:t>Additional Representations and Warranties of GSK</w:t>
      </w:r>
      <w:r>
        <w:rPr>
          <w:rFonts w:ascii="Arial" w:cs="Arial" w:eastAsia="Arial" w:hAnsi="Arial"/>
          <w:sz w:val="16"/>
          <w:szCs w:val="16"/>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GSK hereby represents and warrants to Fulcrum, as of the Effective Date, that:</w:t>
      </w:r>
    </w:p>
    <w:p>
      <w:pPr>
        <w:spacing w:after="0" w:line="225" w:lineRule="exact"/>
        <w:rPr>
          <w:sz w:val="20"/>
          <w:szCs w:val="20"/>
          <w:color w:val="auto"/>
        </w:rPr>
      </w:pPr>
    </w:p>
    <w:p>
      <w:pPr>
        <w:ind w:right="100" w:firstLine="656"/>
        <w:spacing w:after="0" w:line="277" w:lineRule="auto"/>
        <w:tabs>
          <w:tab w:leader="none" w:pos="129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GSK or its Affiliates Control the Losmapimod IND and the GSK Intellectual Property and is entitled to grant the rights and licenses under the Losmapimod IND and the GSK Intellectual Property specified herein;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GSK has not granted a right of reference to the Losmapimod IND or licensed the GSK Intellectual Property to any Third Party.</w:t>
      </w:r>
    </w:p>
    <w:p>
      <w:pPr>
        <w:spacing w:after="0" w:line="22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6"/>
          <w:szCs w:val="16"/>
          <w:b w:val="1"/>
          <w:bCs w:val="1"/>
          <w:u w:val="single" w:color="auto"/>
          <w:color w:val="auto"/>
        </w:rPr>
        <w:t>GSK Covenants</w:t>
      </w:r>
      <w:r>
        <w:rPr>
          <w:rFonts w:ascii="Arial" w:cs="Arial" w:eastAsia="Arial" w:hAnsi="Arial"/>
          <w:sz w:val="16"/>
          <w:szCs w:val="16"/>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GSK shall not grant to any Third Party any rights that would be inconsistent with Fulcrum’s rights hereunder.</w:t>
      </w:r>
    </w:p>
    <w:p>
      <w:pPr>
        <w:spacing w:after="0" w:line="225" w:lineRule="exact"/>
        <w:rPr>
          <w:rFonts w:ascii="Arial" w:cs="Arial" w:eastAsia="Arial" w:hAnsi="Arial"/>
          <w:sz w:val="18"/>
          <w:szCs w:val="18"/>
          <w:color w:val="auto"/>
        </w:rPr>
      </w:pPr>
    </w:p>
    <w:p>
      <w:pPr>
        <w:ind w:right="620" w:firstLine="656"/>
        <w:spacing w:after="0" w:line="277" w:lineRule="auto"/>
        <w:tabs>
          <w:tab w:leader="none" w:pos="130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GSK shall not assign, transfer, convey or otherwise encumber its right, title and interest in and to the Losmapimod IND or the GSK Intellectual Property in a manner that conflicts with any rights granted to Fulcrum hereunder.</w:t>
      </w:r>
    </w:p>
    <w:p>
      <w:pPr>
        <w:spacing w:after="0" w:line="166"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6"/>
          <w:szCs w:val="16"/>
          <w:b w:val="1"/>
          <w:bCs w:val="1"/>
          <w:u w:val="single" w:color="auto"/>
          <w:color w:val="auto"/>
        </w:rPr>
        <w:t>Fulcrum Covenants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During the Term:</w:t>
      </w:r>
    </w:p>
    <w:p>
      <w:pPr>
        <w:spacing w:after="0" w:line="229" w:lineRule="exact"/>
        <w:rPr>
          <w:sz w:val="20"/>
          <w:szCs w:val="20"/>
          <w:color w:val="auto"/>
        </w:rPr>
      </w:pPr>
    </w:p>
    <w:p>
      <w:pPr>
        <w:ind w:right="300" w:firstLine="656"/>
        <w:spacing w:after="0" w:line="277" w:lineRule="auto"/>
        <w:tabs>
          <w:tab w:leader="none" w:pos="129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Fulcrum hereby covenants that it and its Affiliates shall use Commercially Reasonable Efforts to develop and commercialize a Licensed Product for FSHD in the Territory.</w:t>
      </w:r>
    </w:p>
    <w:p>
      <w:pPr>
        <w:spacing w:after="0" w:line="170" w:lineRule="exact"/>
        <w:rPr>
          <w:rFonts w:ascii="Arial" w:cs="Arial" w:eastAsia="Arial" w:hAnsi="Arial"/>
          <w:sz w:val="18"/>
          <w:szCs w:val="18"/>
          <w:color w:val="auto"/>
        </w:rPr>
      </w:pPr>
    </w:p>
    <w:p>
      <w:pPr>
        <w:ind w:right="100" w:firstLine="656"/>
        <w:spacing w:after="0" w:line="277" w:lineRule="auto"/>
        <w:tabs>
          <w:tab w:leader="none" w:pos="130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Fulcrum and its Affiliates shall conduct, and shall use Commercially Reasonable Efforts to cause its Sublicensees and Service Providers to conduct, all activities contemplated under this Agreement in accordance with applicable Law.</w:t>
      </w:r>
    </w:p>
    <w:p>
      <w:pPr>
        <w:spacing w:after="0" w:line="170" w:lineRule="exact"/>
        <w:rPr>
          <w:rFonts w:ascii="Arial" w:cs="Arial" w:eastAsia="Arial" w:hAnsi="Arial"/>
          <w:sz w:val="18"/>
          <w:szCs w:val="18"/>
          <w:color w:val="auto"/>
        </w:rPr>
      </w:pPr>
    </w:p>
    <w:p>
      <w:pPr>
        <w:ind w:right="240" w:firstLine="656"/>
        <w:spacing w:after="0" w:line="277" w:lineRule="auto"/>
        <w:tabs>
          <w:tab w:leader="none" w:pos="130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Fulcrum and its Affiliates will conduct its business and all activities with respect to the Licensed Product in compliance with the Foreign Corrupt Practices Act of 1977, the UK Bribery Act of 2010 and any other applicable anti-corruption laws.</w:t>
      </w:r>
    </w:p>
    <w:p>
      <w:pPr>
        <w:spacing w:after="0" w:line="170" w:lineRule="exact"/>
        <w:rPr>
          <w:rFonts w:ascii="Arial" w:cs="Arial" w:eastAsia="Arial" w:hAnsi="Arial"/>
          <w:sz w:val="18"/>
          <w:szCs w:val="18"/>
          <w:color w:val="auto"/>
        </w:rPr>
      </w:pPr>
    </w:p>
    <w:p>
      <w:pPr>
        <w:ind w:firstLine="656"/>
        <w:spacing w:after="0" w:line="257" w:lineRule="auto"/>
        <w:tabs>
          <w:tab w:leader="none" w:pos="130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Neither Fulcrum nor any of its Affiliates will knowingly use in any capacity in connection with the Exploitation of any Licensed Product, any Person who has been Debarred. Fulcrum shall notify GSK immediately upon becoming aware that any Person who is performing services with respect to any Licensed Product has been Debarred or if any claim is pending or, to the best of Fulcrum’s knowledge, threatened, relating to the Debarment of Fulcrum, its Affiliates or any Person in connection with the Exploitation of any Licensed Product. For the avoidance of doubt, neither Fulcrum nor any of its Affiliates shall have any liability to GSK or any of its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1" w:name="page492"/>
    <w:bookmarkEnd w:id="491"/>
    <w:p>
      <w:pPr>
        <w:ind w:right="120"/>
        <w:spacing w:after="0" w:line="259" w:lineRule="auto"/>
        <w:rPr>
          <w:sz w:val="20"/>
          <w:szCs w:val="20"/>
          <w:color w:val="auto"/>
        </w:rPr>
      </w:pPr>
      <w:r>
        <w:rPr>
          <w:rFonts w:ascii="Arial" w:cs="Arial" w:eastAsia="Arial" w:hAnsi="Arial"/>
          <w:sz w:val="18"/>
          <w:szCs w:val="18"/>
          <w:color w:val="auto"/>
        </w:rPr>
        <w:t>Affiliates as a result of any Debarred Person’s involvement in the Exploitation of any Licensed Product to the extent Fulcrum, having instituted the policies and procedures set forth in Section 6.4(e), had no knowledge of such Person’s Debarment or any claim (whether pending or threatened) relating to the Debarment of such Person, provided that Fulcrum takes prompt action to terminate such Debarred Person’s involvement in the Exploitation of any Licensed Product upon learning of such Debarment or claim relating to the Debarment of such Person.</w:t>
      </w:r>
    </w:p>
    <w:p>
      <w:pPr>
        <w:spacing w:after="0" w:line="187" w:lineRule="exact"/>
        <w:rPr>
          <w:sz w:val="20"/>
          <w:szCs w:val="20"/>
          <w:color w:val="auto"/>
        </w:rPr>
      </w:pPr>
    </w:p>
    <w:p>
      <w:pPr>
        <w:ind w:right="160" w:firstLine="656"/>
        <w:spacing w:after="0" w:line="308" w:lineRule="auto"/>
        <w:tabs>
          <w:tab w:leader="none" w:pos="1307" w:val="left"/>
        </w:tabs>
        <w:numPr>
          <w:ilvl w:val="0"/>
          <w:numId w:val="363"/>
        </w:numPr>
        <w:rPr>
          <w:rFonts w:ascii="Arial" w:cs="Arial" w:eastAsia="Arial" w:hAnsi="Arial"/>
          <w:sz w:val="17"/>
          <w:szCs w:val="17"/>
          <w:color w:val="auto"/>
        </w:rPr>
      </w:pPr>
      <w:r>
        <w:rPr>
          <w:rFonts w:ascii="Arial" w:cs="Arial" w:eastAsia="Arial" w:hAnsi="Arial"/>
          <w:sz w:val="17"/>
          <w:szCs w:val="17"/>
          <w:color w:val="auto"/>
        </w:rPr>
        <w:t>Fulcrum and its Affiliates will maintain internal policies and procedures designed to reasonably ensure that neither Fulcrum nor any of its Affiliates will knowingly use in any capacity in connection with the Exploitation of any Licensed Product, any Person who has been Debarred.</w:t>
      </w:r>
    </w:p>
    <w:p>
      <w:pPr>
        <w:spacing w:after="0" w:line="14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u w:val="single" w:color="auto"/>
          <w:color w:val="auto"/>
        </w:rPr>
        <w:t>No Other Warranties</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EXCEPT AS OTHERWISE EXPRESSLY SET FORTH IN THIS AGREEMENT, NEITHER PARTY MAKES ANY REPRESENTATION OR WARRANTY OF ANY KIND, EITHER EXPRESS, IMPLIED, STATUTORY OR OTHERWISE, WITH RESPECT TO THE SUBJECT MATTER OF THIS AGREEMENT (INCLUDING, WITHOUT LIMITATION, THE DATA, LOSMAPIMOD IND, COMPOUND, ANY LICENSED PRODUCT OR GSK INTELLECTUAL PROPERTY), INCLUDING ANY WARRANTY OF MERCHANTABILITY, NONINFRINGEMENT, OR FITNESS FOR A PARTICULAR PURPOSE. EACH PARTY DISCLAIMS ANY REPRESENTATION OR WARRANTY THAT THE EXPLOITATION OF LICENSED PRODUCT PURSUANT TO THIS AGREEMENT WILL BE SUCCESSFUL.</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56"/>
        <w:spacing w:after="0" w:line="269" w:lineRule="auto"/>
        <w:tabs>
          <w:tab w:leader="none" w:pos="1294"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During the Term and for [**] thereafter, each Party shall maintain Confidential Information (as defined in </w:t>
      </w:r>
      <w:r>
        <w:rPr>
          <w:rFonts w:ascii="Arial" w:cs="Arial" w:eastAsia="Arial" w:hAnsi="Arial"/>
          <w:sz w:val="17"/>
          <w:szCs w:val="17"/>
          <w:u w:val="single" w:color="auto"/>
          <w:color w:val="auto"/>
        </w:rPr>
        <w:t>Section 7.1(b)</w:t>
      </w:r>
      <w:r>
        <w:rPr>
          <w:rFonts w:ascii="Arial" w:cs="Arial" w:eastAsia="Arial" w:hAnsi="Arial"/>
          <w:sz w:val="17"/>
          <w:szCs w:val="17"/>
          <w:color w:val="auto"/>
        </w:rPr>
        <w:t>) of the other Party in confidence, and shall not disclose, divulge or otherwise communicate such Confidential Information to others (except for agents, directors, officers, employees, consultants, subcontractors, Affiliates, advisors, licensees, sublicensees, partners and potential licensees, sublicensees and partners (collectively, “</w:t>
      </w:r>
      <w:r>
        <w:rPr>
          <w:rFonts w:ascii="Arial" w:cs="Arial" w:eastAsia="Arial" w:hAnsi="Arial"/>
          <w:sz w:val="17"/>
          <w:szCs w:val="17"/>
          <w:u w:val="single" w:color="auto"/>
          <w:color w:val="auto"/>
        </w:rPr>
        <w:t>Agents</w:t>
      </w:r>
      <w:r>
        <w:rPr>
          <w:rFonts w:ascii="Arial" w:cs="Arial" w:eastAsia="Arial" w:hAnsi="Arial"/>
          <w:sz w:val="17"/>
          <w:szCs w:val="17"/>
          <w:color w:val="auto"/>
        </w:rPr>
        <w:t xml:space="preserve">”) under obligations of confidentiality at least as restrictive as set forth in this Article VII) or use it for any purpose other than in connection with the Exploitation of the Compound or any Licensed Product pursuant to this Agreement, and each Party shall exercise commercially reasonable efforts to prevent the unauthorized disclosure of such Confidential Information by any of its Agents, which efforts shall be at least as diligent as those generally used by such Party in protecting its own confidential and proprietary information. Each Party will be responsible for a breach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by its Agents. For clarity, Fulcrum may disclose Confidential Information of GSK (a) to governmental authorities (i) to the extent desirable to obtain or maintain INDs or regulatory approvals for the Compound or any Licensed Product within the Territory and (ii) in order to respond to inquiries, requests or investigations by governmental authorities; (b) to outside consultants, scientific advisory boards, managed care organizations, and non-clinical and clinical investigators to the extent necessary to Exploit the Compound or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92" w:name="page493"/>
    <w:bookmarkEnd w:id="492"/>
    <w:p>
      <w:pPr>
        <w:ind w:right="180"/>
        <w:spacing w:after="0" w:line="312" w:lineRule="auto"/>
        <w:rPr>
          <w:sz w:val="20"/>
          <w:szCs w:val="20"/>
          <w:color w:val="auto"/>
        </w:rPr>
      </w:pPr>
      <w:r>
        <w:rPr>
          <w:rFonts w:ascii="Arial" w:cs="Arial" w:eastAsia="Arial" w:hAnsi="Arial"/>
          <w:sz w:val="16"/>
          <w:szCs w:val="16"/>
          <w:color w:val="auto"/>
        </w:rPr>
        <w:t xml:space="preserve">any Licensed Product; (c) to the extent useful to develop, manufacture and commercialize the Compound or any Licensed Product; and (d) to the extent necessary or useful in order to enjoy its rights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Fulcrum shall obtain the same confidentiality obligations from any Third Parties to which it discloses the Confidential Information of GSK as it obtains with respect to its own similar types of confidential information.</w:t>
      </w:r>
    </w:p>
    <w:p>
      <w:pPr>
        <w:spacing w:after="0" w:line="147" w:lineRule="exact"/>
        <w:rPr>
          <w:sz w:val="20"/>
          <w:szCs w:val="20"/>
          <w:color w:val="auto"/>
        </w:rPr>
      </w:pPr>
    </w:p>
    <w:p>
      <w:pPr>
        <w:ind w:firstLine="656"/>
        <w:spacing w:after="0" w:line="273" w:lineRule="auto"/>
        <w:tabs>
          <w:tab w:leader="none" w:pos="1304"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trade secrets or other proprietary information, including any proprietary data and materials (whether or not patentable or protectable as a trade secret), regarding a Party’s or its Affiliate’s or licensor’s technology, products, business, financial status or prospects or objectives regarding the Licensed Products that is disclosed by a Party to the other Party. All information disclosed prior to the Effective Date by a Party to the other Party pursuant to the Mutual Non-Disclosure Agreement by and between the Parties, dated as of June 4, 2018 through the Effective Date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shall be deemed “Confidential Information” of such disclosing Party. Notwithstanding the foregoing, there shall be excluded from the foregoing definition of Confidential Information any of the foregoing that:</w:t>
      </w:r>
    </w:p>
    <w:p>
      <w:pPr>
        <w:spacing w:after="0" w:line="178" w:lineRule="exact"/>
        <w:rPr>
          <w:rFonts w:ascii="Arial" w:cs="Arial" w:eastAsia="Arial" w:hAnsi="Arial"/>
          <w:sz w:val="17"/>
          <w:szCs w:val="17"/>
          <w:color w:val="auto"/>
        </w:rPr>
      </w:pPr>
    </w:p>
    <w:p>
      <w:pPr>
        <w:ind w:left="660" w:right="200" w:firstLine="645"/>
        <w:spacing w:after="0" w:line="277" w:lineRule="auto"/>
        <w:tabs>
          <w:tab w:leader="none" w:pos="197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is lawfully disclosed to the receiving Party by a Third Party without any violation of any obligation to the other Party; or</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87" w:val="left"/>
        </w:tabs>
        <w:numPr>
          <w:ilvl w:val="1"/>
          <w:numId w:val="365"/>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becomes published or generally known to the public through no fault or omission on the part of the receiving Party or its Agents; or</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997" w:val="left"/>
        </w:tabs>
        <w:numPr>
          <w:ilvl w:val="1"/>
          <w:numId w:val="365"/>
        </w:numPr>
        <w:rPr>
          <w:rFonts w:ascii="Arial" w:cs="Arial" w:eastAsia="Arial" w:hAnsi="Arial"/>
          <w:sz w:val="18"/>
          <w:szCs w:val="18"/>
          <w:color w:val="auto"/>
        </w:rPr>
      </w:pPr>
      <w:r>
        <w:rPr>
          <w:rFonts w:ascii="Arial" w:cs="Arial" w:eastAsia="Arial" w:hAnsi="Arial"/>
          <w:sz w:val="18"/>
          <w:szCs w:val="18"/>
          <w:color w:val="auto"/>
        </w:rPr>
        <w:t>is independently developed by or for the receiving Party without reference to or reliance upon the disclosing Party’s Confidential Information as demonstrated by contemporaneous written records of the receiving Party.</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Notwithstanding the foregoing, the receiving Party may disclose the disclosing Party’s Confidential Information if it is required to be disclosed to comply with applicable Laws, to defend or prosecute litigation or to comply with governmental regulations or the regulations or requirements of any stock exchange,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receiving Party promptly provides prior notice of such disclosure to the other Party and uses commercially reasonable efforts to avoid or</w:t>
      </w:r>
      <w:r>
        <w:rPr>
          <w:rFonts w:ascii="Arial" w:cs="Arial" w:eastAsia="Arial" w:hAnsi="Arial"/>
          <w:sz w:val="18"/>
          <w:szCs w:val="18"/>
          <w:i w:val="1"/>
          <w:iCs w:val="1"/>
          <w:color w:val="auto"/>
        </w:rPr>
        <w:t xml:space="preserve"> </w:t>
      </w:r>
      <w:r>
        <w:rPr>
          <w:rFonts w:ascii="Arial" w:cs="Arial" w:eastAsia="Arial" w:hAnsi="Arial"/>
          <w:sz w:val="18"/>
          <w:szCs w:val="18"/>
          <w:color w:val="auto"/>
        </w:rPr>
        <w:t>minimize the degree of such disclosure.</w:t>
      </w:r>
    </w:p>
    <w:p>
      <w:pPr>
        <w:spacing w:after="0" w:line="187" w:lineRule="exact"/>
        <w:rPr>
          <w:sz w:val="20"/>
          <w:szCs w:val="20"/>
          <w:color w:val="auto"/>
        </w:rPr>
      </w:pPr>
    </w:p>
    <w:p>
      <w:pPr>
        <w:ind w:firstLine="656"/>
        <w:spacing w:after="0" w:line="255" w:lineRule="auto"/>
        <w:tabs>
          <w:tab w:leader="none" w:pos="1307"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Terms of this Agreement</w:t>
      </w:r>
      <w:r>
        <w:rPr>
          <w:rFonts w:ascii="Arial" w:cs="Arial" w:eastAsia="Arial" w:hAnsi="Arial"/>
          <w:sz w:val="18"/>
          <w:szCs w:val="18"/>
          <w:color w:val="auto"/>
        </w:rPr>
        <w:t>. Neither Party may disclose the terms of this Agreement except to the extent required to comply with applicable Laws or legal process, including the rules and regulations of the U.S. Securities and Exchange Commission, or similar agency in any country other than the United States, or of any stock exchange, including Nasdaq. Notwithstanding the foregoing, before disclosing the terms of this Agreement with respect to any filings with the U.S. Securities and Exchange Commission or similar agency in any country other than the United States or of any stock exchange, including Nasdaq, on which securities issued by a Party or a Party’s Affiliate are traded, the Parties will, prior to any such disclosure, agree upon the redaction of certain provisions of this Agreement, and each Party will use commercially reasonable efforts to seek confidential treatment for such terms as may be reasonably requested by the other Party.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3" w:name="page494"/>
    <w:bookmarkEnd w:id="493"/>
    <w:p>
      <w:pPr>
        <w:ind w:right="120" w:firstLine="656"/>
        <w:spacing w:after="0" w:line="255" w:lineRule="auto"/>
        <w:tabs>
          <w:tab w:leader="none" w:pos="1304"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Return of Confidential Information</w:t>
      </w:r>
      <w:r>
        <w:rPr>
          <w:rFonts w:ascii="Arial" w:cs="Arial" w:eastAsia="Arial" w:hAnsi="Arial"/>
          <w:sz w:val="18"/>
          <w:szCs w:val="18"/>
          <w:color w:val="auto"/>
        </w:rPr>
        <w:t xml:space="preserve">. Upon the termination of this Agreement (other than on expiration of this Agreement following which Fulcrum’s license rights hereunder survive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each Party shall return the other Party’s Confidential Information or destroy the other Party’s Confidential Information at the other Party’s request; provided, that each Party may retain one (1) copy of the other Party’s Confidential Information for archival purposes only and neither Party shall be required to return or destroy Confidential Information of the other Party stored on automatically created back-up computer systems. Notwithstanding the foregoing, each Party shall continue to be bound by its obligations of confidentiality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20" w:firstLine="656"/>
        <w:spacing w:after="0" w:line="255" w:lineRule="auto"/>
        <w:tabs>
          <w:tab w:leader="none" w:pos="1307"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Publicity</w:t>
      </w:r>
      <w:r>
        <w:rPr>
          <w:rFonts w:ascii="Arial" w:cs="Arial" w:eastAsia="Arial" w:hAnsi="Arial"/>
          <w:sz w:val="18"/>
          <w:szCs w:val="18"/>
          <w:color w:val="auto"/>
        </w:rPr>
        <w:t xml:space="preserve">. The Parties agree that following the Effective Date Fulcrum may issue a mutually agreed press release announcing the execution of this Agreement. Any press release or other public announcement relating to the terms of this Agreement will first be reviewed and approved in writing by both Parties, such approval not to be unreasonably withheld;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disclosure the minimum information of which is required by applicable Law (including the rules of a securities exchange), as reasonably advised by the disclosing Party’s counsel, may be made without the prior consent of the other Party, although the other Party will be given prompt notice of any such legally required disclosure and to the extent practicable will be provided an opportunity to comment on the proposed disclosure and the disclosing Party will consider in good faith any comments provided by the other Party on such proposed disclosure.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u w:val="single" w:color="auto"/>
          <w:color w:val="auto"/>
        </w:rPr>
        <w:t>Indemnification by GSK</w:t>
      </w:r>
      <w:r>
        <w:rPr>
          <w:rFonts w:ascii="Arial" w:cs="Arial" w:eastAsia="Arial" w:hAnsi="Arial"/>
          <w:sz w:val="16"/>
          <w:szCs w:val="16"/>
          <w:b w:val="1"/>
          <w:bCs w:val="1"/>
          <w:color w:val="auto"/>
        </w:rPr>
        <w:t>.</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GSK will defend, indemnify and hold harmless Fulcrum, its Affiliates and its and their respective directors, officers, employees and agents (each a “</w:t>
      </w:r>
      <w:r>
        <w:rPr>
          <w:rFonts w:ascii="Arial" w:cs="Arial" w:eastAsia="Arial" w:hAnsi="Arial"/>
          <w:sz w:val="18"/>
          <w:szCs w:val="18"/>
          <w:u w:val="single" w:color="auto"/>
          <w:color w:val="auto"/>
        </w:rPr>
        <w:t>Fulcrum Indemnitee</w:t>
      </w:r>
      <w:r>
        <w:rPr>
          <w:rFonts w:ascii="Arial" w:cs="Arial" w:eastAsia="Arial" w:hAnsi="Arial"/>
          <w:sz w:val="18"/>
          <w:szCs w:val="18"/>
          <w:color w:val="auto"/>
        </w:rPr>
        <w:t>”) from and against any and all Third Party Claims (including without limitation reasonable attorneys’ fees and court costs) that constitute, or arise out of or in connection with:</w:t>
      </w:r>
    </w:p>
    <w:p>
      <w:pPr>
        <w:spacing w:after="0" w:line="181" w:lineRule="exact"/>
        <w:rPr>
          <w:sz w:val="20"/>
          <w:szCs w:val="20"/>
          <w:color w:val="auto"/>
        </w:rPr>
      </w:pPr>
    </w:p>
    <w:p>
      <w:pPr>
        <w:ind w:left="1300" w:hanging="644"/>
        <w:spacing w:after="0"/>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any misrepresentation or breach of warranty made by GSK under </w:t>
      </w:r>
      <w:r>
        <w:rPr>
          <w:rFonts w:ascii="Arial" w:cs="Arial" w:eastAsia="Arial" w:hAnsi="Arial"/>
          <w:sz w:val="18"/>
          <w:szCs w:val="18"/>
          <w:u w:val="single" w:color="auto"/>
          <w:color w:val="auto"/>
        </w:rPr>
        <w:t>Sections 6.1 and 6.2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default by GSK or its Affiliates in the performance or observance of any of its covenants or agreements hereunder;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negligence or willful misconduct of any of GSK or its Affiliates in connection with GSK’s performance of this Agreement;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except, in each case ((a)-(c)) for those Third Party Claims for which Fulcrum, in whole or in part, has an obligation to indemnify GSK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hereof, as to which Third Party Claims each Party shall indemnify the other to the extent of their respective Liability for the Third Party Claim.</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94" w:name="page495"/>
    <w:bookmarkEnd w:id="494"/>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6"/>
          <w:szCs w:val="16"/>
          <w:b w:val="1"/>
          <w:bCs w:val="1"/>
          <w:u w:val="single" w:color="auto"/>
          <w:color w:val="auto"/>
        </w:rPr>
        <w:t>Indemnification by Fulcrum</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Fulcrum will defend, indemnify and hold harmless GSK, its Affiliates and its and their respective directors, officers, employees and agents (each a “</w:t>
      </w:r>
      <w:r>
        <w:rPr>
          <w:rFonts w:ascii="Arial" w:cs="Arial" w:eastAsia="Arial" w:hAnsi="Arial"/>
          <w:sz w:val="18"/>
          <w:szCs w:val="18"/>
          <w:u w:val="single" w:color="auto"/>
          <w:color w:val="auto"/>
        </w:rPr>
        <w:t>GSK Indemnitee</w:t>
      </w:r>
      <w:r>
        <w:rPr>
          <w:rFonts w:ascii="Arial" w:cs="Arial" w:eastAsia="Arial" w:hAnsi="Arial"/>
          <w:sz w:val="18"/>
          <w:szCs w:val="18"/>
          <w:color w:val="auto"/>
        </w:rPr>
        <w:t>”) from and against any and all Third Party Claims (including without limitation reasonable attorneys’ fees and court costs) that constitute, or arise out of or in connection with:</w:t>
      </w:r>
    </w:p>
    <w:p>
      <w:pPr>
        <w:spacing w:after="0" w:line="181" w:lineRule="exact"/>
        <w:rPr>
          <w:sz w:val="20"/>
          <w:szCs w:val="20"/>
          <w:color w:val="auto"/>
        </w:rPr>
      </w:pPr>
    </w:p>
    <w:p>
      <w:pPr>
        <w:ind w:left="1300" w:hanging="644"/>
        <w:spacing w:after="0"/>
        <w:tabs>
          <w:tab w:leader="none" w:pos="13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any misrepresentation or breach of warranty made by Fulcrum under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any default by Fulcrum, its Affiliates or any Sublicensees in the performance or observance of any of its covenants or agreements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10" w:lineRule="exact"/>
        <w:rPr>
          <w:rFonts w:ascii="Arial" w:cs="Arial" w:eastAsia="Arial" w:hAnsi="Arial"/>
          <w:sz w:val="17"/>
          <w:szCs w:val="17"/>
          <w:color w:val="auto"/>
        </w:rPr>
      </w:pPr>
    </w:p>
    <w:p>
      <w:pPr>
        <w:ind w:right="100" w:firstLine="656"/>
        <w:spacing w:after="0" w:line="264" w:lineRule="auto"/>
        <w:tabs>
          <w:tab w:leader="none" w:pos="130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Exploitation of the Compound or Licensed Products by Fulcrum, its Affiliates or Sublicensees, including all Third Party Claims involving death or bodily injury caused or allegedly caused as a result of the Exploitation of the Compound or Licensed Products by Fulcrum or its Affiliates or its Sublicensees inside the Territory;</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any actual or alleged infringement of any trademark, patent right or other intellectual property right, or misappropriation of any trade secret, of any Third Party as a result of the Exploitation of the Compound or Licensed Products by Fulcrum or its Affiliates or its Sublicensees inside the Territory; or</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the negligence or willful misconduct of any of Fulcrum, its Affiliates or Sublicensees in connection with Fulcrum’s performance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except, in each case ((a)-(e)) for those Third Party Claims for which GSK, in whole or in part, has an obligation to indemnify Fulcrum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hereof, as to which Third Party Claims each Party shall indemnify the other to the extent of their respective Liability for the Third Party Claim.</w:t>
      </w:r>
    </w:p>
    <w:p>
      <w:pPr>
        <w:spacing w:after="0" w:line="12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6"/>
          <w:szCs w:val="16"/>
          <w:b w:val="1"/>
          <w:bCs w:val="1"/>
          <w:u w:val="single" w:color="auto"/>
          <w:color w:val="auto"/>
        </w:rPr>
        <w:t>Procedure</w:t>
      </w:r>
      <w:r>
        <w:rPr>
          <w:rFonts w:ascii="Arial" w:cs="Arial" w:eastAsia="Arial" w:hAnsi="Arial"/>
          <w:sz w:val="16"/>
          <w:szCs w:val="16"/>
          <w:b w:val="1"/>
          <w:bCs w:val="1"/>
          <w:color w:val="auto"/>
        </w:rPr>
        <w:t>.</w:t>
      </w:r>
    </w:p>
    <w:p>
      <w:pPr>
        <w:spacing w:after="0" w:line="229" w:lineRule="exact"/>
        <w:rPr>
          <w:sz w:val="20"/>
          <w:szCs w:val="20"/>
          <w:color w:val="auto"/>
        </w:rPr>
      </w:pPr>
    </w:p>
    <w:p>
      <w:pPr>
        <w:ind w:right="60" w:firstLine="656"/>
        <w:spacing w:after="0" w:line="276" w:lineRule="auto"/>
        <w:tabs>
          <w:tab w:leader="none" w:pos="1294" w:val="left"/>
        </w:tabs>
        <w:numPr>
          <w:ilvl w:val="0"/>
          <w:numId w:val="370"/>
        </w:numPr>
        <w:rPr>
          <w:rFonts w:ascii="Arial" w:cs="Arial" w:eastAsia="Arial" w:hAnsi="Arial"/>
          <w:sz w:val="17"/>
          <w:szCs w:val="17"/>
          <w:color w:val="auto"/>
        </w:rPr>
      </w:pPr>
      <w:r>
        <w:rPr>
          <w:rFonts w:ascii="Arial" w:cs="Arial" w:eastAsia="Arial" w:hAnsi="Arial"/>
          <w:sz w:val="17"/>
          <w:szCs w:val="17"/>
          <w:color w:val="auto"/>
        </w:rPr>
        <w:t xml:space="preserve">A Fulcrum Indemnitee or a GSK Indemnitee seeking indemnification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give prompt written notice to the Party from whom indemnification is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of the commencement or assertion of any Third Party Claim for which indemnification may be sought (it being understood and agreed, however, that the failure by an Indemnified Party to give notice of a Third Party Claim as provided in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not relieve the Indemnifying Party of its indemnification obligation under this Agreement except and only to the extent that such Indemnifying Party is actually prejudiced as a result of such failure to give notice).</w:t>
      </w:r>
    </w:p>
    <w:p>
      <w:pPr>
        <w:spacing w:after="0" w:line="172" w:lineRule="exact"/>
        <w:rPr>
          <w:rFonts w:ascii="Arial" w:cs="Arial" w:eastAsia="Arial" w:hAnsi="Arial"/>
          <w:sz w:val="17"/>
          <w:szCs w:val="17"/>
          <w:color w:val="auto"/>
        </w:rPr>
      </w:pPr>
    </w:p>
    <w:p>
      <w:pPr>
        <w:ind w:right="120" w:firstLine="656"/>
        <w:spacing w:after="0" w:line="297" w:lineRule="auto"/>
        <w:tabs>
          <w:tab w:leader="none" w:pos="1304" w:val="left"/>
        </w:tabs>
        <w:numPr>
          <w:ilvl w:val="0"/>
          <w:numId w:val="370"/>
        </w:numPr>
        <w:rPr>
          <w:rFonts w:ascii="Arial" w:cs="Arial" w:eastAsia="Arial" w:hAnsi="Arial"/>
          <w:sz w:val="16"/>
          <w:szCs w:val="16"/>
          <w:color w:val="auto"/>
        </w:rPr>
      </w:pPr>
      <w:r>
        <w:rPr>
          <w:rFonts w:ascii="Arial" w:cs="Arial" w:eastAsia="Arial" w:hAnsi="Arial"/>
          <w:sz w:val="16"/>
          <w:szCs w:val="16"/>
          <w:color w:val="auto"/>
        </w:rPr>
        <w:t>Within [**] after delivery of such notification, the Indemnifying Party may, upon written notice thereof to the Indemnified Party, assume control of the defense of such Third Party Claim with counsel reasonably satisfactory to the Indemnified Party. If the Indemnifying Party does not assume control of such defense, the Indemnified Party shall control such defense and, without limiting the Indemnifying Party’s indemnification obligations, the Indemnifying Party shall reimburse the Indemnified Party for all costs and expenses, including reasonable attorneys’ fees and disbursements, incurred by the Indemnified Party in defending itself within [**] after receipt of any invoice therefor from the Indemnified Party. The Party not controlling such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defense may participate therein at its own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Indemnifying Party assumes control of such defense and the Indemnified Party in good faith concludes, based on written advice from outside counsel, that the Indemnifying Party and the Indemnified Party have conflicting interests with respect to such Third Party Claim sufficiently adverse to make unadvisable the representation by the same counsel of both Parties under Law, ethical rules or equitable principles, the Indemnifying Party shall be responsible for the reasonable fees and expenses of a single counsel to the Indemnified Party in connection therewith. The Party controlling such defense shall keep the other Party advised of the status of such Third Party Claim and the defense thereof and shall consider recommendations made by the other Party with respect thereto.</w:t>
      </w:r>
    </w:p>
    <w:p>
      <w:pPr>
        <w:spacing w:after="0" w:line="178" w:lineRule="exact"/>
        <w:rPr>
          <w:sz w:val="20"/>
          <w:szCs w:val="20"/>
          <w:color w:val="auto"/>
        </w:rPr>
      </w:pPr>
    </w:p>
    <w:p>
      <w:pPr>
        <w:ind w:right="80" w:firstLine="656"/>
        <w:spacing w:after="0" w:line="291" w:lineRule="auto"/>
        <w:tabs>
          <w:tab w:leader="none" w:pos="1307"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xml:space="preserve">The Indemnified Party shall not agree to any settlement of such Third Party Claim without the prior written consent of the Indemnifying Party, which consent shall not be unreasonably withheld, delayed or conditioned;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if the Indemnifying Party does not assume the defense of such Third Party Claim in accordance with </w:t>
      </w:r>
      <w:r>
        <w:rPr>
          <w:rFonts w:ascii="Arial" w:cs="Arial" w:eastAsia="Arial" w:hAnsi="Arial"/>
          <w:sz w:val="16"/>
          <w:szCs w:val="16"/>
          <w:u w:val="single" w:color="auto"/>
          <w:color w:val="auto"/>
        </w:rPr>
        <w:t>Section 8.3(b)</w:t>
      </w:r>
      <w:r>
        <w:rPr>
          <w:rFonts w:ascii="Arial" w:cs="Arial" w:eastAsia="Arial" w:hAnsi="Arial"/>
          <w:sz w:val="16"/>
          <w:szCs w:val="16"/>
          <w:color w:val="auto"/>
        </w:rPr>
        <w:t>, the Indemnified Party may thereafter agree to a settlement of such Third Party Claim that does not impose obligations on the Indemnifying Party that are more burdensome than the Indemnifying Party’s indemnification obligations under this Agreement. The Indemnifying Party shall not agree to any settlement of such Third Party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 without the prior written consent of the Indemnified Party.</w:t>
      </w:r>
    </w:p>
    <w:p>
      <w:pPr>
        <w:spacing w:after="0" w:line="167" w:lineRule="exact"/>
        <w:rPr>
          <w:rFonts w:ascii="Arial" w:cs="Arial" w:eastAsia="Arial" w:hAnsi="Arial"/>
          <w:sz w:val="16"/>
          <w:szCs w:val="16"/>
          <w:color w:val="auto"/>
        </w:rPr>
      </w:pPr>
    </w:p>
    <w:p>
      <w:pPr>
        <w:ind w:right="120" w:firstLine="656"/>
        <w:spacing w:after="0" w:line="293" w:lineRule="auto"/>
        <w:tabs>
          <w:tab w:leader="none" w:pos="1304"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xml:space="preserve">Any indemnification hereunder for a Third Party Claim shall be made net of any insurance proceeds actually recovered by the Indemnified Party from unaffiliated Third Parties for such Third Party Claim to the extent that such insurance proceeds actually reduce the amount of such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following the indemnification payment to the Indemnified Party of any amount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such Indemnified Party recovers any such insurance proceeds in respect of the Third Party Claim for which such indemnification payment was made, the Indemnified Party shall promptly pay the Indemnifying Party an amount equal to the excess of the indemnification payment received over the amount of the indemnification payment that would have been due if the insurance proceeds had been received, realized or recovered before the indemnification payment was made.</w:t>
      </w:r>
    </w:p>
    <w:p>
      <w:pPr>
        <w:spacing w:after="0" w:line="164" w:lineRule="exact"/>
        <w:rPr>
          <w:rFonts w:ascii="Arial" w:cs="Arial" w:eastAsia="Arial" w:hAnsi="Arial"/>
          <w:sz w:val="16"/>
          <w:szCs w:val="16"/>
          <w:color w:val="auto"/>
        </w:rPr>
      </w:pPr>
    </w:p>
    <w:p>
      <w:pPr>
        <w:ind w:firstLine="656"/>
        <w:spacing w:after="0" w:line="277" w:lineRule="auto"/>
        <w:tabs>
          <w:tab w:leader="none" w:pos="130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The Parties agree and acknowledge that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represent any Indemnified Party’s exclusive recourse with respect to any Losses for which indemnification is provided to such Indemnified Party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66"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7"/>
          <w:szCs w:val="17"/>
          <w:b w:val="1"/>
          <w:bCs w:val="1"/>
          <w:u w:val="single" w:color="auto"/>
          <w:color w:val="auto"/>
        </w:rPr>
        <w:t>Limitation of Liability</w:t>
      </w:r>
      <w:r>
        <w:rPr>
          <w:rFonts w:ascii="Arial" w:cs="Arial" w:eastAsia="Arial" w:hAnsi="Arial"/>
          <w:sz w:val="17"/>
          <w:szCs w:val="17"/>
          <w:b w:val="1"/>
          <w:bCs w:val="1"/>
          <w:color w:val="auto"/>
        </w:rPr>
        <w: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u w:val="single" w:color="auto"/>
          <w:color w:val="auto"/>
        </w:rPr>
        <w:t>No Consequential Damages</w:t>
      </w:r>
      <w:r>
        <w:rPr>
          <w:rFonts w:ascii="Arial" w:cs="Arial" w:eastAsia="Arial" w:hAnsi="Arial"/>
          <w:sz w:val="18"/>
          <w:szCs w:val="18"/>
          <w:color w:val="auto"/>
        </w:rPr>
        <w:t xml:space="preserve">. NEITHER PARTY NOR ANY OF THEIR RESPECTIVE AFFILIATES SHALL BE LIABLE TO THE OTHER PARTY OR ITS AFFILIATES FOR SPECIAL, INDIRECT, INCIDENTAL, EXEMPLARY, CONSEQUENTIAL DAMAGES OR LOSS OF PROFITS OR OPPORTUNITIES OR DIMINUTION OF GOODWILL ARISING OUT OF THIS AGREEMENT BASED ON CONTRACT, TORT OR ANY OTHER LEGAL THEORY;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0" w:gutter="0" w:footer="0" w:header="0"/>
        </w:sectPr>
      </w:pPr>
    </w:p>
    <w:bookmarkStart w:id="495" w:name="page496"/>
    <w:bookmarkEnd w:id="4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6" w:name="page497"/>
    <w:bookmarkEnd w:id="496"/>
    <w:p>
      <w:pPr>
        <w:ind w:right="80"/>
        <w:spacing w:after="0" w:line="308" w:lineRule="auto"/>
        <w:rPr>
          <w:sz w:val="20"/>
          <w:szCs w:val="20"/>
          <w:color w:val="auto"/>
        </w:rPr>
      </w:pPr>
      <w:r>
        <w:rPr>
          <w:rFonts w:ascii="Arial" w:cs="Arial" w:eastAsia="Arial" w:hAnsi="Arial"/>
          <w:sz w:val="17"/>
          <w:szCs w:val="17"/>
          <w:color w:val="auto"/>
        </w:rPr>
        <w:t>INTENDED TO LIMIT OR RESTRICT THE INDEMNIFICATION RIGHTS OR OBLIGATIONS OF EITHER PARTY UNDER THIS AGREEMENT WITH RESPECT TO THIRD PARTY CLAIMS OR THE WILLFUL MISCONDUCT, INTENTIONAL BREACH OR FRAUD OF THE OTHER PARTY.</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TERM</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commence on the Effective Date and, unless earlier terminated as provided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shall continue in full force and effect, on a county-by-country and Licensed Product-by-Licensed Product basis until the expiration of the Royalty Term in each country in the Territory, at which time (unless earlier terminated) this Agreement shall expire with respect to such Licensed Product in such country and Fulcrum shall have a fully paid-up, royalty-free and perpetual license under the GSK Intellectual Property with respect to such Licensed Product in such country. This Agreement shall terminate in its entirety on the date this Agreement has expired with respect to all Licensed Products in all countries in the Territory.</w:t>
      </w:r>
    </w:p>
    <w:p>
      <w:pPr>
        <w:spacing w:after="0" w:line="189"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Either Party (the “</w:t>
      </w:r>
      <w:r>
        <w:rPr>
          <w:rFonts w:ascii="Arial" w:cs="Arial" w:eastAsia="Arial" w:hAnsi="Arial"/>
          <w:sz w:val="18"/>
          <w:szCs w:val="18"/>
          <w:u w:val="single" w:color="auto"/>
          <w:color w:val="auto"/>
        </w:rPr>
        <w:t>Non-Breaching Party</w:t>
      </w:r>
      <w:r>
        <w:rPr>
          <w:rFonts w:ascii="Arial" w:cs="Arial" w:eastAsia="Arial" w:hAnsi="Arial"/>
          <w:sz w:val="18"/>
          <w:szCs w:val="18"/>
          <w:color w:val="auto"/>
        </w:rPr>
        <w:t>”) may, without prejudice to any other remedies available to it under Law or in equity, terminate this Agreement if the other Party (the “</w:t>
      </w:r>
      <w:r>
        <w:rPr>
          <w:rFonts w:ascii="Arial" w:cs="Arial" w:eastAsia="Arial" w:hAnsi="Arial"/>
          <w:sz w:val="18"/>
          <w:szCs w:val="18"/>
          <w:u w:val="single" w:color="auto"/>
          <w:color w:val="auto"/>
        </w:rPr>
        <w:t>Breaching Party</w:t>
      </w:r>
      <w:r>
        <w:rPr>
          <w:rFonts w:ascii="Arial" w:cs="Arial" w:eastAsia="Arial" w:hAnsi="Arial"/>
          <w:sz w:val="18"/>
          <w:szCs w:val="18"/>
          <w:color w:val="auto"/>
        </w:rPr>
        <w:t>”) shall have materially breached in the performance of its obligations hereunder, and such breach shall have continued for (i) [**] in the case of a breach of any obligation other than a payment obligation or (ii) [**] in the case of a breach of any payment obligation hereunder (as applicable, the “</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after written notice thereof was provided to the Breaching Party by the Non-Breaching Party, such notice describing the alleged breach. Any such termination of this Agreement under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become effective [**] after written termination notice from the Non-Breaching Party following expiration of the Cure Period, unless the Breaching Party has cured such breach prior to the expiration of the applicable Cure Period.</w:t>
      </w:r>
    </w:p>
    <w:p>
      <w:pPr>
        <w:spacing w:after="0" w:line="185"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b w:val="1"/>
          <w:bCs w:val="1"/>
          <w:u w:val="single" w:color="auto"/>
          <w:color w:val="auto"/>
        </w:rPr>
        <w:t>Effect of Termination; Accrued Rights and Obligations</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Termination of this Agreement for any reason shall not release either Party from any liability that, at the time of such termination, has already accrued or that is attributable to a period prior to such termination (including payment obligations accrued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prior to the effective date of termination) nor preclude either Party from pursuing any right or remedy it may have hereunder or at Law or in equity with respect to any breach of this Agreement. It is understood and agreed that monetary damages may not be a sufficient remedy for any breach of this Agreement and that the non-breaching Party may be entitled to seek injunctive relief as a remedy for any such breach.</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497" w:name="page498"/>
    <w:bookmarkEnd w:id="497"/>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9.4.</w:t>
      </w:r>
      <w:r>
        <w:rPr>
          <w:sz w:val="20"/>
          <w:szCs w:val="20"/>
          <w:color w:val="auto"/>
        </w:rPr>
        <w:tab/>
      </w:r>
      <w:r>
        <w:rPr>
          <w:rFonts w:ascii="Arial" w:cs="Arial" w:eastAsia="Arial" w:hAnsi="Arial"/>
          <w:sz w:val="16"/>
          <w:szCs w:val="16"/>
          <w:b w:val="1"/>
          <w:bCs w:val="1"/>
          <w:u w:val="single" w:color="auto"/>
          <w:color w:val="auto"/>
        </w:rPr>
        <w:t>Survival</w:t>
      </w:r>
      <w:r>
        <w:rPr>
          <w:rFonts w:ascii="Arial" w:cs="Arial" w:eastAsia="Arial" w:hAnsi="Arial"/>
          <w:sz w:val="16"/>
          <w:szCs w:val="16"/>
          <w:b w:val="1"/>
          <w:bCs w:val="1"/>
          <w:color w:val="auto"/>
        </w:rPr>
        <w: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The rights and obligations set forth in this Agreement shall extend beyond the Term or termination of this Agreement only to the extent expressly provided for in this Agreement or to the extent required to give effect to a termination of this Agreement or the consequences of a termination of this Agreement as expressly provided for in this Agreement. Without limiting the generality of the foregoing, it is agreed that the provisions of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Article VIII,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(with respect to the licenses granted therein),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survive expiration or termination of this Agreement for any reason.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All notices, communications and deliveries under this Agreement will be made in writing signed by or on behalf of the Party making the same, shall specify the Section under this Agreement pursuant to which it is given or being made and shall be deemed given (a) when delivered personally, (b) when transmitted by facsimile or other electronic transmission (receipt confirmed), (c) on the close of business, local time of the recipient, on the third (3</w:t>
      </w:r>
      <w:r>
        <w:rPr>
          <w:rFonts w:ascii="Arial" w:cs="Arial" w:eastAsia="Arial" w:hAnsi="Arial"/>
          <w:sz w:val="22"/>
          <w:szCs w:val="22"/>
          <w:color w:val="auto"/>
          <w:vertAlign w:val="superscript"/>
        </w:rPr>
        <w:t>rd</w:t>
      </w:r>
      <w:r>
        <w:rPr>
          <w:rFonts w:ascii="Arial" w:cs="Arial" w:eastAsia="Arial" w:hAnsi="Arial"/>
          <w:sz w:val="17"/>
          <w:szCs w:val="17"/>
          <w:color w:val="auto"/>
        </w:rPr>
        <w:t>) Business Day after the day it is so placed in the mail or, if earlier, the time of actual receipt following mailing by registered or certified mail (return receipt requested) or (d) on the first Business Day following deposit with an overnight delivery service of national reputation, in each case to the applicable addressee at the addresses or facsimile number set forth below. Any notice that is addressed and mailed in the manner herein provided shall be conclusively presumed to have been duly given to the Party to which it is addressed.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If to GSK: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GlaxoSmithKline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1250 S. Collegeville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Collegeville, PA 19426-0989, United States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Worldwide Business Development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 &amp; Associate General Counsel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Business Development &amp; Corporate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GlaxoSmithKline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1250 S. Collegeville Road/ UP4110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Collegeville, PA 19426-0989,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Fulcrum: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Fulcrum Therapeutics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 Landsdowne Street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498" w:name="page499"/>
    <w:bookmarkEnd w:id="498"/>
    <w:p>
      <w:pPr>
        <w:ind w:left="660"/>
        <w:spacing w:after="0"/>
        <w:rPr>
          <w:sz w:val="20"/>
          <w:szCs w:val="20"/>
          <w:color w:val="auto"/>
        </w:rPr>
      </w:pPr>
      <w:r>
        <w:rPr>
          <w:rFonts w:ascii="Arial" w:cs="Arial" w:eastAsia="Arial" w:hAnsi="Arial"/>
          <w:sz w:val="18"/>
          <w:szCs w:val="18"/>
          <w:color w:val="auto"/>
        </w:rPr>
        <w:t>Cambridge, MA 02139</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Bryan Stuart, Chief Operating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WilmerHale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Steven D. Barrett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(617) 526-6000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(617) 526-5000</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6"/>
          <w:szCs w:val="16"/>
          <w:b w:val="1"/>
          <w:bCs w:val="1"/>
          <w:u w:val="single" w:color="auto"/>
          <w:color w:val="auto"/>
        </w:rPr>
        <w:t>Schedules and Exhibits; Entire Agreement; Amendments</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The Schedules and Exhibits to this Agreement are hereby incorporated into this Agreement and are hereby made a part of this Agreement as if set out in full in this Agreement. </w:t>
      </w:r>
      <w:r>
        <w:rPr>
          <w:rFonts w:ascii="Arial" w:cs="Arial" w:eastAsia="Arial" w:hAnsi="Arial"/>
          <w:sz w:val="17"/>
          <w:szCs w:val="17"/>
          <w:color w:val="auto"/>
        </w:rPr>
        <w:t>This Agreement, together with the Schedules and Exhibits hereto, set forth all the covenants, promises, agreements, warranties,</w:t>
      </w:r>
      <w:r>
        <w:rPr>
          <w:rFonts w:ascii="Arial" w:cs="Arial" w:eastAsia="Arial" w:hAnsi="Arial"/>
          <w:sz w:val="18"/>
          <w:szCs w:val="18"/>
          <w:color w:val="auto"/>
        </w:rPr>
        <w:t xml:space="preserve"> </w:t>
      </w:r>
      <w:r>
        <w:rPr>
          <w:rFonts w:ascii="Arial" w:cs="Arial" w:eastAsia="Arial" w:hAnsi="Arial"/>
          <w:sz w:val="17"/>
          <w:szCs w:val="17"/>
          <w:color w:val="auto"/>
        </w:rPr>
        <w:t xml:space="preserve">representations, conditions and understandings between the Parties hereto and supersede and terminate all prior agreements and understanding between the Parties. There are no covenants, promises, agreements, warranties, representations, conditions or understandings, either oral or written, between the Parties other than as set forth herein and therein. </w:t>
      </w:r>
      <w:r>
        <w:rPr>
          <w:rFonts w:ascii="Arial" w:cs="Arial" w:eastAsia="Arial" w:hAnsi="Arial"/>
          <w:sz w:val="18"/>
          <w:szCs w:val="18"/>
          <w:color w:val="auto"/>
        </w:rPr>
        <w:t>This Agreement may not be amended, modified or supplemented except by written agreement of the Parties expressly</w:t>
      </w:r>
      <w:r>
        <w:rPr>
          <w:rFonts w:ascii="Arial" w:cs="Arial" w:eastAsia="Arial" w:hAnsi="Arial"/>
          <w:sz w:val="17"/>
          <w:szCs w:val="17"/>
          <w:color w:val="auto"/>
        </w:rPr>
        <w:t xml:space="preserve"> </w:t>
      </w:r>
      <w:r>
        <w:rPr>
          <w:rFonts w:ascii="Arial" w:cs="Arial" w:eastAsia="Arial" w:hAnsi="Arial"/>
          <w:sz w:val="18"/>
          <w:szCs w:val="18"/>
          <w:color w:val="auto"/>
        </w:rPr>
        <w:t>referencing this Agreement.</w:t>
      </w:r>
    </w:p>
    <w:p>
      <w:pPr>
        <w:spacing w:after="0" w:line="186"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5"/>
          <w:szCs w:val="15"/>
          <w:b w:val="1"/>
          <w:bCs w:val="1"/>
          <w:u w:val="single" w:color="auto"/>
          <w:color w:val="auto"/>
        </w:rPr>
        <w:t>Assignment</w:t>
      </w:r>
      <w:r>
        <w:rPr>
          <w:rFonts w:ascii="Arial" w:cs="Arial" w:eastAsia="Arial" w:hAnsi="Arial"/>
          <w:sz w:val="15"/>
          <w:szCs w:val="15"/>
          <w:b w:val="1"/>
          <w:bCs w:val="1"/>
          <w:color w:val="auto"/>
        </w:rPr>
        <w: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Neither this Agreement nor any right, interest or obligation hereunder may be assigned, pledged or otherwise transferred by either Party, whether by operation of law or otherwise, without the prior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that either Party may assign its rights hereunder to (a) any of its respective Affiliates or (b) an acquirer of all or substantially all of the business or assets of such Party relating to the subject matter of this Agreement, whether by merger, sale of assets or otherwise, provided, further that in each case of (a) and (b) with respect to either Party, such Person to which such Party assigns this Agreement expressly agrees in writing to assume and be bound by all obligations of such Party under this Agreement and a copy of such written agreement by such assignee shall be provided to the other Party within [**] after such assignment.</w:t>
      </w:r>
    </w:p>
    <w:p>
      <w:pPr>
        <w:spacing w:after="0" w:line="174"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u w:val="single" w:color="auto"/>
          <w:color w:val="auto"/>
        </w:rPr>
        <w:t>Controlling Law; Dispute Resolution</w:t>
      </w:r>
      <w:r>
        <w:rPr>
          <w:rFonts w:ascii="Arial" w:cs="Arial" w:eastAsia="Arial" w:hAnsi="Arial"/>
          <w:sz w:val="16"/>
          <w:szCs w:val="16"/>
          <w:b w:val="1"/>
          <w:bCs w:val="1"/>
          <w:color w:val="auto"/>
        </w:rPr>
        <w:t>.</w:t>
      </w:r>
    </w:p>
    <w:p>
      <w:pPr>
        <w:spacing w:after="0" w:line="229" w:lineRule="exact"/>
        <w:rPr>
          <w:sz w:val="20"/>
          <w:szCs w:val="20"/>
          <w:color w:val="auto"/>
        </w:rPr>
      </w:pPr>
    </w:p>
    <w:p>
      <w:pPr>
        <w:ind w:right="280" w:firstLine="656"/>
        <w:spacing w:after="0" w:line="264" w:lineRule="auto"/>
        <w:tabs>
          <w:tab w:leader="none" w:pos="1294"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Agreement shall be governed by and construed and enforced in accordance with the internal laws of the State of Delaware without reference to its choice of law rules; provided, that those matters pertaining to the validity or enforceability of patent rights shall be interpreted and enforced in accordance with the laws of the territory in which such patent rights exist.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99" w:name="page500"/>
    <w:bookmarkEnd w:id="499"/>
    <w:p>
      <w:pPr>
        <w:ind w:firstLine="656"/>
        <w:spacing w:after="0" w:line="288" w:lineRule="auto"/>
        <w:tabs>
          <w:tab w:leader="none" w:pos="1304" w:val="left"/>
        </w:tabs>
        <w:numPr>
          <w:ilvl w:val="1"/>
          <w:numId w:val="373"/>
        </w:numPr>
        <w:rPr>
          <w:rFonts w:ascii="Arial" w:cs="Arial" w:eastAsia="Arial" w:hAnsi="Arial"/>
          <w:sz w:val="16"/>
          <w:szCs w:val="16"/>
          <w:color w:val="auto"/>
        </w:rPr>
      </w:pPr>
      <w:r>
        <w:rPr>
          <w:rFonts w:ascii="Arial" w:cs="Arial" w:eastAsia="Arial" w:hAnsi="Arial"/>
          <w:sz w:val="16"/>
          <w:szCs w:val="16"/>
          <w:u w:val="single" w:color="auto"/>
          <w:color w:val="auto"/>
        </w:rPr>
        <w:t>Negotiation</w:t>
      </w:r>
      <w:r>
        <w:rPr>
          <w:rFonts w:ascii="Arial" w:cs="Arial" w:eastAsia="Arial" w:hAnsi="Arial"/>
          <w:sz w:val="16"/>
          <w:szCs w:val="16"/>
          <w:color w:val="auto"/>
        </w:rPr>
        <w:t>. The Parties shall endeavor to resolve in good faith any disputes or conflict arising from or relating to the subject matter of this Agreement, failing which either Party may submit such dispute for resolution to the members of their senior management as each Party may designate to handle such disputes from time to time (“</w:t>
      </w:r>
      <w:r>
        <w:rPr>
          <w:rFonts w:ascii="Arial" w:cs="Arial" w:eastAsia="Arial" w:hAnsi="Arial"/>
          <w:sz w:val="16"/>
          <w:szCs w:val="16"/>
          <w:u w:val="single" w:color="auto"/>
          <w:color w:val="auto"/>
        </w:rPr>
        <w:t>Senior Management Designees</w:t>
      </w:r>
      <w:r>
        <w:rPr>
          <w:rFonts w:ascii="Arial" w:cs="Arial" w:eastAsia="Arial" w:hAnsi="Arial"/>
          <w:sz w:val="16"/>
          <w:szCs w:val="16"/>
          <w:color w:val="auto"/>
        </w:rPr>
        <w:t>”). If such Senior Management Designees are unable to resolve such dispute within</w:t>
      </w:r>
    </w:p>
    <w:p>
      <w:pPr>
        <w:ind w:left="360" w:hanging="352"/>
        <w:spacing w:after="0"/>
        <w:tabs>
          <w:tab w:leader="none" w:pos="3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after such conflict is submitted to them for resolution, either Party may refer the dispute for mediation as set forth in </w:t>
      </w:r>
      <w:r>
        <w:rPr>
          <w:rFonts w:ascii="Arial" w:cs="Arial" w:eastAsia="Arial" w:hAnsi="Arial"/>
          <w:sz w:val="18"/>
          <w:szCs w:val="18"/>
          <w:u w:val="single" w:color="auto"/>
          <w:color w:val="auto"/>
        </w:rPr>
        <w:t>Section 10.4(c)</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100" w:firstLine="656"/>
        <w:spacing w:after="0" w:line="293" w:lineRule="auto"/>
        <w:tabs>
          <w:tab w:leader="none" w:pos="1307" w:val="left"/>
        </w:tabs>
        <w:numPr>
          <w:ilvl w:val="1"/>
          <w:numId w:val="374"/>
        </w:numPr>
        <w:rPr>
          <w:rFonts w:ascii="Arial" w:cs="Arial" w:eastAsia="Arial" w:hAnsi="Arial"/>
          <w:sz w:val="16"/>
          <w:szCs w:val="16"/>
          <w:color w:val="auto"/>
        </w:rPr>
      </w:pPr>
      <w:r>
        <w:rPr>
          <w:rFonts w:ascii="Arial" w:cs="Arial" w:eastAsia="Arial" w:hAnsi="Arial"/>
          <w:sz w:val="16"/>
          <w:szCs w:val="16"/>
          <w:u w:val="single" w:color="auto"/>
          <w:color w:val="auto"/>
        </w:rPr>
        <w:t>Mediation</w:t>
      </w:r>
      <w:r>
        <w:rPr>
          <w:rFonts w:ascii="Arial" w:cs="Arial" w:eastAsia="Arial" w:hAnsi="Arial"/>
          <w:sz w:val="16"/>
          <w:szCs w:val="16"/>
          <w:color w:val="auto"/>
        </w:rPr>
        <w:t xml:space="preserve">. If the Parties are unable to resolve a dispute arising out of or relating to this Agreement through the negotiation procedures set forth in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then at the end of such [**] period, the Parties agree to submit such dispute for confidential mediation under the CPR Mediation Procedure then in effect at the start of mediation with the International Institute for Conflict Prevention &amp; Resolution (www.cpradr.org). Unless otherwise agreed, the Parties shall select a mediator from the CPR Panels of Distinguished Neutrals. If the Parties cannot agree, they shall defer to the CPR to select a mediator. The cost of the mediator shall be borne equally by the Parties. Any dispute not resolved within [**] (or within such other time period as may be agreed to by the Parties in writing) after appointment of a mediator shall be finally resolved by arbitration pursuant to </w:t>
      </w:r>
      <w:r>
        <w:rPr>
          <w:rFonts w:ascii="Arial" w:cs="Arial" w:eastAsia="Arial" w:hAnsi="Arial"/>
          <w:sz w:val="16"/>
          <w:szCs w:val="16"/>
          <w:u w:val="single" w:color="auto"/>
          <w:color w:val="auto"/>
        </w:rPr>
        <w:t>Section 10.4(d)</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0" w:firstLine="656"/>
        <w:spacing w:after="0" w:line="271" w:lineRule="auto"/>
        <w:tabs>
          <w:tab w:leader="none" w:pos="1304"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If the Parties are unable to resolve a dispute arising out of or relating to this Agreement through the negotiation procedures set forth in </w:t>
      </w:r>
      <w:r>
        <w:rPr>
          <w:rFonts w:ascii="Arial" w:cs="Arial" w:eastAsia="Arial" w:hAnsi="Arial"/>
          <w:sz w:val="17"/>
          <w:szCs w:val="17"/>
          <w:u w:val="single" w:color="auto"/>
          <w:color w:val="auto"/>
        </w:rPr>
        <w:t>Section 10.4(b)</w:t>
      </w:r>
      <w:r>
        <w:rPr>
          <w:rFonts w:ascii="Arial" w:cs="Arial" w:eastAsia="Arial" w:hAnsi="Arial"/>
          <w:sz w:val="17"/>
          <w:szCs w:val="17"/>
          <w:color w:val="auto"/>
        </w:rPr>
        <w:t xml:space="preserve"> and the mediation procedures set forth in </w:t>
      </w:r>
      <w:r>
        <w:rPr>
          <w:rFonts w:ascii="Arial" w:cs="Arial" w:eastAsia="Arial" w:hAnsi="Arial"/>
          <w:sz w:val="17"/>
          <w:szCs w:val="17"/>
          <w:u w:val="single" w:color="auto"/>
          <w:color w:val="auto"/>
        </w:rPr>
        <w:t>Section 10.4(c)</w:t>
      </w:r>
      <w:r>
        <w:rPr>
          <w:rFonts w:ascii="Arial" w:cs="Arial" w:eastAsia="Arial" w:hAnsi="Arial"/>
          <w:sz w:val="17"/>
          <w:szCs w:val="17"/>
          <w:color w:val="auto"/>
        </w:rPr>
        <w:t xml:space="preserve"> within the timeframes set forth in such Sections, the Parties agree that they shall submit such dispute for final settlement via binding arbitration. The arbitration shall be conducted under the Commercial Arbitration Rules of the American Arbitration Association in effect at the time of the arbitration, except as they may be modified herein or by mutual agreement of the Parties, but need not be under the auspices of the American Arbitration Association, and heard before a single arbitrator as selected in accordance with the Commercial Arbitration Rules. Such arbitration shall be held in Wilmington, Delaware and shall be conducted in English</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otherwise determined by the arbitrator, each Party shall be responsible for its own expenses in connection therewith. The arbitration award shall be final and binding upon the Parties, and judgement on the award may be entered in any court having jurisdiction thereof.</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1"/>
          <w:numId w:val="374"/>
        </w:numPr>
        <w:rPr>
          <w:rFonts w:ascii="Arial" w:cs="Arial" w:eastAsia="Arial" w:hAnsi="Arial"/>
          <w:sz w:val="17"/>
          <w:szCs w:val="17"/>
          <w:color w:val="auto"/>
        </w:rPr>
      </w:pPr>
      <w:r>
        <w:rPr>
          <w:rFonts w:ascii="Arial" w:cs="Arial" w:eastAsia="Arial" w:hAnsi="Arial"/>
          <w:sz w:val="17"/>
          <w:szCs w:val="17"/>
          <w:color w:val="auto"/>
        </w:rPr>
        <w:t>For the avoidance of doubt, from the date any such dispute is referred to the Senior Management Designees in accordance with</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until such time as the dispute has become finally settled or resolved, any cure periods, if applicable, shall be suspended and no termination of this Agreement by either Party as provided in this Agreement shall become effective.</w:t>
      </w:r>
    </w:p>
    <w:p>
      <w:pPr>
        <w:spacing w:after="0" w:line="184" w:lineRule="exact"/>
        <w:rPr>
          <w:sz w:val="20"/>
          <w:szCs w:val="20"/>
          <w:color w:val="auto"/>
        </w:rPr>
      </w:pPr>
    </w:p>
    <w:p>
      <w:pPr>
        <w:ind w:right="180" w:firstLine="656"/>
        <w:spacing w:after="0" w:line="264" w:lineRule="auto"/>
        <w:tabs>
          <w:tab w:leader="none" w:pos="130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As between the Parties, notwithstanding anything herein to the contrary, any dispute, controversy or claim relating to the scope, validity, enforceability or infringement of any GSK Patent Rights shall not be subject to arbitration, but shall be submitted to a court of competent jurisdiction in the jurisdiction in which such Patent rights were granted or arose.</w:t>
      </w:r>
    </w:p>
    <w:p>
      <w:pPr>
        <w:spacing w:after="0" w:line="181" w:lineRule="exact"/>
        <w:rPr>
          <w:rFonts w:ascii="Arial" w:cs="Arial" w:eastAsia="Arial" w:hAnsi="Arial"/>
          <w:sz w:val="18"/>
          <w:szCs w:val="18"/>
          <w:color w:val="auto"/>
        </w:rPr>
      </w:pPr>
    </w:p>
    <w:p>
      <w:pPr>
        <w:ind w:right="660" w:firstLine="656"/>
        <w:spacing w:after="0" w:line="277" w:lineRule="auto"/>
        <w:tabs>
          <w:tab w:leader="none" w:pos="131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Notwithstanding the Parties agreement to arbitrate, the Parties hereby agree that a Party may apply to any court of law or equity of competent jurisdiction for specific performance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color w:val="auto"/>
        </w:rPr>
        <w:t xml:space="preserve">or injunctive relief to enforce or prevent any violation of the provisions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of this Agreement.</w:t>
      </w:r>
    </w:p>
    <w:p>
      <w:pPr>
        <w:spacing w:after="0" w:line="22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to the extent of such prohibition or unenforceability without invalidating the remaining provisions of this Agreement, and any such prohibition or unenforceability in any jurisdiction shall not invalidate or render unenforceable such provision in any other jurisdiction. To the extent permitted by Law, the parties waive any provision of Law which renders any such provision prohibited or unenforceable in any respect.</w:t>
      </w:r>
    </w:p>
    <w:p>
      <w:pPr>
        <w:spacing w:after="0" w:line="18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Agreement may be executed in two or more counterparts (delivery of which may be by facsimile, or via email as a portable document format (.pdf)), each of which will be deemed an original, and it will not be necessary in making proof of this Agreement or the terms of this Agreement to produce or account for more than one of such counterparts.</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6"/>
          <w:szCs w:val="16"/>
          <w:b w:val="1"/>
          <w:bCs w:val="1"/>
          <w:u w:val="single" w:color="auto"/>
          <w:color w:val="auto"/>
        </w:rPr>
        <w:t>No Third Party Beneficiaries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Except for indemnification obligations hereunder to any Indemnified Party, nothing expressed or implied in this Agreement is intended, or shall be construed, to confer upon or give any Person other than the Parties, and their successors or permitted assigns, any rights, remedies, obligations or liabilities under or by reason of this Agreement, or result in such Person being deemed a third party beneficiary of this Agreement.</w:t>
      </w:r>
    </w:p>
    <w:p>
      <w:pPr>
        <w:spacing w:after="0" w:line="162"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10.8.</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Following the Effective Date, each of the Parties shall deliver to the other such further information and documents and shall execute and deliver to the others such further instruments and agreements as the other Party shall reasonably request to consummate or confirm the transactions provided for in this Agreement, to accomplish the purpose of this Agreement or to assure to such other Party the benefits of this Agreement.</w:t>
      </w:r>
    </w:p>
    <w:p>
      <w:pPr>
        <w:spacing w:after="0" w:line="162"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10.9.</w:t>
      </w:r>
      <w:r>
        <w:rPr>
          <w:sz w:val="20"/>
          <w:szCs w:val="20"/>
          <w:color w:val="auto"/>
        </w:rPr>
        <w:tab/>
      </w:r>
      <w:r>
        <w:rPr>
          <w:rFonts w:ascii="Arial" w:cs="Arial" w:eastAsia="Arial" w:hAnsi="Arial"/>
          <w:sz w:val="15"/>
          <w:szCs w:val="15"/>
          <w:b w:val="1"/>
          <w:bCs w:val="1"/>
          <w:u w:val="single" w:color="auto"/>
          <w:color w:val="auto"/>
        </w:rPr>
        <w:t>Transaction Costs</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Each Party shall bear its own expenses incident to the preparation, negotiation, execution and delivery of this Agreement and the performance of its obligations hereunder.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duly executed, as of the date first above written.</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GLAXOSMITHKLINE INTELLECTUAL PROPERTY (NO. 2)</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LIMITED</w:t>
      </w:r>
    </w:p>
    <w:p>
      <w:pPr>
        <w:spacing w:after="0" w:line="200" w:lineRule="exact"/>
        <w:rPr>
          <w:sz w:val="20"/>
          <w:szCs w:val="20"/>
          <w:color w:val="auto"/>
        </w:rPr>
      </w:pPr>
    </w:p>
    <w:p>
      <w:pPr>
        <w:spacing w:after="0" w:line="227"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Jerome Andries</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Jerome Andries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GLAXOSMITHKLINE LLC</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Hatixhe Hoxha</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Hatixhe Hoxha</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GLAXO GROUP LIMITED</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Sadler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John Sadler</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Authorised Signatory For and on behalf Edinburgh</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Pharmaceutical Industries Limited Corporate Director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FULCRUM THERAPEUTICS, INC.</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Robert J. Gould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Right of Reference and License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37" w:right="239" w:bottom="1440" w:gutter="0" w:footer="0" w:header="0"/>
        </w:sectPr>
      </w:pPr>
    </w:p>
    <w:bookmarkStart w:id="502" w:name="page503"/>
    <w:bookmarkEnd w:id="502"/>
    <w:p>
      <w:pPr>
        <w:jc w:val="center"/>
        <w:ind w:right="-1220"/>
        <w:spacing w:after="0"/>
        <w:rPr>
          <w:sz w:val="20"/>
          <w:szCs w:val="20"/>
          <w:color w:val="auto"/>
        </w:rPr>
      </w:pPr>
      <w:r>
        <w:rPr>
          <w:rFonts w:ascii="Arial" w:cs="Arial" w:eastAsia="Arial" w:hAnsi="Arial"/>
          <w:sz w:val="18"/>
          <w:szCs w:val="18"/>
          <w:b w:val="1"/>
          <w:bCs w:val="1"/>
          <w:u w:val="single" w:color="auto"/>
          <w:color w:val="auto"/>
        </w:rPr>
        <w:t>SCHEDULE 1.1</w:t>
      </w:r>
    </w:p>
    <w:p>
      <w:pPr>
        <w:spacing w:after="0" w:line="225" w:lineRule="exact"/>
        <w:rPr>
          <w:sz w:val="20"/>
          <w:szCs w:val="20"/>
          <w:color w:val="auto"/>
        </w:rPr>
      </w:pPr>
    </w:p>
    <w:p>
      <w:pPr>
        <w:jc w:val="right"/>
        <w:ind w:right="3299"/>
        <w:spacing w:after="0"/>
        <w:rPr>
          <w:sz w:val="20"/>
          <w:szCs w:val="20"/>
          <w:color w:val="auto"/>
        </w:rPr>
      </w:pPr>
      <w:r>
        <w:rPr>
          <w:rFonts w:ascii="Arial" w:cs="Arial" w:eastAsia="Arial" w:hAnsi="Arial"/>
          <w:sz w:val="18"/>
          <w:szCs w:val="18"/>
          <w:b w:val="1"/>
          <w:bCs w:val="1"/>
          <w:u w:val="single" w:color="auto"/>
          <w:color w:val="auto"/>
        </w:rPr>
        <w:t>LOSMAPIMOD COMPOUND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154940</wp:posOffset>
            </wp:positionV>
            <wp:extent cx="1715135" cy="17151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513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Formula: C</w:t>
      </w:r>
      <w:r>
        <w:rPr>
          <w:rFonts w:ascii="Arial" w:cs="Arial" w:eastAsia="Arial" w:hAnsi="Arial"/>
          <w:sz w:val="11"/>
          <w:szCs w:val="11"/>
          <w:color w:val="auto"/>
        </w:rPr>
        <w:t>22</w:t>
      </w:r>
      <w:r>
        <w:rPr>
          <w:rFonts w:ascii="Arial" w:cs="Arial" w:eastAsia="Arial" w:hAnsi="Arial"/>
          <w:sz w:val="18"/>
          <w:szCs w:val="18"/>
          <w:color w:val="auto"/>
        </w:rPr>
        <w:t>H</w:t>
      </w:r>
      <w:r>
        <w:rPr>
          <w:rFonts w:ascii="Arial" w:cs="Arial" w:eastAsia="Arial" w:hAnsi="Arial"/>
          <w:sz w:val="11"/>
          <w:szCs w:val="11"/>
          <w:color w:val="auto"/>
        </w:rPr>
        <w:t>26</w:t>
      </w:r>
      <w:r>
        <w:rPr>
          <w:rFonts w:ascii="Arial" w:cs="Arial" w:eastAsia="Arial" w:hAnsi="Arial"/>
          <w:sz w:val="18"/>
          <w:szCs w:val="18"/>
          <w:color w:val="auto"/>
        </w:rPr>
        <w:t>FN</w:t>
      </w:r>
      <w:r>
        <w:rPr>
          <w:rFonts w:ascii="Arial" w:cs="Arial" w:eastAsia="Arial" w:hAnsi="Arial"/>
          <w:sz w:val="11"/>
          <w:szCs w:val="11"/>
          <w:color w:val="auto"/>
        </w:rPr>
        <w:t>3</w:t>
      </w:r>
      <w:r>
        <w:rPr>
          <w:rFonts w:ascii="Arial" w:cs="Arial" w:eastAsia="Arial" w:hAnsi="Arial"/>
          <w:sz w:val="18"/>
          <w:szCs w:val="18"/>
          <w:color w:val="auto"/>
        </w:rPr>
        <w:t>O</w:t>
      </w:r>
      <w:r>
        <w:rPr>
          <w:rFonts w:ascii="Arial" w:cs="Arial" w:eastAsia="Arial" w:hAnsi="Arial"/>
          <w:sz w:val="11"/>
          <w:szCs w:val="11"/>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Molecular Weight: 383.459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GSK Compound Number: GW856553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503" w:name="page504"/>
    <w:bookmarkEnd w:id="503"/>
    <w:p>
      <w:pPr>
        <w:jc w:val="center"/>
        <w:spacing w:after="0"/>
        <w:rPr>
          <w:sz w:val="20"/>
          <w:szCs w:val="20"/>
          <w:color w:val="auto"/>
        </w:rPr>
      </w:pPr>
      <w:r>
        <w:rPr>
          <w:rFonts w:ascii="Arial" w:cs="Arial" w:eastAsia="Arial" w:hAnsi="Arial"/>
          <w:sz w:val="17"/>
          <w:szCs w:val="17"/>
          <w:b w:val="1"/>
          <w:bCs w:val="1"/>
          <w:u w:val="single" w:color="auto"/>
          <w:color w:val="auto"/>
        </w:rPr>
        <w:t>SCHEDULE 1.2</w:t>
      </w:r>
    </w:p>
    <w:p>
      <w:pPr>
        <w:sectPr>
          <w:pgSz w:w="11900" w:h="16838" w:orient="portrait"/>
          <w:cols w:equalWidth="0" w:num="1">
            <w:col w:w="9019"/>
          </w:cols>
          <w:pgMar w:left="1440" w:top="337"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GSK PATENTS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04" w:name="page505"/>
    <w:bookmarkEnd w:id="504"/>
    <w:tbl>
      <w:tblPr>
        <w:tblLayout w:type="fixed"/>
        <w:tblInd w:w="0" w:type="dxa"/>
        <w:tblCellMar>
          <w:top w:w="0" w:type="dxa"/>
          <w:left w:w="0" w:type="dxa"/>
          <w:bottom w:w="0" w:type="dxa"/>
          <w:right w:w="0" w:type="dxa"/>
        </w:tblCellMar>
      </w:tblPr>
      <w:tr>
        <w:trPr>
          <w:trHeight w:val="16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Case No.</w:t>
            </w:r>
          </w:p>
        </w:tc>
        <w:tc>
          <w:tcPr>
            <w:tcW w:w="14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Country</w:t>
            </w:r>
          </w:p>
        </w:tc>
        <w:tc>
          <w:tcPr>
            <w:tcW w:w="16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Application Number</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280" w:type="dxa"/>
            <w:vAlign w:val="bottom"/>
          </w:tcPr>
          <w:p>
            <w:pPr>
              <w:spacing w:after="0"/>
              <w:rPr>
                <w:sz w:val="14"/>
                <w:szCs w:val="14"/>
                <w:color w:val="auto"/>
              </w:rPr>
            </w:pPr>
          </w:p>
        </w:tc>
        <w:tc>
          <w:tcPr>
            <w:tcW w:w="11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Grant Date</w:t>
            </w:r>
          </w:p>
        </w:tc>
        <w:tc>
          <w:tcPr>
            <w:tcW w:w="280" w:type="dxa"/>
            <w:vAlign w:val="bottom"/>
          </w:tcPr>
          <w:p>
            <w:pPr>
              <w:spacing w:after="0"/>
              <w:rPr>
                <w:sz w:val="14"/>
                <w:szCs w:val="14"/>
                <w:color w:val="auto"/>
              </w:rPr>
            </w:pPr>
          </w:p>
        </w:tc>
        <w:tc>
          <w:tcPr>
            <w:tcW w:w="17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Patent 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216"/>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right"/>
              <w:ind w:right="6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2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505" w:name="page506"/>
    <w:bookmarkEnd w:id="505"/>
    <w:p>
      <w:pPr>
        <w:jc w:val="center"/>
        <w:ind w:right="-860"/>
        <w:spacing w:after="0"/>
        <w:rPr>
          <w:sz w:val="20"/>
          <w:szCs w:val="20"/>
          <w:color w:val="auto"/>
        </w:rPr>
      </w:pPr>
      <w:r>
        <w:rPr>
          <w:rFonts w:ascii="Arial" w:cs="Arial" w:eastAsia="Arial" w:hAnsi="Arial"/>
          <w:sz w:val="18"/>
          <w:szCs w:val="18"/>
          <w:b w:val="1"/>
          <w:bCs w:val="1"/>
          <w:u w:val="single" w:color="auto"/>
          <w:color w:val="auto"/>
        </w:rPr>
        <w:t>SCHEDULE 2.5(b)</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u w:val="single" w:color="auto"/>
          <w:color w:val="auto"/>
        </w:rPr>
        <w:t>SAS DATASETS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SAS datasets related to the studies listed below (to be provided in current format):</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218440</wp:posOffset>
            </wp:positionV>
            <wp:extent cx="726757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79"/>
          </w:cols>
          <w:pgMar w:left="580" w:top="337" w:right="1440" w:bottom="1440" w:gutter="0" w:footer="0" w:header="0"/>
        </w:sectPr>
      </w:pPr>
    </w:p>
    <w:bookmarkStart w:id="506" w:name="page507"/>
    <w:bookmarkEnd w:id="506"/>
    <w:p>
      <w:pPr>
        <w:jc w:val="center"/>
        <w:ind w:right="40"/>
        <w:spacing w:after="0"/>
        <w:rPr>
          <w:sz w:val="20"/>
          <w:szCs w:val="20"/>
          <w:color w:val="auto"/>
        </w:rPr>
      </w:pPr>
      <w:r>
        <w:rPr>
          <w:rFonts w:ascii="Arial" w:cs="Arial" w:eastAsia="Arial" w:hAnsi="Arial"/>
          <w:sz w:val="18"/>
          <w:szCs w:val="18"/>
          <w:b w:val="1"/>
          <w:bCs w:val="1"/>
          <w:u w:val="single" w:color="auto"/>
          <w:color w:val="auto"/>
        </w:rPr>
        <w:t>SCHEDULE 2.6</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MATERIAL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Losmapimod Material Transfer: 7.5 mg tablets, placebo tablets and API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Tablets (located in [**] and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Lot Number</w:t>
            </w:r>
          </w:p>
        </w:tc>
        <w:tc>
          <w:tcPr>
            <w:tcW w:w="300" w:type="dxa"/>
            <w:vAlign w:val="bottom"/>
          </w:tcPr>
          <w:p>
            <w:pPr>
              <w:spacing w:after="0"/>
              <w:rPr>
                <w:sz w:val="14"/>
                <w:szCs w:val="14"/>
                <w:color w:val="auto"/>
              </w:rPr>
            </w:pPr>
          </w:p>
        </w:tc>
        <w:tc>
          <w:tcPr>
            <w:tcW w:w="1360" w:type="dxa"/>
            <w:vAlign w:val="bottom"/>
          </w:tcPr>
          <w:p>
            <w:pPr>
              <w:jc w:val="right"/>
              <w:ind w:right="339"/>
              <w:spacing w:after="0"/>
              <w:rPr>
                <w:sz w:val="20"/>
                <w:szCs w:val="20"/>
                <w:color w:val="auto"/>
              </w:rPr>
            </w:pPr>
            <w:r>
              <w:rPr>
                <w:rFonts w:ascii="Arial" w:cs="Arial" w:eastAsia="Arial" w:hAnsi="Arial"/>
                <w:sz w:val="14"/>
                <w:szCs w:val="14"/>
                <w:b w:val="1"/>
                <w:bCs w:val="1"/>
                <w:color w:val="auto"/>
              </w:rPr>
              <w:t>Material</w:t>
            </w:r>
          </w:p>
        </w:tc>
        <w:tc>
          <w:tcPr>
            <w:tcW w:w="300" w:type="dxa"/>
            <w:vAlign w:val="bottom"/>
          </w:tcPr>
          <w:p>
            <w:pPr>
              <w:spacing w:after="0"/>
              <w:rPr>
                <w:sz w:val="14"/>
                <w:szCs w:val="14"/>
                <w:color w:val="auto"/>
              </w:rPr>
            </w:pPr>
          </w:p>
        </w:tc>
        <w:tc>
          <w:tcPr>
            <w:tcW w:w="1360" w:type="dxa"/>
            <w:vAlign w:val="bottom"/>
          </w:tcPr>
          <w:p>
            <w:pPr>
              <w:jc w:val="right"/>
              <w:ind w:right="319"/>
              <w:spacing w:after="0"/>
              <w:rPr>
                <w:sz w:val="20"/>
                <w:szCs w:val="20"/>
                <w:color w:val="auto"/>
              </w:rPr>
            </w:pPr>
            <w:r>
              <w:rPr>
                <w:rFonts w:ascii="Arial" w:cs="Arial" w:eastAsia="Arial" w:hAnsi="Arial"/>
                <w:sz w:val="14"/>
                <w:szCs w:val="14"/>
                <w:b w:val="1"/>
                <w:bCs w:val="1"/>
                <w:color w:val="auto"/>
              </w:rPr>
              <w:t>Quantity</w:t>
            </w:r>
          </w:p>
        </w:tc>
        <w:tc>
          <w:tcPr>
            <w:tcW w:w="280" w:type="dxa"/>
            <w:vAlign w:val="bottom"/>
          </w:tcPr>
          <w:p>
            <w:pPr>
              <w:spacing w:after="0"/>
              <w:rPr>
                <w:sz w:val="14"/>
                <w:szCs w:val="14"/>
                <w:color w:val="auto"/>
              </w:rPr>
            </w:pP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Expiry date</w:t>
            </w:r>
          </w:p>
        </w:tc>
        <w:tc>
          <w:tcPr>
            <w:tcW w:w="28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c>
          <w:tcPr>
            <w:tcW w:w="40" w:type="dxa"/>
            <w:vAlign w:val="bottom"/>
          </w:tcPr>
          <w:p>
            <w:pPr>
              <w:spacing w:after="0"/>
              <w:rPr>
                <w:sz w:val="14"/>
                <w:szCs w:val="14"/>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Placebo tablets (located in [**])</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4"/>
                <w:szCs w:val="14"/>
                <w:b w:val="1"/>
                <w:bCs w:val="1"/>
                <w:color w:val="auto"/>
              </w:rPr>
              <w:t>Lot Number</w:t>
            </w:r>
          </w:p>
        </w:tc>
        <w:tc>
          <w:tcPr>
            <w:tcW w:w="300" w:type="dxa"/>
            <w:vAlign w:val="bottom"/>
          </w:tcPr>
          <w:p>
            <w:pPr>
              <w:spacing w:after="0"/>
              <w:rPr>
                <w:sz w:val="24"/>
                <w:szCs w:val="24"/>
                <w:color w:val="auto"/>
              </w:rPr>
            </w:pPr>
          </w:p>
        </w:tc>
        <w:tc>
          <w:tcPr>
            <w:tcW w:w="1360" w:type="dxa"/>
            <w:vAlign w:val="bottom"/>
          </w:tcPr>
          <w:p>
            <w:pPr>
              <w:jc w:val="right"/>
              <w:ind w:right="339"/>
              <w:spacing w:after="0"/>
              <w:rPr>
                <w:sz w:val="20"/>
                <w:szCs w:val="20"/>
                <w:color w:val="auto"/>
              </w:rPr>
            </w:pPr>
            <w:r>
              <w:rPr>
                <w:rFonts w:ascii="Arial" w:cs="Arial" w:eastAsia="Arial" w:hAnsi="Arial"/>
                <w:sz w:val="14"/>
                <w:szCs w:val="14"/>
                <w:b w:val="1"/>
                <w:bCs w:val="1"/>
                <w:color w:val="auto"/>
              </w:rPr>
              <w:t>Material</w:t>
            </w:r>
          </w:p>
        </w:tc>
        <w:tc>
          <w:tcPr>
            <w:tcW w:w="30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4"/>
                <w:szCs w:val="14"/>
                <w:b w:val="1"/>
                <w:bCs w:val="1"/>
                <w:color w:val="auto"/>
              </w:rPr>
              <w:t>Quantity</w:t>
            </w:r>
          </w:p>
        </w:tc>
        <w:tc>
          <w:tcPr>
            <w:tcW w:w="28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Expiry date</w:t>
            </w:r>
          </w:p>
        </w:tc>
        <w:tc>
          <w:tcPr>
            <w:tcW w:w="280" w:type="dxa"/>
            <w:vAlign w:val="bottom"/>
          </w:tcPr>
          <w:p>
            <w:pPr>
              <w:spacing w:after="0"/>
              <w:rPr>
                <w:sz w:val="24"/>
                <w:szCs w:val="2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c>
          <w:tcPr>
            <w:tcW w:w="40" w:type="dxa"/>
            <w:vAlign w:val="bottom"/>
          </w:tcPr>
          <w:p>
            <w:pPr>
              <w:spacing w:after="0"/>
              <w:rPr>
                <w:sz w:val="24"/>
                <w:szCs w:val="24"/>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API, available for clinical development (located in [**])</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4"/>
                <w:szCs w:val="14"/>
                <w:b w:val="1"/>
                <w:bCs w:val="1"/>
                <w:color w:val="auto"/>
              </w:rPr>
              <w:t>Lot Number</w:t>
            </w:r>
          </w:p>
        </w:tc>
        <w:tc>
          <w:tcPr>
            <w:tcW w:w="300" w:type="dxa"/>
            <w:vAlign w:val="bottom"/>
          </w:tcPr>
          <w:p>
            <w:pPr>
              <w:spacing w:after="0"/>
              <w:rPr>
                <w:sz w:val="24"/>
                <w:szCs w:val="24"/>
                <w:color w:val="auto"/>
              </w:rPr>
            </w:pPr>
          </w:p>
        </w:tc>
        <w:tc>
          <w:tcPr>
            <w:tcW w:w="1360" w:type="dxa"/>
            <w:vAlign w:val="bottom"/>
          </w:tcPr>
          <w:p>
            <w:pPr>
              <w:jc w:val="right"/>
              <w:ind w:right="339"/>
              <w:spacing w:after="0"/>
              <w:rPr>
                <w:sz w:val="20"/>
                <w:szCs w:val="20"/>
                <w:color w:val="auto"/>
              </w:rPr>
            </w:pPr>
            <w:r>
              <w:rPr>
                <w:rFonts w:ascii="Arial" w:cs="Arial" w:eastAsia="Arial" w:hAnsi="Arial"/>
                <w:sz w:val="14"/>
                <w:szCs w:val="14"/>
                <w:b w:val="1"/>
                <w:bCs w:val="1"/>
                <w:color w:val="auto"/>
              </w:rPr>
              <w:t>Material</w:t>
            </w:r>
          </w:p>
        </w:tc>
        <w:tc>
          <w:tcPr>
            <w:tcW w:w="30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4"/>
                <w:szCs w:val="14"/>
                <w:b w:val="1"/>
                <w:bCs w:val="1"/>
                <w:color w:val="auto"/>
              </w:rPr>
              <w:t>Quantity</w:t>
            </w:r>
          </w:p>
        </w:tc>
        <w:tc>
          <w:tcPr>
            <w:tcW w:w="28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Expiry date</w:t>
            </w:r>
          </w:p>
        </w:tc>
        <w:tc>
          <w:tcPr>
            <w:tcW w:w="280" w:type="dxa"/>
            <w:vAlign w:val="bottom"/>
          </w:tcPr>
          <w:p>
            <w:pPr>
              <w:spacing w:after="0"/>
              <w:rPr>
                <w:sz w:val="24"/>
                <w:szCs w:val="2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c>
          <w:tcPr>
            <w:tcW w:w="40" w:type="dxa"/>
            <w:vAlign w:val="bottom"/>
          </w:tcPr>
          <w:p>
            <w:pPr>
              <w:spacing w:after="0"/>
              <w:rPr>
                <w:sz w:val="24"/>
                <w:szCs w:val="24"/>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6360" w:type="dxa"/>
            <w:vAlign w:val="bottom"/>
            <w:gridSpan w:val="3"/>
          </w:tcPr>
          <w:p>
            <w:pPr>
              <w:spacing w:after="0"/>
              <w:rPr>
                <w:sz w:val="20"/>
                <w:szCs w:val="20"/>
                <w:color w:val="auto"/>
              </w:rPr>
            </w:pPr>
            <w:r>
              <w:rPr>
                <w:rFonts w:ascii="Arial" w:cs="Arial" w:eastAsia="Arial" w:hAnsi="Arial"/>
                <w:sz w:val="18"/>
                <w:szCs w:val="18"/>
                <w:color w:val="auto"/>
              </w:rPr>
              <w:t>API, “development batches”, not to be used for clinical material (located in [**])</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4"/>
                <w:szCs w:val="14"/>
                <w:b w:val="1"/>
                <w:bCs w:val="1"/>
                <w:color w:val="auto"/>
              </w:rPr>
              <w:t>Lot Number</w:t>
            </w:r>
          </w:p>
        </w:tc>
        <w:tc>
          <w:tcPr>
            <w:tcW w:w="300" w:type="dxa"/>
            <w:vAlign w:val="bottom"/>
          </w:tcPr>
          <w:p>
            <w:pPr>
              <w:spacing w:after="0"/>
              <w:rPr>
                <w:sz w:val="24"/>
                <w:szCs w:val="24"/>
                <w:color w:val="auto"/>
              </w:rPr>
            </w:pPr>
          </w:p>
        </w:tc>
        <w:tc>
          <w:tcPr>
            <w:tcW w:w="1360" w:type="dxa"/>
            <w:vAlign w:val="bottom"/>
          </w:tcPr>
          <w:p>
            <w:pPr>
              <w:jc w:val="right"/>
              <w:ind w:right="339"/>
              <w:spacing w:after="0"/>
              <w:rPr>
                <w:sz w:val="20"/>
                <w:szCs w:val="20"/>
                <w:color w:val="auto"/>
              </w:rPr>
            </w:pPr>
            <w:r>
              <w:rPr>
                <w:rFonts w:ascii="Arial" w:cs="Arial" w:eastAsia="Arial" w:hAnsi="Arial"/>
                <w:sz w:val="14"/>
                <w:szCs w:val="14"/>
                <w:b w:val="1"/>
                <w:bCs w:val="1"/>
                <w:color w:val="auto"/>
              </w:rPr>
              <w:t>Material</w:t>
            </w:r>
          </w:p>
        </w:tc>
        <w:tc>
          <w:tcPr>
            <w:tcW w:w="30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4"/>
                <w:szCs w:val="14"/>
                <w:b w:val="1"/>
                <w:bCs w:val="1"/>
                <w:color w:val="auto"/>
              </w:rPr>
              <w:t>Quantity</w:t>
            </w:r>
          </w:p>
        </w:tc>
        <w:tc>
          <w:tcPr>
            <w:tcW w:w="28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Expiry date</w:t>
            </w:r>
          </w:p>
        </w:tc>
        <w:tc>
          <w:tcPr>
            <w:tcW w:w="280" w:type="dxa"/>
            <w:vAlign w:val="bottom"/>
          </w:tcPr>
          <w:p>
            <w:pPr>
              <w:spacing w:after="0"/>
              <w:rPr>
                <w:sz w:val="24"/>
                <w:szCs w:val="2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c>
          <w:tcPr>
            <w:tcW w:w="40" w:type="dxa"/>
            <w:vAlign w:val="bottom"/>
          </w:tcPr>
          <w:p>
            <w:pPr>
              <w:spacing w:after="0"/>
              <w:rPr>
                <w:sz w:val="24"/>
                <w:szCs w:val="24"/>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48"/>
        </w:trPr>
        <w:tc>
          <w:tcPr>
            <w:tcW w:w="47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07" w:name="page508"/>
    <w:bookmarkEnd w:id="507"/>
    <w:p>
      <w:pPr>
        <w:jc w:val="center"/>
        <w:ind w:right="-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LETTER OF AUTHORIZATION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[GSK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Division Director at FDA Division of Neurology Products,</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a request from Fulcrum Therapeutics (“</w:t>
      </w:r>
      <w:r>
        <w:rPr>
          <w:rFonts w:ascii="Arial" w:cs="Arial" w:eastAsia="Arial" w:hAnsi="Arial"/>
          <w:sz w:val="18"/>
          <w:szCs w:val="18"/>
          <w:b w:val="1"/>
          <w:bCs w:val="1"/>
          <w:color w:val="auto"/>
        </w:rPr>
        <w:t>Fulcrum</w:t>
      </w:r>
      <w:r>
        <w:rPr>
          <w:rFonts w:ascii="Arial" w:cs="Arial" w:eastAsia="Arial" w:hAnsi="Arial"/>
          <w:sz w:val="18"/>
          <w:szCs w:val="18"/>
          <w:color w:val="auto"/>
        </w:rPr>
        <w:t>”), GSK hereby authorizes the United States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to refer to the information contained in the withdrawn GSK-sponsored losmapimod INDs (IND No. [**]) in their entirety and all information therein in connection with any filing or application made by Fulcrum Therapeutics, including without limitation Fulcrum Therapeutics’ PIND [**] filing for its FTX-1821 product for treatment of Facioscapulohumeral muscular dystrophy (FSHD).</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indicated by my signature below, I am authorized to provide this authorization on behalf of GSK and my full name, title, address, email address, telephone number, are listed below.</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me at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Ian Hunt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 Global Regulatory Affairs, Therapeutic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RD Chief Regulatory Office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1250 S. Collegeville Road, Collegeville, Pennsylvania, 19426-0989,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Office Phone </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Mobile Phone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08" w:name="page509"/>
    <w:bookmarkEnd w:id="50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LEASE FOR</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26 LANDSDOWNE STREET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Cambridge, Massachusetts</w:t>
      </w:r>
    </w:p>
    <w:p>
      <w:pPr>
        <w:spacing w:after="0" w:line="200" w:lineRule="exact"/>
        <w:rPr>
          <w:sz w:val="20"/>
          <w:szCs w:val="20"/>
          <w:color w:val="auto"/>
        </w:rPr>
      </w:pPr>
    </w:p>
    <w:p>
      <w:pPr>
        <w:spacing w:after="0" w:line="24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LANDLORD</w:t>
      </w:r>
    </w:p>
    <w:p>
      <w:pPr>
        <w:spacing w:after="0" w:line="50"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UP 26 LANDSDOWNE,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TENANT</w:t>
      </w:r>
    </w:p>
    <w:p>
      <w:pPr>
        <w:spacing w:after="0" w:line="3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FULCRUM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Dated: November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509" w:name="page510"/>
    <w:bookmarkEnd w:id="509"/>
    <w:p>
      <w:pPr>
        <w:jc w:val="center"/>
        <w:ind w:right="40"/>
        <w:spacing w:after="0"/>
        <w:rPr>
          <w:sz w:val="20"/>
          <w:szCs w:val="20"/>
          <w:color w:val="auto"/>
        </w:rPr>
      </w:pPr>
      <w:r>
        <w:rPr>
          <w:rFonts w:ascii="Arial" w:cs="Arial" w:eastAsia="Arial" w:hAnsi="Arial"/>
          <w:sz w:val="18"/>
          <w:szCs w:val="18"/>
          <w:b w:val="1"/>
          <w:bCs w:val="1"/>
          <w:u w:val="single" w:color="auto"/>
          <w:color w:val="auto"/>
        </w:rPr>
        <w:t>26 LANDSDOWNE STREET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1500" w:type="dxa"/>
            <w:vAlign w:val="bottom"/>
          </w:tcPr>
          <w:p>
            <w:pPr>
              <w:spacing w:after="0"/>
              <w:rPr>
                <w:sz w:val="20"/>
                <w:szCs w:val="20"/>
                <w:color w:val="auto"/>
              </w:rPr>
            </w:pPr>
            <w:r>
              <w:rPr>
                <w:rFonts w:ascii="Arial" w:cs="Arial" w:eastAsia="Arial" w:hAnsi="Arial"/>
                <w:sz w:val="18"/>
                <w:szCs w:val="18"/>
                <w:color w:val="auto"/>
              </w:rPr>
              <w:t>ARTICLE 1</w:t>
            </w:r>
          </w:p>
        </w:tc>
        <w:tc>
          <w:tcPr>
            <w:tcW w:w="8980" w:type="dxa"/>
            <w:vAlign w:val="bottom"/>
          </w:tcPr>
          <w:p>
            <w:pPr>
              <w:ind w:left="120"/>
              <w:spacing w:after="0"/>
              <w:rPr>
                <w:sz w:val="20"/>
                <w:szCs w:val="20"/>
                <w:color w:val="auto"/>
              </w:rPr>
            </w:pPr>
            <w:r>
              <w:rPr>
                <w:rFonts w:ascii="Arial" w:cs="Arial" w:eastAsia="Arial" w:hAnsi="Arial"/>
                <w:sz w:val="18"/>
                <w:szCs w:val="18"/>
                <w:color w:val="auto"/>
              </w:rPr>
              <w:t>RECITALS, DEFINITIONS AND BASE LEASE TERMS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8980" w:type="dxa"/>
            <w:vAlign w:val="bottom"/>
          </w:tcPr>
          <w:p>
            <w:pPr>
              <w:ind w:left="800"/>
              <w:spacing w:after="0"/>
              <w:rPr>
                <w:sz w:val="20"/>
                <w:szCs w:val="20"/>
                <w:color w:val="auto"/>
              </w:rPr>
            </w:pPr>
            <w:r>
              <w:rPr>
                <w:rFonts w:ascii="Arial" w:cs="Arial" w:eastAsia="Arial" w:hAnsi="Arial"/>
                <w:sz w:val="18"/>
                <w:szCs w:val="18"/>
                <w:color w:val="auto"/>
              </w:rPr>
              <w:t>Recitals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8980" w:type="dxa"/>
            <w:vAlign w:val="bottom"/>
          </w:tcPr>
          <w:p>
            <w:pPr>
              <w:ind w:left="800"/>
              <w:spacing w:after="0"/>
              <w:rPr>
                <w:sz w:val="20"/>
                <w:szCs w:val="20"/>
                <w:color w:val="auto"/>
              </w:rPr>
            </w:pPr>
            <w:r>
              <w:rPr>
                <w:rFonts w:ascii="Arial" w:cs="Arial" w:eastAsia="Arial" w:hAnsi="Arial"/>
                <w:sz w:val="18"/>
                <w:szCs w:val="18"/>
                <w:color w:val="auto"/>
              </w:rPr>
              <w:t>Definitions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8980" w:type="dxa"/>
            <w:vAlign w:val="bottom"/>
          </w:tcPr>
          <w:p>
            <w:pPr>
              <w:ind w:left="800"/>
              <w:spacing w:after="0"/>
              <w:rPr>
                <w:sz w:val="20"/>
                <w:szCs w:val="20"/>
                <w:color w:val="auto"/>
              </w:rPr>
            </w:pPr>
            <w:r>
              <w:rPr>
                <w:rFonts w:ascii="Arial" w:cs="Arial" w:eastAsia="Arial" w:hAnsi="Arial"/>
                <w:sz w:val="18"/>
                <w:szCs w:val="18"/>
                <w:color w:val="auto"/>
              </w:rPr>
              <w:t>Base Lease Terms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2</w:t>
            </w:r>
          </w:p>
        </w:tc>
        <w:tc>
          <w:tcPr>
            <w:tcW w:w="8980" w:type="dxa"/>
            <w:vAlign w:val="bottom"/>
          </w:tcPr>
          <w:p>
            <w:pPr>
              <w:ind w:left="120"/>
              <w:spacing w:after="0"/>
              <w:rPr>
                <w:sz w:val="20"/>
                <w:szCs w:val="20"/>
                <w:color w:val="auto"/>
              </w:rPr>
            </w:pPr>
            <w:r>
              <w:rPr>
                <w:rFonts w:ascii="Arial" w:cs="Arial" w:eastAsia="Arial" w:hAnsi="Arial"/>
                <w:sz w:val="18"/>
                <w:szCs w:val="18"/>
                <w:color w:val="auto"/>
              </w:rPr>
              <w:t>PREMISES AND TERM</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8980" w:type="dxa"/>
            <w:vAlign w:val="bottom"/>
          </w:tcPr>
          <w:p>
            <w:pPr>
              <w:ind w:left="800"/>
              <w:spacing w:after="0"/>
              <w:rPr>
                <w:sz w:val="20"/>
                <w:szCs w:val="20"/>
                <w:color w:val="auto"/>
              </w:rPr>
            </w:pPr>
            <w:r>
              <w:rPr>
                <w:rFonts w:ascii="Arial" w:cs="Arial" w:eastAsia="Arial" w:hAnsi="Arial"/>
                <w:sz w:val="18"/>
                <w:szCs w:val="18"/>
                <w:color w:val="auto"/>
              </w:rPr>
              <w:t>Premises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8980" w:type="dxa"/>
            <w:vAlign w:val="bottom"/>
          </w:tcPr>
          <w:p>
            <w:pPr>
              <w:ind w:left="800"/>
              <w:spacing w:after="0"/>
              <w:rPr>
                <w:sz w:val="20"/>
                <w:szCs w:val="20"/>
                <w:color w:val="auto"/>
              </w:rPr>
            </w:pPr>
            <w:r>
              <w:rPr>
                <w:rFonts w:ascii="Arial" w:cs="Arial" w:eastAsia="Arial" w:hAnsi="Arial"/>
                <w:sz w:val="18"/>
                <w:szCs w:val="18"/>
                <w:color w:val="auto"/>
              </w:rPr>
              <w:t>Appurtenant Rights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8980" w:type="dxa"/>
            <w:vAlign w:val="bottom"/>
          </w:tcPr>
          <w:p>
            <w:pPr>
              <w:ind w:left="800"/>
              <w:spacing w:after="0"/>
              <w:rPr>
                <w:sz w:val="20"/>
                <w:szCs w:val="20"/>
                <w:color w:val="auto"/>
              </w:rPr>
            </w:pPr>
            <w:r>
              <w:rPr>
                <w:rFonts w:ascii="Arial" w:cs="Arial" w:eastAsia="Arial" w:hAnsi="Arial"/>
                <w:sz w:val="18"/>
                <w:szCs w:val="18"/>
                <w:color w:val="auto"/>
              </w:rPr>
              <w:t>Landlord’s Reservations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8980" w:type="dxa"/>
            <w:vAlign w:val="bottom"/>
          </w:tcPr>
          <w:p>
            <w:pPr>
              <w:ind w:left="800"/>
              <w:spacing w:after="0"/>
              <w:rPr>
                <w:sz w:val="20"/>
                <w:szCs w:val="20"/>
                <w:color w:val="auto"/>
              </w:rPr>
            </w:pPr>
            <w:r>
              <w:rPr>
                <w:rFonts w:ascii="Arial" w:cs="Arial" w:eastAsia="Arial" w:hAnsi="Arial"/>
                <w:sz w:val="18"/>
                <w:szCs w:val="18"/>
                <w:color w:val="auto"/>
              </w:rPr>
              <w:t>Parking Passes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8980" w:type="dxa"/>
            <w:vAlign w:val="bottom"/>
          </w:tcPr>
          <w:p>
            <w:pPr>
              <w:ind w:left="800"/>
              <w:spacing w:after="0"/>
              <w:rPr>
                <w:sz w:val="20"/>
                <w:szCs w:val="20"/>
                <w:color w:val="auto"/>
              </w:rPr>
            </w:pPr>
            <w:r>
              <w:rPr>
                <w:rFonts w:ascii="Arial" w:cs="Arial" w:eastAsia="Arial" w:hAnsi="Arial"/>
                <w:sz w:val="18"/>
                <w:szCs w:val="18"/>
                <w:color w:val="auto"/>
              </w:rPr>
              <w:t>Lease Commencement Date and Term</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8980" w:type="dxa"/>
            <w:vAlign w:val="bottom"/>
          </w:tcPr>
          <w:p>
            <w:pPr>
              <w:ind w:left="800"/>
              <w:spacing w:after="0"/>
              <w:rPr>
                <w:sz w:val="20"/>
                <w:szCs w:val="20"/>
                <w:color w:val="auto"/>
              </w:rPr>
            </w:pPr>
            <w:r>
              <w:rPr>
                <w:rFonts w:ascii="Arial" w:cs="Arial" w:eastAsia="Arial" w:hAnsi="Arial"/>
                <w:sz w:val="18"/>
                <w:szCs w:val="18"/>
                <w:color w:val="auto"/>
              </w:rPr>
              <w:t>Extension Options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3</w:t>
            </w:r>
          </w:p>
        </w:tc>
        <w:tc>
          <w:tcPr>
            <w:tcW w:w="8980" w:type="dxa"/>
            <w:vAlign w:val="bottom"/>
          </w:tcPr>
          <w:p>
            <w:pPr>
              <w:ind w:left="120"/>
              <w:spacing w:after="0"/>
              <w:rPr>
                <w:sz w:val="20"/>
                <w:szCs w:val="20"/>
                <w:color w:val="auto"/>
              </w:rPr>
            </w:pPr>
            <w:r>
              <w:rPr>
                <w:rFonts w:ascii="Arial" w:cs="Arial" w:eastAsia="Arial" w:hAnsi="Arial"/>
                <w:sz w:val="18"/>
                <w:szCs w:val="18"/>
                <w:color w:val="auto"/>
              </w:rPr>
              <w:t>RENT AND OTHER PAYMENTS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8980" w:type="dxa"/>
            <w:vAlign w:val="bottom"/>
          </w:tcPr>
          <w:p>
            <w:pPr>
              <w:ind w:left="800"/>
              <w:spacing w:after="0"/>
              <w:rPr>
                <w:sz w:val="20"/>
                <w:szCs w:val="20"/>
                <w:color w:val="auto"/>
              </w:rPr>
            </w:pPr>
            <w:r>
              <w:rPr>
                <w:rFonts w:ascii="Arial" w:cs="Arial" w:eastAsia="Arial" w:hAnsi="Arial"/>
                <w:sz w:val="18"/>
                <w:szCs w:val="18"/>
                <w:color w:val="auto"/>
              </w:rPr>
              <w:t>Annual Fixed Rent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8980" w:type="dxa"/>
            <w:vAlign w:val="bottom"/>
          </w:tcPr>
          <w:p>
            <w:pPr>
              <w:ind w:left="800"/>
              <w:spacing w:after="0"/>
              <w:rPr>
                <w:sz w:val="20"/>
                <w:szCs w:val="20"/>
                <w:color w:val="auto"/>
              </w:rPr>
            </w:pPr>
            <w:r>
              <w:rPr>
                <w:rFonts w:ascii="Arial" w:cs="Arial" w:eastAsia="Arial" w:hAnsi="Arial"/>
                <w:sz w:val="18"/>
                <w:szCs w:val="18"/>
                <w:color w:val="auto"/>
              </w:rPr>
              <w:t>Real Estate Taxes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8980" w:type="dxa"/>
            <w:vAlign w:val="bottom"/>
          </w:tcPr>
          <w:p>
            <w:pPr>
              <w:ind w:left="800"/>
              <w:spacing w:after="0"/>
              <w:rPr>
                <w:sz w:val="20"/>
                <w:szCs w:val="20"/>
                <w:color w:val="auto"/>
              </w:rPr>
            </w:pPr>
            <w:r>
              <w:rPr>
                <w:rFonts w:ascii="Arial" w:cs="Arial" w:eastAsia="Arial" w:hAnsi="Arial"/>
                <w:sz w:val="18"/>
                <w:szCs w:val="18"/>
                <w:color w:val="auto"/>
              </w:rPr>
              <w:t>Operating Expenses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8980" w:type="dxa"/>
            <w:vAlign w:val="bottom"/>
          </w:tcPr>
          <w:p>
            <w:pPr>
              <w:ind w:left="800"/>
              <w:spacing w:after="0"/>
              <w:rPr>
                <w:sz w:val="20"/>
                <w:szCs w:val="20"/>
                <w:color w:val="auto"/>
              </w:rPr>
            </w:pPr>
            <w:r>
              <w:rPr>
                <w:rFonts w:ascii="Arial" w:cs="Arial" w:eastAsia="Arial" w:hAnsi="Arial"/>
                <w:sz w:val="18"/>
                <w:szCs w:val="18"/>
                <w:color w:val="auto"/>
              </w:rPr>
              <w:t>Utility Charges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3.5</w:t>
            </w:r>
          </w:p>
        </w:tc>
        <w:tc>
          <w:tcPr>
            <w:tcW w:w="8980" w:type="dxa"/>
            <w:vAlign w:val="bottom"/>
          </w:tcPr>
          <w:p>
            <w:pPr>
              <w:ind w:left="800"/>
              <w:spacing w:after="0"/>
              <w:rPr>
                <w:sz w:val="20"/>
                <w:szCs w:val="20"/>
                <w:color w:val="auto"/>
              </w:rPr>
            </w:pPr>
            <w:r>
              <w:rPr>
                <w:rFonts w:ascii="Arial" w:cs="Arial" w:eastAsia="Arial" w:hAnsi="Arial"/>
                <w:sz w:val="18"/>
                <w:szCs w:val="18"/>
                <w:color w:val="auto"/>
              </w:rPr>
              <w:t>Above Standard Services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8980" w:type="dxa"/>
            <w:vAlign w:val="bottom"/>
          </w:tcPr>
          <w:p>
            <w:pPr>
              <w:ind w:left="800"/>
              <w:spacing w:after="0"/>
              <w:rPr>
                <w:sz w:val="20"/>
                <w:szCs w:val="20"/>
                <w:color w:val="auto"/>
              </w:rPr>
            </w:pPr>
            <w:r>
              <w:rPr>
                <w:rFonts w:ascii="Arial" w:cs="Arial" w:eastAsia="Arial" w:hAnsi="Arial"/>
                <w:sz w:val="18"/>
                <w:szCs w:val="18"/>
                <w:color w:val="auto"/>
              </w:rPr>
              <w:t>No Offsets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4</w:t>
            </w:r>
          </w:p>
        </w:tc>
        <w:tc>
          <w:tcPr>
            <w:tcW w:w="8980" w:type="dxa"/>
            <w:vAlign w:val="bottom"/>
          </w:tcPr>
          <w:p>
            <w:pPr>
              <w:ind w:left="120"/>
              <w:spacing w:after="0"/>
              <w:rPr>
                <w:sz w:val="20"/>
                <w:szCs w:val="20"/>
                <w:color w:val="auto"/>
              </w:rPr>
            </w:pPr>
            <w:r>
              <w:rPr>
                <w:rFonts w:ascii="Arial" w:cs="Arial" w:eastAsia="Arial" w:hAnsi="Arial"/>
                <w:sz w:val="18"/>
                <w:szCs w:val="18"/>
                <w:color w:val="auto"/>
              </w:rPr>
              <w:t>ALTERATIONS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8980" w:type="dxa"/>
            <w:vAlign w:val="bottom"/>
          </w:tcPr>
          <w:p>
            <w:pPr>
              <w:ind w:left="800"/>
              <w:spacing w:after="0"/>
              <w:rPr>
                <w:sz w:val="20"/>
                <w:szCs w:val="20"/>
                <w:color w:val="auto"/>
              </w:rPr>
            </w:pPr>
            <w:r>
              <w:rPr>
                <w:rFonts w:ascii="Arial" w:cs="Arial" w:eastAsia="Arial" w:hAnsi="Arial"/>
                <w:sz w:val="18"/>
                <w:szCs w:val="18"/>
                <w:color w:val="auto"/>
              </w:rPr>
              <w:t>Consent Required for Tenant’s Alterations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8980" w:type="dxa"/>
            <w:vAlign w:val="bottom"/>
          </w:tcPr>
          <w:p>
            <w:pPr>
              <w:ind w:left="800"/>
              <w:spacing w:after="0"/>
              <w:rPr>
                <w:sz w:val="20"/>
                <w:szCs w:val="20"/>
                <w:color w:val="auto"/>
              </w:rPr>
            </w:pPr>
            <w:r>
              <w:rPr>
                <w:rFonts w:ascii="Arial" w:cs="Arial" w:eastAsia="Arial" w:hAnsi="Arial"/>
                <w:sz w:val="18"/>
                <w:szCs w:val="18"/>
                <w:color w:val="auto"/>
              </w:rPr>
              <w:t>Ownership of Alterations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8980" w:type="dxa"/>
            <w:vAlign w:val="bottom"/>
          </w:tcPr>
          <w:p>
            <w:pPr>
              <w:ind w:left="800"/>
              <w:spacing w:after="0"/>
              <w:rPr>
                <w:sz w:val="20"/>
                <w:szCs w:val="20"/>
                <w:color w:val="auto"/>
              </w:rPr>
            </w:pPr>
            <w:r>
              <w:rPr>
                <w:rFonts w:ascii="Arial" w:cs="Arial" w:eastAsia="Arial" w:hAnsi="Arial"/>
                <w:sz w:val="18"/>
                <w:szCs w:val="18"/>
                <w:color w:val="auto"/>
              </w:rPr>
              <w:t>Construction Requirements for Alterations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8980" w:type="dxa"/>
            <w:vAlign w:val="bottom"/>
          </w:tcPr>
          <w:p>
            <w:pPr>
              <w:ind w:left="800"/>
              <w:spacing w:after="0"/>
              <w:rPr>
                <w:sz w:val="20"/>
                <w:szCs w:val="20"/>
                <w:color w:val="auto"/>
              </w:rPr>
            </w:pPr>
            <w:r>
              <w:rPr>
                <w:rFonts w:ascii="Arial" w:cs="Arial" w:eastAsia="Arial" w:hAnsi="Arial"/>
                <w:sz w:val="18"/>
                <w:szCs w:val="18"/>
                <w:color w:val="auto"/>
              </w:rPr>
              <w:t>Payment for Tenant Alterations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8980" w:type="dxa"/>
            <w:vAlign w:val="bottom"/>
          </w:tcPr>
          <w:p>
            <w:pPr>
              <w:ind w:left="800"/>
              <w:spacing w:after="0"/>
              <w:rPr>
                <w:sz w:val="20"/>
                <w:szCs w:val="20"/>
                <w:color w:val="auto"/>
              </w:rPr>
            </w:pPr>
            <w:r>
              <w:rPr>
                <w:rFonts w:ascii="Arial" w:cs="Arial" w:eastAsia="Arial" w:hAnsi="Arial"/>
                <w:sz w:val="18"/>
                <w:szCs w:val="18"/>
                <w:color w:val="auto"/>
              </w:rPr>
              <w:t>Initial Leasehold Improvements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5</w:t>
            </w:r>
          </w:p>
        </w:tc>
        <w:tc>
          <w:tcPr>
            <w:tcW w:w="8980" w:type="dxa"/>
            <w:vAlign w:val="bottom"/>
          </w:tcPr>
          <w:p>
            <w:pPr>
              <w:ind w:left="120"/>
              <w:spacing w:after="0"/>
              <w:rPr>
                <w:sz w:val="20"/>
                <w:szCs w:val="20"/>
                <w:color w:val="auto"/>
              </w:rPr>
            </w:pPr>
            <w:r>
              <w:rPr>
                <w:rFonts w:ascii="Arial" w:cs="Arial" w:eastAsia="Arial" w:hAnsi="Arial"/>
                <w:sz w:val="18"/>
                <w:szCs w:val="18"/>
                <w:color w:val="auto"/>
              </w:rPr>
              <w:t>RESPONSIBILITY FOR CONDITION OF BUILDING AND PREMISES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8980" w:type="dxa"/>
            <w:vAlign w:val="bottom"/>
          </w:tcPr>
          <w:p>
            <w:pPr>
              <w:ind w:left="800"/>
              <w:spacing w:after="0"/>
              <w:rPr>
                <w:sz w:val="20"/>
                <w:szCs w:val="20"/>
                <w:color w:val="auto"/>
              </w:rPr>
            </w:pPr>
            <w:r>
              <w:rPr>
                <w:rFonts w:ascii="Arial" w:cs="Arial" w:eastAsia="Arial" w:hAnsi="Arial"/>
                <w:sz w:val="18"/>
                <w:szCs w:val="18"/>
                <w:color w:val="auto"/>
              </w:rPr>
              <w:t>Maintenance of Building and Common Areas by Landlord</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8980" w:type="dxa"/>
            <w:vAlign w:val="bottom"/>
          </w:tcPr>
          <w:p>
            <w:pPr>
              <w:ind w:left="800"/>
              <w:spacing w:after="0"/>
              <w:rPr>
                <w:sz w:val="20"/>
                <w:szCs w:val="20"/>
                <w:color w:val="auto"/>
              </w:rPr>
            </w:pPr>
            <w:r>
              <w:rPr>
                <w:rFonts w:ascii="Arial" w:cs="Arial" w:eastAsia="Arial" w:hAnsi="Arial"/>
                <w:sz w:val="18"/>
                <w:szCs w:val="18"/>
                <w:color w:val="auto"/>
              </w:rPr>
              <w:t>Maintenance of Premises by Tenant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8980" w:type="dxa"/>
            <w:vAlign w:val="bottom"/>
          </w:tcPr>
          <w:p>
            <w:pPr>
              <w:ind w:left="800"/>
              <w:spacing w:after="0"/>
              <w:rPr>
                <w:sz w:val="20"/>
                <w:szCs w:val="20"/>
                <w:color w:val="auto"/>
              </w:rPr>
            </w:pPr>
            <w:r>
              <w:rPr>
                <w:rFonts w:ascii="Arial" w:cs="Arial" w:eastAsia="Arial" w:hAnsi="Arial"/>
                <w:sz w:val="18"/>
                <w:szCs w:val="18"/>
                <w:color w:val="auto"/>
              </w:rPr>
              <w:t>Delays in Landlord’s Services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8980" w:type="dxa"/>
            <w:vAlign w:val="bottom"/>
          </w:tcPr>
          <w:p>
            <w:pPr>
              <w:ind w:left="800"/>
              <w:spacing w:after="0"/>
              <w:rPr>
                <w:sz w:val="20"/>
                <w:szCs w:val="20"/>
                <w:color w:val="auto"/>
              </w:rPr>
            </w:pPr>
            <w:r>
              <w:rPr>
                <w:rFonts w:ascii="Arial" w:cs="Arial" w:eastAsia="Arial" w:hAnsi="Arial"/>
                <w:sz w:val="18"/>
                <w:szCs w:val="18"/>
                <w:color w:val="auto"/>
              </w:rPr>
              <w:t>Tenant’s Responsibilities Regarding Hazardous Materials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348"/>
        </w:trPr>
        <w:tc>
          <w:tcPr>
            <w:tcW w:w="1500" w:type="dxa"/>
            <w:vAlign w:val="bottom"/>
            <w:tcBorders>
              <w:bottom w:val="single" w:sz="8" w:color="808080"/>
            </w:tcBorders>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10" w:name="page511"/>
    <w:bookmarkEnd w:id="510"/>
    <w:tbl>
      <w:tblPr>
        <w:tblLayout w:type="fixed"/>
        <w:tblInd w:w="0" w:type="dxa"/>
        <w:tblCellMar>
          <w:top w:w="0" w:type="dxa"/>
          <w:left w:w="0" w:type="dxa"/>
          <w:bottom w:w="0" w:type="dxa"/>
          <w:right w:w="0" w:type="dxa"/>
        </w:tblCellMar>
      </w:tblP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5.5</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Responsibilities Regarding Hazardous Materials</w:t>
            </w:r>
          </w:p>
        </w:tc>
        <w:tc>
          <w:tcPr>
            <w:tcW w:w="2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6</w:t>
            </w:r>
          </w:p>
        </w:tc>
        <w:tc>
          <w:tcPr>
            <w:tcW w:w="7820" w:type="dxa"/>
            <w:vAlign w:val="bottom"/>
          </w:tcPr>
          <w:p>
            <w:pPr>
              <w:ind w:left="120"/>
              <w:spacing w:after="0"/>
              <w:rPr>
                <w:sz w:val="20"/>
                <w:szCs w:val="20"/>
                <w:color w:val="auto"/>
              </w:rPr>
            </w:pPr>
            <w:r>
              <w:rPr>
                <w:rFonts w:ascii="Arial" w:cs="Arial" w:eastAsia="Arial" w:hAnsi="Arial"/>
                <w:sz w:val="18"/>
                <w:szCs w:val="18"/>
                <w:color w:val="auto"/>
              </w:rPr>
              <w:t>TENANT COVENANTS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7820" w:type="dxa"/>
            <w:vAlign w:val="bottom"/>
          </w:tcPr>
          <w:p>
            <w:pPr>
              <w:ind w:left="800"/>
              <w:spacing w:after="0"/>
              <w:rPr>
                <w:sz w:val="20"/>
                <w:szCs w:val="20"/>
                <w:color w:val="auto"/>
              </w:rPr>
            </w:pPr>
            <w:r>
              <w:rPr>
                <w:rFonts w:ascii="Arial" w:cs="Arial" w:eastAsia="Arial" w:hAnsi="Arial"/>
                <w:sz w:val="18"/>
                <w:szCs w:val="18"/>
                <w:color w:val="auto"/>
              </w:rPr>
              <w:t>Permitted Uses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7820" w:type="dxa"/>
            <w:vAlign w:val="bottom"/>
          </w:tcPr>
          <w:p>
            <w:pPr>
              <w:ind w:left="800"/>
              <w:spacing w:after="0"/>
              <w:rPr>
                <w:sz w:val="20"/>
                <w:szCs w:val="20"/>
                <w:color w:val="auto"/>
              </w:rPr>
            </w:pPr>
            <w:r>
              <w:rPr>
                <w:rFonts w:ascii="Arial" w:cs="Arial" w:eastAsia="Arial" w:hAnsi="Arial"/>
                <w:sz w:val="18"/>
                <w:szCs w:val="18"/>
                <w:color w:val="auto"/>
              </w:rPr>
              <w:t>Laws and Regulations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6.3</w:t>
            </w:r>
          </w:p>
        </w:tc>
        <w:tc>
          <w:tcPr>
            <w:tcW w:w="7820" w:type="dxa"/>
            <w:vAlign w:val="bottom"/>
          </w:tcPr>
          <w:p>
            <w:pPr>
              <w:ind w:left="800"/>
              <w:spacing w:after="0"/>
              <w:rPr>
                <w:sz w:val="20"/>
                <w:szCs w:val="20"/>
                <w:color w:val="auto"/>
              </w:rPr>
            </w:pPr>
            <w:r>
              <w:rPr>
                <w:rFonts w:ascii="Arial" w:cs="Arial" w:eastAsia="Arial" w:hAnsi="Arial"/>
                <w:sz w:val="18"/>
                <w:szCs w:val="18"/>
                <w:color w:val="auto"/>
              </w:rPr>
              <w:t>Rules and Regulations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6.4</w:t>
            </w:r>
          </w:p>
        </w:tc>
        <w:tc>
          <w:tcPr>
            <w:tcW w:w="7820" w:type="dxa"/>
            <w:vAlign w:val="bottom"/>
          </w:tcPr>
          <w:p>
            <w:pPr>
              <w:ind w:left="800"/>
              <w:spacing w:after="0"/>
              <w:rPr>
                <w:sz w:val="20"/>
                <w:szCs w:val="20"/>
                <w:color w:val="auto"/>
              </w:rPr>
            </w:pPr>
            <w:r>
              <w:rPr>
                <w:rFonts w:ascii="Arial" w:cs="Arial" w:eastAsia="Arial" w:hAnsi="Arial"/>
                <w:sz w:val="18"/>
                <w:szCs w:val="18"/>
                <w:color w:val="auto"/>
              </w:rPr>
              <w:t>Safety Compliance</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6.5</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Entry</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6.6</w:t>
            </w:r>
          </w:p>
        </w:tc>
        <w:tc>
          <w:tcPr>
            <w:tcW w:w="7820" w:type="dxa"/>
            <w:vAlign w:val="bottom"/>
          </w:tcPr>
          <w:p>
            <w:pPr>
              <w:ind w:left="800"/>
              <w:spacing w:after="0"/>
              <w:rPr>
                <w:sz w:val="20"/>
                <w:szCs w:val="20"/>
                <w:color w:val="auto"/>
              </w:rPr>
            </w:pPr>
            <w:r>
              <w:rPr>
                <w:rFonts w:ascii="Arial" w:cs="Arial" w:eastAsia="Arial" w:hAnsi="Arial"/>
                <w:sz w:val="18"/>
                <w:szCs w:val="18"/>
                <w:color w:val="auto"/>
              </w:rPr>
              <w:t>Floor Load</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6.7</w:t>
            </w:r>
          </w:p>
        </w:tc>
        <w:tc>
          <w:tcPr>
            <w:tcW w:w="7820" w:type="dxa"/>
            <w:vAlign w:val="bottom"/>
          </w:tcPr>
          <w:p>
            <w:pPr>
              <w:ind w:left="800"/>
              <w:spacing w:after="0"/>
              <w:rPr>
                <w:sz w:val="20"/>
                <w:szCs w:val="20"/>
                <w:color w:val="auto"/>
              </w:rPr>
            </w:pPr>
            <w:r>
              <w:rPr>
                <w:rFonts w:ascii="Arial" w:cs="Arial" w:eastAsia="Arial" w:hAnsi="Arial"/>
                <w:sz w:val="18"/>
                <w:szCs w:val="18"/>
                <w:color w:val="auto"/>
              </w:rPr>
              <w:t>Personal Property Tax</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6.8</w:t>
            </w:r>
          </w:p>
        </w:tc>
        <w:tc>
          <w:tcPr>
            <w:tcW w:w="7820" w:type="dxa"/>
            <w:vAlign w:val="bottom"/>
          </w:tcPr>
          <w:p>
            <w:pPr>
              <w:ind w:left="800"/>
              <w:spacing w:after="0"/>
              <w:rPr>
                <w:sz w:val="20"/>
                <w:szCs w:val="20"/>
                <w:color w:val="auto"/>
              </w:rPr>
            </w:pPr>
            <w:r>
              <w:rPr>
                <w:rFonts w:ascii="Arial" w:cs="Arial" w:eastAsia="Arial" w:hAnsi="Arial"/>
                <w:sz w:val="18"/>
                <w:szCs w:val="18"/>
                <w:color w:val="auto"/>
              </w:rPr>
              <w:t>Assignment and Subleases</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7</w:t>
            </w:r>
          </w:p>
        </w:tc>
        <w:tc>
          <w:tcPr>
            <w:tcW w:w="7820" w:type="dxa"/>
            <w:vAlign w:val="bottom"/>
          </w:tcPr>
          <w:p>
            <w:pPr>
              <w:ind w:left="120"/>
              <w:spacing w:after="0"/>
              <w:rPr>
                <w:sz w:val="20"/>
                <w:szCs w:val="20"/>
                <w:color w:val="auto"/>
              </w:rPr>
            </w:pPr>
            <w:r>
              <w:rPr>
                <w:rFonts w:ascii="Arial" w:cs="Arial" w:eastAsia="Arial" w:hAnsi="Arial"/>
                <w:sz w:val="18"/>
                <w:szCs w:val="18"/>
                <w:color w:val="auto"/>
              </w:rPr>
              <w:t>INDEMNITY AND INSURANCE</w:t>
            </w:r>
          </w:p>
        </w:tc>
        <w:tc>
          <w:tcPr>
            <w:tcW w:w="2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7820" w:type="dxa"/>
            <w:vAlign w:val="bottom"/>
          </w:tcPr>
          <w:p>
            <w:pPr>
              <w:ind w:left="800"/>
              <w:spacing w:after="0"/>
              <w:rPr>
                <w:sz w:val="20"/>
                <w:szCs w:val="20"/>
                <w:color w:val="auto"/>
              </w:rPr>
            </w:pPr>
            <w:r>
              <w:rPr>
                <w:rFonts w:ascii="Arial" w:cs="Arial" w:eastAsia="Arial" w:hAnsi="Arial"/>
                <w:sz w:val="18"/>
                <w:szCs w:val="18"/>
                <w:color w:val="auto"/>
              </w:rPr>
              <w:t>Indemnity</w:t>
            </w:r>
          </w:p>
        </w:tc>
        <w:tc>
          <w:tcPr>
            <w:tcW w:w="2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7820" w:type="dxa"/>
            <w:vAlign w:val="bottom"/>
          </w:tcPr>
          <w:p>
            <w:pPr>
              <w:ind w:left="800"/>
              <w:spacing w:after="0"/>
              <w:rPr>
                <w:sz w:val="20"/>
                <w:szCs w:val="20"/>
                <w:color w:val="auto"/>
              </w:rPr>
            </w:pPr>
            <w:r>
              <w:rPr>
                <w:rFonts w:ascii="Arial" w:cs="Arial" w:eastAsia="Arial" w:hAnsi="Arial"/>
                <w:sz w:val="18"/>
                <w:szCs w:val="18"/>
                <w:color w:val="auto"/>
              </w:rPr>
              <w:t>Liability Insurance</w:t>
            </w:r>
          </w:p>
        </w:tc>
        <w:tc>
          <w:tcPr>
            <w:tcW w:w="2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7.3</w:t>
            </w:r>
          </w:p>
        </w:tc>
        <w:tc>
          <w:tcPr>
            <w:tcW w:w="7820" w:type="dxa"/>
            <w:vAlign w:val="bottom"/>
          </w:tcPr>
          <w:p>
            <w:pPr>
              <w:ind w:left="800"/>
              <w:spacing w:after="0"/>
              <w:rPr>
                <w:sz w:val="20"/>
                <w:szCs w:val="20"/>
                <w:color w:val="auto"/>
              </w:rPr>
            </w:pPr>
            <w:r>
              <w:rPr>
                <w:rFonts w:ascii="Arial" w:cs="Arial" w:eastAsia="Arial" w:hAnsi="Arial"/>
                <w:sz w:val="18"/>
                <w:szCs w:val="18"/>
                <w:color w:val="auto"/>
              </w:rPr>
              <w:t>Alterations, Improvements and Betterments; Personal Property at Risk</w:t>
            </w:r>
          </w:p>
        </w:tc>
        <w:tc>
          <w:tcPr>
            <w:tcW w:w="2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7.4</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Insurance</w:t>
            </w: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7.5</w:t>
            </w:r>
          </w:p>
        </w:tc>
        <w:tc>
          <w:tcPr>
            <w:tcW w:w="7820" w:type="dxa"/>
            <w:vAlign w:val="bottom"/>
          </w:tcPr>
          <w:p>
            <w:pPr>
              <w:ind w:left="800"/>
              <w:spacing w:after="0"/>
              <w:rPr>
                <w:sz w:val="20"/>
                <w:szCs w:val="20"/>
                <w:color w:val="auto"/>
              </w:rPr>
            </w:pPr>
            <w:r>
              <w:rPr>
                <w:rFonts w:ascii="Arial" w:cs="Arial" w:eastAsia="Arial" w:hAnsi="Arial"/>
                <w:sz w:val="18"/>
                <w:szCs w:val="18"/>
                <w:color w:val="auto"/>
              </w:rPr>
              <w:t>Waiver of Subrogation</w:t>
            </w: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8</w:t>
            </w:r>
          </w:p>
        </w:tc>
        <w:tc>
          <w:tcPr>
            <w:tcW w:w="7820" w:type="dxa"/>
            <w:vAlign w:val="bottom"/>
          </w:tcPr>
          <w:p>
            <w:pPr>
              <w:ind w:left="120"/>
              <w:spacing w:after="0"/>
              <w:rPr>
                <w:sz w:val="20"/>
                <w:szCs w:val="20"/>
                <w:color w:val="auto"/>
              </w:rPr>
            </w:pPr>
            <w:r>
              <w:rPr>
                <w:rFonts w:ascii="Arial" w:cs="Arial" w:eastAsia="Arial" w:hAnsi="Arial"/>
                <w:sz w:val="18"/>
                <w:szCs w:val="18"/>
                <w:color w:val="auto"/>
              </w:rPr>
              <w:t>CASUALTY AND EMINENT DOMAIN</w:t>
            </w: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7820" w:type="dxa"/>
            <w:vAlign w:val="bottom"/>
          </w:tcPr>
          <w:p>
            <w:pPr>
              <w:ind w:left="800"/>
              <w:spacing w:after="0"/>
              <w:rPr>
                <w:sz w:val="20"/>
                <w:szCs w:val="20"/>
                <w:color w:val="auto"/>
              </w:rPr>
            </w:pPr>
            <w:r>
              <w:rPr>
                <w:rFonts w:ascii="Arial" w:cs="Arial" w:eastAsia="Arial" w:hAnsi="Arial"/>
                <w:sz w:val="18"/>
                <w:szCs w:val="18"/>
                <w:color w:val="auto"/>
              </w:rPr>
              <w:t>Restoration Following Casualties</w:t>
            </w: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Termination Election</w:t>
            </w:r>
          </w:p>
        </w:tc>
        <w:tc>
          <w:tcPr>
            <w:tcW w:w="2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7820" w:type="dxa"/>
            <w:vAlign w:val="bottom"/>
          </w:tcPr>
          <w:p>
            <w:pPr>
              <w:ind w:left="800"/>
              <w:spacing w:after="0"/>
              <w:rPr>
                <w:sz w:val="20"/>
                <w:szCs w:val="20"/>
                <w:color w:val="auto"/>
              </w:rPr>
            </w:pPr>
            <w:r>
              <w:rPr>
                <w:rFonts w:ascii="Arial" w:cs="Arial" w:eastAsia="Arial" w:hAnsi="Arial"/>
                <w:sz w:val="18"/>
                <w:szCs w:val="18"/>
                <w:color w:val="auto"/>
              </w:rPr>
              <w:t>Tenant’s Termination Elections</w:t>
            </w:r>
          </w:p>
        </w:tc>
        <w:tc>
          <w:tcPr>
            <w:tcW w:w="2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8.4</w:t>
            </w:r>
          </w:p>
        </w:tc>
        <w:tc>
          <w:tcPr>
            <w:tcW w:w="7820" w:type="dxa"/>
            <w:vAlign w:val="bottom"/>
          </w:tcPr>
          <w:p>
            <w:pPr>
              <w:ind w:left="800"/>
              <w:spacing w:after="0"/>
              <w:rPr>
                <w:sz w:val="20"/>
                <w:szCs w:val="20"/>
                <w:color w:val="auto"/>
              </w:rPr>
            </w:pPr>
            <w:r>
              <w:rPr>
                <w:rFonts w:ascii="Arial" w:cs="Arial" w:eastAsia="Arial" w:hAnsi="Arial"/>
                <w:sz w:val="18"/>
                <w:szCs w:val="18"/>
                <w:color w:val="auto"/>
              </w:rPr>
              <w:t>Casualty at Expiration of Lease</w:t>
            </w:r>
          </w:p>
        </w:tc>
        <w:tc>
          <w:tcPr>
            <w:tcW w:w="2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8.5</w:t>
            </w:r>
          </w:p>
        </w:tc>
        <w:tc>
          <w:tcPr>
            <w:tcW w:w="7820" w:type="dxa"/>
            <w:vAlign w:val="bottom"/>
          </w:tcPr>
          <w:p>
            <w:pPr>
              <w:ind w:left="800"/>
              <w:spacing w:after="0"/>
              <w:rPr>
                <w:sz w:val="20"/>
                <w:szCs w:val="20"/>
                <w:color w:val="auto"/>
              </w:rPr>
            </w:pPr>
            <w:r>
              <w:rPr>
                <w:rFonts w:ascii="Arial" w:cs="Arial" w:eastAsia="Arial" w:hAnsi="Arial"/>
                <w:sz w:val="18"/>
                <w:szCs w:val="18"/>
                <w:color w:val="auto"/>
              </w:rPr>
              <w:t>Eminent Domain</w:t>
            </w:r>
          </w:p>
        </w:tc>
        <w:tc>
          <w:tcPr>
            <w:tcW w:w="2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8.6</w:t>
            </w:r>
          </w:p>
        </w:tc>
        <w:tc>
          <w:tcPr>
            <w:tcW w:w="7820" w:type="dxa"/>
            <w:vAlign w:val="bottom"/>
          </w:tcPr>
          <w:p>
            <w:pPr>
              <w:ind w:left="800"/>
              <w:spacing w:after="0"/>
              <w:rPr>
                <w:sz w:val="20"/>
                <w:szCs w:val="20"/>
                <w:color w:val="auto"/>
              </w:rPr>
            </w:pPr>
            <w:r>
              <w:rPr>
                <w:rFonts w:ascii="Arial" w:cs="Arial" w:eastAsia="Arial" w:hAnsi="Arial"/>
                <w:sz w:val="18"/>
                <w:szCs w:val="18"/>
                <w:color w:val="auto"/>
              </w:rPr>
              <w:t>Rent After Casualty or Taking</w:t>
            </w:r>
          </w:p>
        </w:tc>
        <w:tc>
          <w:tcPr>
            <w:tcW w:w="2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8.7</w:t>
            </w:r>
          </w:p>
        </w:tc>
        <w:tc>
          <w:tcPr>
            <w:tcW w:w="7820" w:type="dxa"/>
            <w:vAlign w:val="bottom"/>
          </w:tcPr>
          <w:p>
            <w:pPr>
              <w:ind w:left="800"/>
              <w:spacing w:after="0"/>
              <w:rPr>
                <w:sz w:val="20"/>
                <w:szCs w:val="20"/>
                <w:color w:val="auto"/>
              </w:rPr>
            </w:pPr>
            <w:r>
              <w:rPr>
                <w:rFonts w:ascii="Arial" w:cs="Arial" w:eastAsia="Arial" w:hAnsi="Arial"/>
                <w:sz w:val="18"/>
                <w:szCs w:val="18"/>
                <w:color w:val="auto"/>
              </w:rPr>
              <w:t>Temporary Taking</w:t>
            </w:r>
          </w:p>
        </w:tc>
        <w:tc>
          <w:tcPr>
            <w:tcW w:w="2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8.8</w:t>
            </w:r>
          </w:p>
        </w:tc>
        <w:tc>
          <w:tcPr>
            <w:tcW w:w="7820" w:type="dxa"/>
            <w:vAlign w:val="bottom"/>
          </w:tcPr>
          <w:p>
            <w:pPr>
              <w:ind w:left="800"/>
              <w:spacing w:after="0"/>
              <w:rPr>
                <w:sz w:val="20"/>
                <w:szCs w:val="20"/>
                <w:color w:val="auto"/>
              </w:rPr>
            </w:pPr>
            <w:r>
              <w:rPr>
                <w:rFonts w:ascii="Arial" w:cs="Arial" w:eastAsia="Arial" w:hAnsi="Arial"/>
                <w:sz w:val="18"/>
                <w:szCs w:val="18"/>
                <w:color w:val="auto"/>
              </w:rPr>
              <w:t>Taking Award</w:t>
            </w:r>
          </w:p>
        </w:tc>
        <w:tc>
          <w:tcPr>
            <w:tcW w:w="2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9</w:t>
            </w:r>
          </w:p>
        </w:tc>
        <w:tc>
          <w:tcPr>
            <w:tcW w:w="7820" w:type="dxa"/>
            <w:vAlign w:val="bottom"/>
          </w:tcPr>
          <w:p>
            <w:pPr>
              <w:ind w:left="120"/>
              <w:spacing w:after="0"/>
              <w:rPr>
                <w:sz w:val="20"/>
                <w:szCs w:val="20"/>
                <w:color w:val="auto"/>
              </w:rPr>
            </w:pPr>
            <w:r>
              <w:rPr>
                <w:rFonts w:ascii="Arial" w:cs="Arial" w:eastAsia="Arial" w:hAnsi="Arial"/>
                <w:sz w:val="18"/>
                <w:szCs w:val="18"/>
                <w:color w:val="auto"/>
              </w:rPr>
              <w:t>DEFAULT</w:t>
            </w:r>
          </w:p>
        </w:tc>
        <w:tc>
          <w:tcPr>
            <w:tcW w:w="2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7820" w:type="dxa"/>
            <w:vAlign w:val="bottom"/>
          </w:tcPr>
          <w:p>
            <w:pPr>
              <w:ind w:left="800"/>
              <w:spacing w:after="0"/>
              <w:rPr>
                <w:sz w:val="20"/>
                <w:szCs w:val="20"/>
                <w:color w:val="auto"/>
              </w:rPr>
            </w:pPr>
            <w:r>
              <w:rPr>
                <w:rFonts w:ascii="Arial" w:cs="Arial" w:eastAsia="Arial" w:hAnsi="Arial"/>
                <w:sz w:val="18"/>
                <w:szCs w:val="18"/>
                <w:color w:val="auto"/>
              </w:rPr>
              <w:t>Tenant’s Default</w:t>
            </w:r>
          </w:p>
        </w:tc>
        <w:tc>
          <w:tcPr>
            <w:tcW w:w="2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7820" w:type="dxa"/>
            <w:vAlign w:val="bottom"/>
          </w:tcPr>
          <w:p>
            <w:pPr>
              <w:ind w:left="800"/>
              <w:spacing w:after="0"/>
              <w:rPr>
                <w:sz w:val="20"/>
                <w:szCs w:val="20"/>
                <w:color w:val="auto"/>
              </w:rPr>
            </w:pPr>
            <w:r>
              <w:rPr>
                <w:rFonts w:ascii="Arial" w:cs="Arial" w:eastAsia="Arial" w:hAnsi="Arial"/>
                <w:sz w:val="18"/>
                <w:szCs w:val="18"/>
                <w:color w:val="auto"/>
              </w:rPr>
              <w:t>Damages</w:t>
            </w:r>
          </w:p>
        </w:tc>
        <w:tc>
          <w:tcPr>
            <w:tcW w:w="2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7820" w:type="dxa"/>
            <w:vAlign w:val="bottom"/>
          </w:tcPr>
          <w:p>
            <w:pPr>
              <w:ind w:left="800"/>
              <w:spacing w:after="0"/>
              <w:rPr>
                <w:sz w:val="20"/>
                <w:szCs w:val="20"/>
                <w:color w:val="auto"/>
              </w:rPr>
            </w:pPr>
            <w:r>
              <w:rPr>
                <w:rFonts w:ascii="Arial" w:cs="Arial" w:eastAsia="Arial" w:hAnsi="Arial"/>
                <w:sz w:val="18"/>
                <w:szCs w:val="18"/>
                <w:color w:val="auto"/>
              </w:rPr>
              <w:t>Cumulative Rights</w:t>
            </w:r>
          </w:p>
        </w:tc>
        <w:tc>
          <w:tcPr>
            <w:tcW w:w="2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9.4</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Self help</w:t>
            </w:r>
          </w:p>
        </w:tc>
        <w:tc>
          <w:tcPr>
            <w:tcW w:w="2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9.5</w:t>
            </w:r>
          </w:p>
        </w:tc>
        <w:tc>
          <w:tcPr>
            <w:tcW w:w="7820" w:type="dxa"/>
            <w:vAlign w:val="bottom"/>
          </w:tcPr>
          <w:p>
            <w:pPr>
              <w:ind w:left="800"/>
              <w:spacing w:after="0"/>
              <w:rPr>
                <w:sz w:val="20"/>
                <w:szCs w:val="20"/>
                <w:color w:val="auto"/>
              </w:rPr>
            </w:pPr>
            <w:r>
              <w:rPr>
                <w:rFonts w:ascii="Arial" w:cs="Arial" w:eastAsia="Arial" w:hAnsi="Arial"/>
                <w:sz w:val="18"/>
                <w:szCs w:val="18"/>
                <w:color w:val="auto"/>
              </w:rPr>
              <w:t>Enforcement Expenses; Litigation</w:t>
            </w:r>
          </w:p>
        </w:tc>
        <w:tc>
          <w:tcPr>
            <w:tcW w:w="2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9.6</w:t>
            </w:r>
          </w:p>
        </w:tc>
        <w:tc>
          <w:tcPr>
            <w:tcW w:w="7820" w:type="dxa"/>
            <w:vAlign w:val="bottom"/>
          </w:tcPr>
          <w:p>
            <w:pPr>
              <w:ind w:left="800"/>
              <w:spacing w:after="0"/>
              <w:rPr>
                <w:sz w:val="20"/>
                <w:szCs w:val="20"/>
                <w:color w:val="auto"/>
              </w:rPr>
            </w:pPr>
            <w:r>
              <w:rPr>
                <w:rFonts w:ascii="Arial" w:cs="Arial" w:eastAsia="Arial" w:hAnsi="Arial"/>
                <w:sz w:val="18"/>
                <w:szCs w:val="18"/>
                <w:color w:val="auto"/>
              </w:rPr>
              <w:t>Late Charges; Interest on Overdue Payments</w:t>
            </w:r>
          </w:p>
        </w:tc>
        <w:tc>
          <w:tcPr>
            <w:tcW w:w="2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9.7</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Right to Notice and Cure</w:t>
            </w:r>
          </w:p>
        </w:tc>
        <w:tc>
          <w:tcPr>
            <w:tcW w:w="2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10</w:t>
            </w:r>
          </w:p>
        </w:tc>
        <w:tc>
          <w:tcPr>
            <w:tcW w:w="7820" w:type="dxa"/>
            <w:vAlign w:val="bottom"/>
          </w:tcPr>
          <w:p>
            <w:pPr>
              <w:ind w:left="120"/>
              <w:spacing w:after="0"/>
              <w:rPr>
                <w:sz w:val="20"/>
                <w:szCs w:val="20"/>
                <w:color w:val="auto"/>
              </w:rPr>
            </w:pPr>
            <w:r>
              <w:rPr>
                <w:rFonts w:ascii="Arial" w:cs="Arial" w:eastAsia="Arial" w:hAnsi="Arial"/>
                <w:sz w:val="18"/>
                <w:szCs w:val="18"/>
                <w:color w:val="auto"/>
              </w:rPr>
              <w:t>MORTGAGEES’ RIGHTS</w:t>
            </w:r>
          </w:p>
        </w:tc>
        <w:tc>
          <w:tcPr>
            <w:tcW w:w="2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500" w:type="dxa"/>
            <w:vAlign w:val="bottom"/>
          </w:tcPr>
          <w:p>
            <w:pPr>
              <w:spacing w:after="0"/>
              <w:rPr>
                <w:sz w:val="24"/>
                <w:szCs w:val="24"/>
                <w:color w:val="auto"/>
              </w:rPr>
            </w:pPr>
          </w:p>
        </w:tc>
        <w:tc>
          <w:tcPr>
            <w:tcW w:w="7820" w:type="dxa"/>
            <w:vAlign w:val="bottom"/>
          </w:tcPr>
          <w:p>
            <w:pPr>
              <w:ind w:left="4160"/>
              <w:spacing w:after="0"/>
              <w:rPr>
                <w:sz w:val="20"/>
                <w:szCs w:val="20"/>
                <w:color w:val="auto"/>
              </w:rPr>
            </w:pPr>
            <w:r>
              <w:rPr>
                <w:rFonts w:ascii="Arial" w:cs="Arial" w:eastAsia="Arial" w:hAnsi="Arial"/>
                <w:sz w:val="18"/>
                <w:szCs w:val="18"/>
                <w:color w:val="auto"/>
              </w:rPr>
              <w:t>2</w:t>
            </w:r>
          </w:p>
        </w:tc>
        <w:tc>
          <w:tcPr>
            <w:tcW w:w="2140" w:type="dxa"/>
            <w:vAlign w:val="bottom"/>
          </w:tcPr>
          <w:p>
            <w:pPr>
              <w:spacing w:after="0"/>
              <w:rPr>
                <w:sz w:val="24"/>
                <w:szCs w:val="24"/>
                <w:color w:val="auto"/>
              </w:rPr>
            </w:pPr>
          </w:p>
        </w:tc>
      </w:tr>
      <w:tr>
        <w:trPr>
          <w:trHeight w:val="132"/>
        </w:trPr>
        <w:tc>
          <w:tcPr>
            <w:tcW w:w="1500" w:type="dxa"/>
            <w:vAlign w:val="bottom"/>
            <w:tcBorders>
              <w:bottom w:val="single" w:sz="8" w:color="808080"/>
            </w:tcBorders>
          </w:tcPr>
          <w:p>
            <w:pPr>
              <w:spacing w:after="0"/>
              <w:rPr>
                <w:sz w:val="11"/>
                <w:szCs w:val="11"/>
                <w:color w:val="auto"/>
              </w:rPr>
            </w:pPr>
          </w:p>
        </w:tc>
        <w:tc>
          <w:tcPr>
            <w:tcW w:w="782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11" w:name="page512"/>
    <w:bookmarkEnd w:id="511"/>
    <w:tbl>
      <w:tblPr>
        <w:tblLayout w:type="fixed"/>
        <w:tblInd w:w="0" w:type="dxa"/>
        <w:tblCellMar>
          <w:top w:w="0" w:type="dxa"/>
          <w:left w:w="0" w:type="dxa"/>
          <w:bottom w:w="0" w:type="dxa"/>
          <w:right w:w="0" w:type="dxa"/>
        </w:tblCellMar>
      </w:tblP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10.1</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Subordination</w:t>
            </w:r>
          </w:p>
        </w:tc>
        <w:tc>
          <w:tcPr>
            <w:tcW w:w="2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10.2</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Attornment; Prepayment of Rent not to Bind Mortgagee</w:t>
            </w:r>
          </w:p>
        </w:tc>
        <w:tc>
          <w:tcPr>
            <w:tcW w:w="2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10.3</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Tenant’s Duty to Notify Mortgagee and Mortgagee’s Ability to Cure</w:t>
            </w:r>
          </w:p>
        </w:tc>
        <w:tc>
          <w:tcPr>
            <w:tcW w:w="2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10.4</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Estoppel Certificates</w:t>
            </w:r>
          </w:p>
        </w:tc>
        <w:tc>
          <w:tcPr>
            <w:tcW w:w="2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10.5</w:t>
            </w:r>
          </w:p>
        </w:tc>
        <w:tc>
          <w:tcPr>
            <w:tcW w:w="4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Assignment of Rents</w:t>
            </w:r>
          </w:p>
        </w:tc>
        <w:tc>
          <w:tcPr>
            <w:tcW w:w="2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ARTICLE 11</w:t>
            </w:r>
          </w:p>
        </w:tc>
        <w:tc>
          <w:tcPr>
            <w:tcW w:w="7700" w:type="dxa"/>
            <w:vAlign w:val="bottom"/>
            <w:gridSpan w:val="2"/>
          </w:tcPr>
          <w:p>
            <w:pPr>
              <w:ind w:left="80"/>
              <w:spacing w:after="0"/>
              <w:rPr>
                <w:sz w:val="20"/>
                <w:szCs w:val="20"/>
                <w:color w:val="auto"/>
              </w:rPr>
            </w:pPr>
            <w:r>
              <w:rPr>
                <w:rFonts w:ascii="Arial" w:cs="Arial" w:eastAsia="Arial" w:hAnsi="Arial"/>
                <w:sz w:val="18"/>
                <w:szCs w:val="18"/>
                <w:color w:val="auto"/>
              </w:rPr>
              <w:t>SECURITY DEPOSIT</w:t>
            </w:r>
          </w:p>
        </w:tc>
        <w:tc>
          <w:tcPr>
            <w:tcW w:w="2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ARTICLE 12</w:t>
            </w:r>
          </w:p>
        </w:tc>
        <w:tc>
          <w:tcPr>
            <w:tcW w:w="7700" w:type="dxa"/>
            <w:vAlign w:val="bottom"/>
            <w:gridSpan w:val="2"/>
          </w:tcPr>
          <w:p>
            <w:pPr>
              <w:ind w:left="80"/>
              <w:spacing w:after="0"/>
              <w:rPr>
                <w:sz w:val="20"/>
                <w:szCs w:val="20"/>
                <w:color w:val="auto"/>
              </w:rPr>
            </w:pPr>
            <w:r>
              <w:rPr>
                <w:rFonts w:ascii="Arial" w:cs="Arial" w:eastAsia="Arial" w:hAnsi="Arial"/>
                <w:sz w:val="18"/>
                <w:szCs w:val="18"/>
                <w:color w:val="auto"/>
              </w:rPr>
              <w:t>MISCELLANEOUS</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12.1</w:t>
            </w:r>
          </w:p>
        </w:tc>
        <w:tc>
          <w:tcPr>
            <w:tcW w:w="420" w:type="dxa"/>
            <w:vAlign w:val="bottom"/>
          </w:tcPr>
          <w:p>
            <w:pPr>
              <w:spacing w:after="0"/>
              <w:rPr>
                <w:sz w:val="24"/>
                <w:szCs w:val="24"/>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Notice of Lease</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12.2</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Notices</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12.3</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Successors and Limitation on Liability</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12.4</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Waivers</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12.5</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Acceptance of Partial Payments of Rent</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12.6</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Interpretation and Partial Invalidity</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12.7</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Quiet Enjoyment</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12.8</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Brokerage</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12.9</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Surrender of Premises and Holding Over</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12.10</w:t>
            </w:r>
          </w:p>
        </w:tc>
        <w:tc>
          <w:tcPr>
            <w:tcW w:w="7280" w:type="dxa"/>
            <w:vAlign w:val="bottom"/>
          </w:tcPr>
          <w:p>
            <w:pPr>
              <w:ind w:left="340"/>
              <w:spacing w:after="0"/>
              <w:rPr>
                <w:sz w:val="20"/>
                <w:szCs w:val="20"/>
                <w:color w:val="auto"/>
              </w:rPr>
            </w:pPr>
            <w:r>
              <w:rPr>
                <w:rFonts w:ascii="Arial" w:cs="Arial" w:eastAsia="Arial" w:hAnsi="Arial"/>
                <w:sz w:val="18"/>
                <w:szCs w:val="18"/>
                <w:color w:val="auto"/>
              </w:rPr>
              <w:t>Financial Reporting</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88"/>
              </w:rPr>
              <w:t>Section 12.11</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No Consequential Damages</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12.12</w:t>
            </w:r>
          </w:p>
        </w:tc>
        <w:tc>
          <w:tcPr>
            <w:tcW w:w="728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12.13</w:t>
            </w:r>
          </w:p>
        </w:tc>
        <w:tc>
          <w:tcPr>
            <w:tcW w:w="7280" w:type="dxa"/>
            <w:vAlign w:val="bottom"/>
          </w:tcPr>
          <w:p>
            <w:pPr>
              <w:ind w:left="340"/>
              <w:spacing w:after="0"/>
              <w:rPr>
                <w:sz w:val="20"/>
                <w:szCs w:val="20"/>
                <w:color w:val="auto"/>
              </w:rPr>
            </w:pPr>
            <w:r>
              <w:rPr>
                <w:rFonts w:ascii="Arial" w:cs="Arial" w:eastAsia="Arial" w:hAnsi="Arial"/>
                <w:sz w:val="18"/>
                <w:szCs w:val="18"/>
                <w:color w:val="auto"/>
              </w:rPr>
              <w:t>Signage</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12.14</w:t>
            </w:r>
          </w:p>
        </w:tc>
        <w:tc>
          <w:tcPr>
            <w:tcW w:w="7280" w:type="dxa"/>
            <w:vAlign w:val="bottom"/>
          </w:tcPr>
          <w:p>
            <w:pPr>
              <w:ind w:left="340"/>
              <w:spacing w:after="0"/>
              <w:rPr>
                <w:sz w:val="20"/>
                <w:szCs w:val="20"/>
                <w:color w:val="auto"/>
              </w:rPr>
            </w:pPr>
            <w:r>
              <w:rPr>
                <w:rFonts w:ascii="Arial" w:cs="Arial" w:eastAsia="Arial" w:hAnsi="Arial"/>
                <w:sz w:val="18"/>
                <w:szCs w:val="18"/>
                <w:color w:val="auto"/>
              </w:rPr>
              <w:t>Ground Lease</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12.15</w:t>
            </w:r>
          </w:p>
        </w:tc>
        <w:tc>
          <w:tcPr>
            <w:tcW w:w="7280" w:type="dxa"/>
            <w:vAlign w:val="bottom"/>
          </w:tcPr>
          <w:p>
            <w:pPr>
              <w:ind w:left="340"/>
              <w:spacing w:after="0"/>
              <w:rPr>
                <w:sz w:val="20"/>
                <w:szCs w:val="20"/>
                <w:color w:val="auto"/>
              </w:rPr>
            </w:pPr>
            <w:r>
              <w:rPr>
                <w:rFonts w:ascii="Arial" w:cs="Arial" w:eastAsia="Arial" w:hAnsi="Arial"/>
                <w:sz w:val="18"/>
                <w:szCs w:val="18"/>
                <w:color w:val="auto"/>
              </w:rPr>
              <w:t>Cambridge Employment Plan</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12.16</w:t>
            </w:r>
          </w:p>
        </w:tc>
        <w:tc>
          <w:tcPr>
            <w:tcW w:w="7280" w:type="dxa"/>
            <w:vAlign w:val="bottom"/>
          </w:tcPr>
          <w:p>
            <w:pPr>
              <w:ind w:left="340"/>
              <w:spacing w:after="0"/>
              <w:rPr>
                <w:sz w:val="20"/>
                <w:szCs w:val="20"/>
                <w:color w:val="auto"/>
              </w:rPr>
            </w:pPr>
            <w:r>
              <w:rPr>
                <w:rFonts w:ascii="Arial" w:cs="Arial" w:eastAsia="Arial" w:hAnsi="Arial"/>
                <w:sz w:val="18"/>
                <w:szCs w:val="18"/>
                <w:color w:val="auto"/>
              </w:rPr>
              <w:t>Parking and Transportation Demand Management</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12.18</w:t>
            </w:r>
          </w:p>
        </w:tc>
        <w:tc>
          <w:tcPr>
            <w:tcW w:w="7280" w:type="dxa"/>
            <w:vAlign w:val="bottom"/>
          </w:tcPr>
          <w:p>
            <w:pPr>
              <w:ind w:left="340"/>
              <w:spacing w:after="0"/>
              <w:rPr>
                <w:sz w:val="20"/>
                <w:szCs w:val="20"/>
                <w:color w:val="auto"/>
              </w:rPr>
            </w:pPr>
            <w:r>
              <w:rPr>
                <w:rFonts w:ascii="Arial" w:cs="Arial" w:eastAsia="Arial" w:hAnsi="Arial"/>
                <w:sz w:val="18"/>
                <w:szCs w:val="18"/>
                <w:color w:val="auto"/>
              </w:rPr>
              <w:t>Solvent Storage</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EXHIBIT A</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Base Lease Terms</w:t>
            </w:r>
          </w:p>
        </w:tc>
        <w:tc>
          <w:tcPr>
            <w:tcW w:w="2220" w:type="dxa"/>
            <w:vAlign w:val="bottom"/>
          </w:tcPr>
          <w:p>
            <w:pPr>
              <w:spacing w:after="0"/>
              <w:rPr>
                <w:sz w:val="24"/>
                <w:szCs w:val="24"/>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B</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Legal Description</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C-1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Depiction of Premises</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C-2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Map of the Park</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D</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Tenant/Landlord Responsibility Matrix</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D-1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Detail of Landlord’s Work</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E</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Standard Services</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E-1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Work Letter</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F</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Rules and Regulations</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G</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Construction Rules and Regulations</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H</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Form of NDA with MIT</w:t>
            </w:r>
          </w:p>
        </w:tc>
        <w:tc>
          <w:tcPr>
            <w:tcW w:w="222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EXHIBIT I</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Form of SNDA with Mortgagee</w:t>
            </w:r>
          </w:p>
        </w:tc>
        <w:tc>
          <w:tcPr>
            <w:tcW w:w="2220" w:type="dxa"/>
            <w:vAlign w:val="bottom"/>
          </w:tcPr>
          <w:p>
            <w:pPr>
              <w:spacing w:after="0"/>
              <w:rPr>
                <w:sz w:val="20"/>
                <w:szCs w:val="20"/>
                <w:color w:val="auto"/>
              </w:rPr>
            </w:pPr>
          </w:p>
        </w:tc>
      </w:tr>
      <w:tr>
        <w:trPr>
          <w:trHeight w:val="432"/>
        </w:trPr>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tcPr>
          <w:p>
            <w:pPr>
              <w:ind w:left="3700"/>
              <w:spacing w:after="0"/>
              <w:rPr>
                <w:sz w:val="20"/>
                <w:szCs w:val="20"/>
                <w:color w:val="auto"/>
              </w:rPr>
            </w:pPr>
            <w:r>
              <w:rPr>
                <w:rFonts w:ascii="Arial" w:cs="Arial" w:eastAsia="Arial" w:hAnsi="Arial"/>
                <w:sz w:val="18"/>
                <w:szCs w:val="18"/>
                <w:color w:val="auto"/>
              </w:rPr>
              <w:t>3</w:t>
            </w:r>
          </w:p>
        </w:tc>
        <w:tc>
          <w:tcPr>
            <w:tcW w:w="2220" w:type="dxa"/>
            <w:vAlign w:val="bottom"/>
          </w:tcPr>
          <w:p>
            <w:pPr>
              <w:spacing w:after="0"/>
              <w:rPr>
                <w:sz w:val="24"/>
                <w:szCs w:val="24"/>
                <w:color w:val="auto"/>
              </w:rPr>
            </w:pPr>
          </w:p>
        </w:tc>
      </w:tr>
      <w:tr>
        <w:trPr>
          <w:trHeight w:val="132"/>
        </w:trPr>
        <w:tc>
          <w:tcPr>
            <w:tcW w:w="15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28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ARTICLE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RECITALS, DEFINITIONS AND BASE LEASE TERMS</w:t>
      </w:r>
    </w:p>
    <w:p>
      <w:pPr>
        <w:spacing w:after="0" w:line="211"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Recitals</w:t>
      </w:r>
      <w:r>
        <w:rPr>
          <w:rFonts w:ascii="Arial" w:cs="Arial" w:eastAsia="Arial" w:hAnsi="Arial"/>
          <w:sz w:val="16"/>
          <w:szCs w:val="16"/>
          <w:color w:val="auto"/>
        </w:rPr>
        <w:t>.</w:t>
      </w:r>
    </w:p>
    <w:p>
      <w:pPr>
        <w:spacing w:after="0" w:line="225" w:lineRule="exact"/>
        <w:rPr>
          <w:sz w:val="20"/>
          <w:szCs w:val="20"/>
          <w:color w:val="auto"/>
        </w:rPr>
      </w:pPr>
    </w:p>
    <w:p>
      <w:pPr>
        <w:ind w:right="380" w:firstLine="648"/>
        <w:spacing w:after="0" w:line="227" w:lineRule="auto"/>
        <w:rPr>
          <w:sz w:val="20"/>
          <w:szCs w:val="20"/>
          <w:color w:val="auto"/>
        </w:rPr>
      </w:pPr>
      <w:r>
        <w:rPr>
          <w:rFonts w:ascii="Arial" w:cs="Arial" w:eastAsia="Arial" w:hAnsi="Arial"/>
          <w:sz w:val="18"/>
          <w:szCs w:val="18"/>
          <w:color w:val="auto"/>
        </w:rPr>
        <w:t>This Lease (this “Lease”) is entered into this 22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day of November, 2017 by and between UP 26 Landsdowne, LLC, a Delaware limited liability company (the “Landlord”) and Fulcrum Therapeutics, Inc., a Delaware corporation (the “Tenant”).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consideration of the mutual covenants herein set forth, the Landlord and the Tenant do hereby agree to the terms and conditions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11"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terms used in this Lease shall have the meanings set forth below:</w:t>
      </w:r>
    </w:p>
    <w:p>
      <w:pPr>
        <w:spacing w:after="0" w:line="225" w:lineRule="exact"/>
        <w:rPr>
          <w:sz w:val="20"/>
          <w:szCs w:val="20"/>
          <w:color w:val="auto"/>
        </w:rPr>
      </w:pPr>
    </w:p>
    <w:p>
      <w:pPr>
        <w:ind w:right="520" w:firstLine="648"/>
        <w:spacing w:after="0" w:line="302" w:lineRule="auto"/>
        <w:rPr>
          <w:sz w:val="20"/>
          <w:szCs w:val="20"/>
          <w:color w:val="auto"/>
        </w:rPr>
      </w:pPr>
      <w:r>
        <w:rPr>
          <w:rFonts w:ascii="Arial" w:cs="Arial" w:eastAsia="Arial" w:hAnsi="Arial"/>
          <w:sz w:val="16"/>
          <w:szCs w:val="16"/>
          <w:color w:val="auto"/>
        </w:rPr>
        <w:t>“Additional Rent” means all charges payable by the Tenant pursuant to this Lease other than Annual Fixed Rent, including without implied limitation the Tenant’s Tax Expense Allocable to the Premises as provided in Section 3.2; the Tenant’s Operating Expenses Allocable to the Premises in accordance with Section 3.3; amounts payable to Landlord for separately submetered utilities and services pursuant to Section 3.4; amounts payable for special services pursuant to Section 3.5; and the Landlord’s share of any sublease or assignment proceeds pursuant to Section 6.8.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“Annual Fixed Rent” - See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Section 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“Broker” — Jones Lang LaSalle New England LLC. See Section 12.8.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“Building” — See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“Commencement Date” - See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Section 2.5.</w:t>
      </w:r>
    </w:p>
    <w:p>
      <w:pPr>
        <w:sectPr>
          <w:pgSz w:w="11900" w:h="16838" w:orient="portrait"/>
          <w:cols w:equalWidth="0" w:num="1">
            <w:col w:w="11460"/>
          </w:cols>
          <w:pgMar w:left="240" w:top="341" w:right="199" w:bottom="0" w:gutter="0" w:footer="0" w:header="0"/>
        </w:sectPr>
      </w:pPr>
    </w:p>
    <w:bookmarkStart w:id="512" w:name="page513"/>
    <w:bookmarkEnd w:id="512"/>
    <w:p>
      <w:pPr>
        <w:ind w:left="660"/>
        <w:spacing w:after="0"/>
        <w:rPr>
          <w:sz w:val="20"/>
          <w:szCs w:val="20"/>
          <w:color w:val="auto"/>
        </w:rPr>
      </w:pPr>
      <w:r>
        <w:rPr>
          <w:rFonts w:ascii="Arial" w:cs="Arial" w:eastAsia="Arial" w:hAnsi="Arial"/>
          <w:sz w:val="18"/>
          <w:szCs w:val="18"/>
          <w:color w:val="auto"/>
        </w:rPr>
        <w:t>“Common Areas” - See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Interest Rate” - see Section 9.6.</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“Excusable Delay” means any delay in the satisfaction of the conditions in question to the extent the same is a consequence of External Causes including, without limitation, any governmental embargo restrictions, or actions or inactions of local, state or federal governments (such as, without limitation, any delays in issuing building permits, certificates of occupancy or other similar permits or certificates without the fault of 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125" w:right="699" w:bottom="1440" w:gutter="0" w:footer="0" w:header="0"/>
        </w:sectPr>
      </w:pPr>
    </w:p>
    <w:bookmarkStart w:id="513" w:name="page514"/>
    <w:bookmarkEnd w:id="513"/>
    <w:p>
      <w:pPr>
        <w:ind w:right="40" w:firstLine="648"/>
        <w:spacing w:after="0" w:line="279" w:lineRule="auto"/>
        <w:rPr>
          <w:sz w:val="20"/>
          <w:szCs w:val="20"/>
          <w:color w:val="auto"/>
        </w:rPr>
      </w:pPr>
      <w:r>
        <w:rPr>
          <w:rFonts w:ascii="Arial" w:cs="Arial" w:eastAsia="Arial" w:hAnsi="Arial"/>
          <w:sz w:val="17"/>
          <w:szCs w:val="17"/>
          <w:color w:val="auto"/>
        </w:rPr>
        <w:t>“External Causes” means, when referring to a party’s responsibilities under this Lease, collectively Acts of God, war, civil commotion, terrorism, fire, flood or other casualty, strikes or other extraordinary labor difficulties or shortages of labor or materials or equipment in the ordinary course of trade, extraordinary weather conditions, government order or regulations or other cause not reasonably within the control of such party, and not due to the fault or neglect of such party. In no event shall financial inability be deemed to be an External Cause.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“Land” means the parcel of land situated in Cambridge, Massachusetts,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“Landlord’s Address for Notices”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UP 64 Sidney Street,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Forest City Enterprises,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1130 Terminal Tower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 Public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Cleveland, Ohio 44113-2203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Forest City Commercial Management,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38 Sidney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Cambridge, Massachusetts 02139-4234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Manager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“Landlord’s Work” — See 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“Leasehold Improvements” — See </w:t>
      </w:r>
      <w:r>
        <w:rPr>
          <w:rFonts w:ascii="Arial" w:cs="Arial" w:eastAsia="Arial" w:hAnsi="Arial"/>
          <w:sz w:val="18"/>
          <w:szCs w:val="18"/>
          <w:u w:val="single" w:color="auto"/>
          <w:color w:val="auto"/>
        </w:rPr>
        <w:t>Exhibit E-1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“Lease Commencement Date” - See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Section 2.5.</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“Lease Year” — A one year period commencing on the Rent Commencement Date (provided, however, that if the Rent Commencement Date does not occur on the first day of a month, the first Lease Year shall end on the last day of the month in which the anniversary of the Rent Commencement Date occurs); each subsequent Lease Year shall consist of one calendar year beginning on the day immediately following the expiration of the prior Lease Year.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“Park” — The buildings and associated land located from time to time within University Park at MIT, as such area is depicted on </w:t>
      </w:r>
      <w:r>
        <w:rPr>
          <w:rFonts w:ascii="Arial" w:cs="Arial" w:eastAsia="Arial" w:hAnsi="Arial"/>
          <w:sz w:val="17"/>
          <w:szCs w:val="17"/>
          <w:u w:val="single" w:color="auto"/>
          <w:color w:val="auto"/>
        </w:rPr>
        <w:t>Exhibit C-2</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“Parking Passes” — See </w:t>
      </w: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“Permitted Uses: - See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“Premises: - See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514" w:name="page515"/>
    <w:bookmarkEnd w:id="514"/>
    <w:p>
      <w:pPr>
        <w:ind w:left="660"/>
        <w:spacing w:after="0"/>
        <w:rPr>
          <w:sz w:val="20"/>
          <w:szCs w:val="20"/>
          <w:color w:val="auto"/>
        </w:rPr>
      </w:pPr>
      <w:r>
        <w:rPr>
          <w:rFonts w:ascii="Arial" w:cs="Arial" w:eastAsia="Arial" w:hAnsi="Arial"/>
          <w:sz w:val="18"/>
          <w:szCs w:val="18"/>
          <w:color w:val="auto"/>
        </w:rPr>
        <w:t>“Property” — The Land and the Building.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“Removable Alterations” - See Section 4.2.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“Rules and Regulations” - See Section 6.3 and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“Tenant’s Original Address” — see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“Tenant’s Work” — See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“Term” — See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5"/>
          <w:szCs w:val="15"/>
          <w:u w:val="single" w:color="auto"/>
          <w:color w:val="auto"/>
        </w:rPr>
        <w:t>Base Lease Terms</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Basic Lease Terms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attached.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PREMISES AND TERM</w:t>
      </w:r>
    </w:p>
    <w:p>
      <w:pPr>
        <w:spacing w:after="0" w:line="229"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Premises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The Landlord hereby leases to the Tenant, and the Tenant hereby leases from the Landlord, for the Term, the Premises comprised of the space illustrated on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in its current as-is condition, except for (i) completion of work required by Landlord to fulfill Landlord’s obligations as outlined in the Tenant/Landlord Responsibility Matrix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provided the parties acknowledge and agree that Landlord’s Work shall proceed concurrently with the construction of Tenant’s Work (to the extent that such Landlord’s Work does not materially interfere with the construction of Tenant’s Work); (ii) demolition and disposal of the existing improvements in the Premises, (iii) installation of a new centralized lab-ready base building HVAC system, delivery of mechanical electrical, life safety and plumbing systems serving the Premises in good operating condition and repair, and (iv) refurbish the existing common area locker and common shower room on the first floor of the Building (all work described in (i) — (iv) above, collectively, the “Landlord’s Work”) subject to the exclusion herein below set forth in this Section 2.1, Landlord’s reservations set forth in Section 2.3, such easements, covenants and restrictions as may affect the Property and the terms and conditions of this Lease . Landlord shall perform the Landlord’s Work in a good and workmanlike manner, free from faults and defects, in compliance with all applicable federal, state and local laws, rules and regulations.</w:t>
      </w:r>
    </w:p>
    <w:p>
      <w:pPr>
        <w:spacing w:after="0" w:line="169" w:lineRule="exact"/>
        <w:rPr>
          <w:sz w:val="20"/>
          <w:szCs w:val="20"/>
          <w:color w:val="auto"/>
        </w:rPr>
      </w:pPr>
    </w:p>
    <w:p>
      <w:pPr>
        <w:jc w:val="both"/>
        <w:ind w:right="280" w:firstLine="243"/>
        <w:spacing w:after="0" w:line="259" w:lineRule="auto"/>
        <w:rPr>
          <w:sz w:val="20"/>
          <w:szCs w:val="20"/>
          <w:color w:val="auto"/>
        </w:rPr>
      </w:pPr>
      <w:r>
        <w:rPr>
          <w:rFonts w:ascii="Arial" w:cs="Arial" w:eastAsia="Arial" w:hAnsi="Arial"/>
          <w:sz w:val="18"/>
          <w:szCs w:val="18"/>
          <w:color w:val="auto"/>
        </w:rPr>
        <w:t>Landlord shall complete the Landlord’s Work in a timely and diligent manner and in accordance with the Construction Schedule set forth at Exhibit M, and with the completion of the Landlord’s Work scheduled to occur no later than May 31, 2018 (the “</w:t>
      </w:r>
      <w:r>
        <w:rPr>
          <w:rFonts w:ascii="Arial" w:cs="Arial" w:eastAsia="Arial" w:hAnsi="Arial"/>
          <w:sz w:val="18"/>
          <w:szCs w:val="18"/>
          <w:b w:val="1"/>
          <w:bCs w:val="1"/>
          <w:color w:val="auto"/>
        </w:rPr>
        <w:t>Landlord’s Work Target Date</w:t>
      </w:r>
      <w:r>
        <w:rPr>
          <w:rFonts w:ascii="Arial" w:cs="Arial" w:eastAsia="Arial" w:hAnsi="Arial"/>
          <w:sz w:val="18"/>
          <w:szCs w:val="18"/>
          <w:color w:val="auto"/>
        </w:rPr>
        <w:t>”). In the event that Landlord has not completed Landlord’s Work by July 15, 2018 (the “</w:t>
      </w:r>
      <w:r>
        <w:rPr>
          <w:rFonts w:ascii="Arial" w:cs="Arial" w:eastAsia="Arial" w:hAnsi="Arial"/>
          <w:sz w:val="18"/>
          <w:szCs w:val="18"/>
          <w:b w:val="1"/>
          <w:bCs w:val="1"/>
          <w:color w:val="auto"/>
        </w:rPr>
        <w:t>Initial Delivery Deadline</w:t>
      </w:r>
      <w:r>
        <w:rPr>
          <w:rFonts w:ascii="Arial" w:cs="Arial" w:eastAsia="Arial" w:hAnsi="Arial"/>
          <w:sz w:val="18"/>
          <w:szCs w:val="18"/>
          <w:color w:val="auto"/>
        </w:rPr>
        <w:t>”), subject in each case to extension for each day of Tenant Delay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5" w:name="page516"/>
    <w:bookmarkEnd w:id="515"/>
    <w:p>
      <w:pPr>
        <w:spacing w:after="0" w:line="268" w:lineRule="auto"/>
        <w:rPr>
          <w:sz w:val="20"/>
          <w:szCs w:val="20"/>
          <w:color w:val="auto"/>
        </w:rPr>
      </w:pPr>
      <w:r>
        <w:rPr>
          <w:rFonts w:ascii="Arial" w:cs="Arial" w:eastAsia="Arial" w:hAnsi="Arial"/>
          <w:sz w:val="17"/>
          <w:szCs w:val="17"/>
          <w:color w:val="auto"/>
        </w:rPr>
        <w:t>pursuant to the Work Letter, Tenant shall be entitled to one (1) day of abatement of Annual Fixed Rent for each day of such delay. Completion of Landlord’s Work shall be achieved when such work is complete except for Punch List (as defined below) items that do not adversely affect Tenant’s Use and occupancy of the Premises, all utilities, building systems and equipment, including without limitation the HVAC systems and components, are in good working order and Landlord has received a certificate of occupancy from the applicable authority of the City of Cambridge for Landlord’s Work (excluding the Tenant Improvements). In the event that Landlord has not completed Landlord’s Work within forty-five (45) days after the Initial Delivery Deadline, then Tenant shall be entitled to two (2) days of abatement of Annual Fixed Rent for each day of such delay. In the event that Landlord has not completed Landlord’s Work within one hundred thirty-five (135) days after the Initial Delivery Deadline (herein, the “</w:t>
      </w:r>
      <w:r>
        <w:rPr>
          <w:rFonts w:ascii="Arial" w:cs="Arial" w:eastAsia="Arial" w:hAnsi="Arial"/>
          <w:sz w:val="17"/>
          <w:szCs w:val="17"/>
          <w:b w:val="1"/>
          <w:bCs w:val="1"/>
          <w:color w:val="auto"/>
        </w:rPr>
        <w:t>Outside Delivery Deadline</w:t>
      </w:r>
      <w:r>
        <w:rPr>
          <w:rFonts w:ascii="Arial" w:cs="Arial" w:eastAsia="Arial" w:hAnsi="Arial"/>
          <w:sz w:val="17"/>
          <w:szCs w:val="17"/>
          <w:color w:val="auto"/>
        </w:rPr>
        <w:t>”), subject to extension for each day of Tenant Delay pursuant to the Work Letter, this Lease may be terminated by Tenant, effective upon written notice delivered to Landlord no later than the date that is ten (10) days after such Outside Delivery Deadline. If Tenant has not delivered such written notice of termination to Landlord within such required time period, then this Lease shall remain in full force and effect. If Tenant delivers such written notice of termination within such required time period, then the Security Deposit, or any balance thereof (i.e., after deducting therefrom all amounts to which Landlord is entitled under the provisions of this Lease), shall be returned to Tenant, and neither Landlord nor Tenant shall have any further rights, duties or obligations under this Lease, except any provisions which expressly survive termination of this Lease.</w:t>
      </w:r>
    </w:p>
    <w:p>
      <w:pPr>
        <w:spacing w:after="0" w:line="188" w:lineRule="exact"/>
        <w:rPr>
          <w:sz w:val="20"/>
          <w:szCs w:val="20"/>
          <w:color w:val="auto"/>
        </w:rPr>
      </w:pPr>
    </w:p>
    <w:p>
      <w:pPr>
        <w:ind w:right="40" w:firstLine="216"/>
        <w:spacing w:after="0" w:line="255" w:lineRule="auto"/>
        <w:rPr>
          <w:sz w:val="20"/>
          <w:szCs w:val="20"/>
          <w:color w:val="auto"/>
        </w:rPr>
      </w:pPr>
      <w:r>
        <w:rPr>
          <w:rFonts w:ascii="Arial" w:cs="Arial" w:eastAsia="Arial" w:hAnsi="Arial"/>
          <w:sz w:val="18"/>
          <w:szCs w:val="18"/>
          <w:color w:val="auto"/>
        </w:rPr>
        <w:t>Landlord shall use good faith efforts to ensure, and cause Contractor to ensure, that completion of the Landlord’s Work shall not interfere with the ongoing construction of the Initial Leasehold Improvements. See Section 4.5 herein for additional requirements governing the Landlord’s Work. On or before the anticipated Rent Commencement Date, Tenant or Tenant’s representative shall conduct an inspection of the Premises with Landlord or Landlord’s representative to develop a punch list of all Landlord’s Work items which are not complete or which require correction (the “Punch List”). Landlord shall complete and/or correct all items on the Punch List within thirty (30) days after Landlord receives the Punch List and shall give Tenant written notice when all of the items on the Punch List have been completed and/or corrected.</w:t>
      </w:r>
    </w:p>
    <w:p>
      <w:pPr>
        <w:spacing w:after="0" w:line="193" w:lineRule="exact"/>
        <w:rPr>
          <w:sz w:val="20"/>
          <w:szCs w:val="20"/>
          <w:color w:val="auto"/>
        </w:rPr>
      </w:pPr>
    </w:p>
    <w:p>
      <w:pPr>
        <w:ind w:right="40" w:firstLine="243"/>
        <w:spacing w:after="0" w:line="254" w:lineRule="auto"/>
        <w:rPr>
          <w:sz w:val="20"/>
          <w:szCs w:val="20"/>
          <w:color w:val="auto"/>
        </w:rPr>
      </w:pPr>
      <w:r>
        <w:rPr>
          <w:rFonts w:ascii="Arial" w:cs="Arial" w:eastAsia="Arial" w:hAnsi="Arial"/>
          <w:sz w:val="18"/>
          <w:szCs w:val="18"/>
          <w:color w:val="auto"/>
        </w:rPr>
        <w:t>Landlord warrants, for a period of one year from the date of completion of Landlord’s Work as provided in this Section, that Landlord’s Work shall be constructed (i) in a good and workmanlike manner and with all utilities, building systems and equipment, including without limitation the HVAC systems and components, in good working order (such warranty shall be exclusive of equipment warranties provided directly by manufacturers for equipment to be installed within the Premises as provided below), (ii) in compliance with applicable legal requirements, and (iii) substantially in accordance with the plans and specifications therefor (collectively, “</w:t>
      </w:r>
      <w:r>
        <w:rPr>
          <w:rFonts w:ascii="Arial" w:cs="Arial" w:eastAsia="Arial" w:hAnsi="Arial"/>
          <w:sz w:val="18"/>
          <w:szCs w:val="18"/>
          <w:b w:val="1"/>
          <w:bCs w:val="1"/>
          <w:color w:val="auto"/>
        </w:rPr>
        <w:t>Landlord’s Warranty</w:t>
      </w:r>
      <w:r>
        <w:rPr>
          <w:rFonts w:ascii="Arial" w:cs="Arial" w:eastAsia="Arial" w:hAnsi="Arial"/>
          <w:sz w:val="18"/>
          <w:szCs w:val="18"/>
          <w:color w:val="auto"/>
        </w:rPr>
        <w:t>”). Tenant shall have one year after the date of completion of Landlord’s Work as provided in this Section within which to notify Landlord of any breach of Landlord’s Warranty (a “</w:t>
      </w:r>
      <w:r>
        <w:rPr>
          <w:rFonts w:ascii="Arial" w:cs="Arial" w:eastAsia="Arial" w:hAnsi="Arial"/>
          <w:sz w:val="18"/>
          <w:szCs w:val="18"/>
          <w:b w:val="1"/>
          <w:bCs w:val="1"/>
          <w:color w:val="auto"/>
        </w:rPr>
        <w:t>Construction Defect</w:t>
      </w:r>
      <w:r>
        <w:rPr>
          <w:rFonts w:ascii="Arial" w:cs="Arial" w:eastAsia="Arial" w:hAnsi="Arial"/>
          <w:sz w:val="18"/>
          <w:szCs w:val="18"/>
          <w:color w:val="auto"/>
        </w:rPr>
        <w:t>”). Within 30 days after delivery Tenant’s notice of any such Construction Defect, Landlord shall remedy or cause the responsible contractor to remedy any such Construction Defect within a reasonable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6" w:name="page517"/>
    <w:bookmarkEnd w:id="516"/>
    <w:p>
      <w:pPr>
        <w:jc w:val="both"/>
        <w:ind w:right="100" w:firstLine="216"/>
        <w:spacing w:after="0" w:line="286" w:lineRule="auto"/>
        <w:rPr>
          <w:sz w:val="20"/>
          <w:szCs w:val="20"/>
          <w:color w:val="auto"/>
        </w:rPr>
      </w:pPr>
      <w:r>
        <w:rPr>
          <w:rFonts w:ascii="Arial" w:cs="Arial" w:eastAsia="Arial" w:hAnsi="Arial"/>
          <w:sz w:val="17"/>
          <w:szCs w:val="17"/>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by Tenant or payable out of the LIA (as defined in the Work Letter).</w:t>
      </w:r>
    </w:p>
    <w:p>
      <w:pPr>
        <w:spacing w:after="0" w:line="166" w:lineRule="exact"/>
        <w:rPr>
          <w:sz w:val="20"/>
          <w:szCs w:val="20"/>
          <w:color w:val="auto"/>
        </w:rPr>
      </w:pPr>
    </w:p>
    <w:p>
      <w:pPr>
        <w:ind w:right="60" w:firstLine="216"/>
        <w:spacing w:after="0" w:line="269" w:lineRule="auto"/>
        <w:rPr>
          <w:sz w:val="20"/>
          <w:szCs w:val="20"/>
          <w:color w:val="auto"/>
        </w:rPr>
      </w:pPr>
      <w:r>
        <w:rPr>
          <w:rFonts w:ascii="Arial" w:cs="Arial" w:eastAsia="Arial" w:hAnsi="Arial"/>
          <w:sz w:val="17"/>
          <w:szCs w:val="17"/>
          <w:color w:val="auto"/>
        </w:rPr>
        <w:t>Tenant shall further be subject to any easements, covenants and/or restrictions or other matters of record encumbering the Park provided that any such matters of record arising after the date hereof do not prohibit Tenant’s use and occupancy of the Premises for the Permitted Use or materially and adversely affect Tenant’s rights under this Lease. The Tenant acknowledges that, except as expressly set forth in this Lease, there have been no representations or warranties made by or on behalf of the Landlord with respect to the Premises, the Building or the Property or with respect to the suitability of any of them for the conduct of the Tenant’s business or activities. The Premises shall exclude common areas and facilities of the Property, including without limitation exterior faces of exterior walls, the entry, vestibules and main lobby of the Building, first floor elevator lobby and lavatories, the common stairways and stairwells, elevators and elevator wells, boiler room, sprinklers, sprinkler rooms, elevator rooms, mechanical rooms, loading and receiving areas, electric and telephone closets, janitor closets, and pipes, ducts, conduits, wires and appurtenant fixtures and equipment serving exclusively or in common other parts of the Building. If the Premises at any time includes less than the entire rentable floor area of any floor of the Building, the Premises shall also exclude the common corridors, vestibules, elevator lobby, lavatories, and freight elevator vestibule located on such floor. Landlord shall be delivering the Premises in “as is” condition at the Commencement Date of the Lease. Prior to the Commencement Date, Landlord shall provide Tenant with evidence of the decommissioning of the Premises by the prior tenant.</w:t>
      </w:r>
    </w:p>
    <w:p>
      <w:pPr>
        <w:spacing w:after="0" w:line="180" w:lineRule="exact"/>
        <w:rPr>
          <w:sz w:val="20"/>
          <w:szCs w:val="20"/>
          <w:color w:val="auto"/>
        </w:rPr>
      </w:pPr>
    </w:p>
    <w:p>
      <w:pPr>
        <w:ind w:firstLine="216"/>
        <w:spacing w:after="0" w:line="273" w:lineRule="auto"/>
        <w:rPr>
          <w:sz w:val="20"/>
          <w:szCs w:val="20"/>
          <w:color w:val="auto"/>
        </w:rPr>
      </w:pPr>
      <w:r>
        <w:rPr>
          <w:rFonts w:ascii="Arial" w:cs="Arial" w:eastAsia="Arial" w:hAnsi="Arial"/>
          <w:sz w:val="17"/>
          <w:szCs w:val="17"/>
          <w:color w:val="auto"/>
        </w:rPr>
        <w:t>Landlord represents and warrants to Tenant that, to the best of Landlord’s current knowledge, information, and belief, (a) the Building and the Premises are in material compliance with all applicable zoning, land use and environmental laws and agreements, the Americans with Disabilities Act of 1990, as amended, and the requirements of all easement and encumbrance documents and Landlord covenants to keep the Building in compliance throughout the Term; (b) Landlord holds the tenant’s interest under the Ground Lease (as such term is defined in Section 12.14), subject to no mortgage other than the current mortgage to CIGNA; (c) Landlord has full power and authority to enter into this Lease and has obtained all consents and taken all actions necessary in connection therewith; and (d) no other party has any possessory right to the Premises or has claimed the same.</w:t>
      </w:r>
    </w:p>
    <w:p>
      <w:pPr>
        <w:spacing w:after="0" w:line="178"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Appurtenant Rights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7" w:lineRule="auto"/>
        <w:tabs>
          <w:tab w:leader="none" w:pos="1942"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Tenant shall have, as appurtenant to the Premises, the nonexclusive right to use in common with others, subject to the Rules and Regulations (as defined in Section 6.3): (i) the entry, vestibules, main lobby and common locker room/shower room on the first level of the Building, the common stairways, elevators, sprinkler rooms, mechanical rooms, electric and telephone closets, and the pipes, sprinklers, ducts, conduits, wires and appurtenant fixtures and equipment serving the Premises in common with others, (ii) common walkways and driveways situated upon the Land that are necessary or reasonably convenient for access to the Building, (iii) access to, and use of in common with other tenants of, loading and receiving areas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7" w:name="page518"/>
    <w:bookmarkEnd w:id="517"/>
    <w:p>
      <w:pPr>
        <w:spacing w:after="0" w:line="270" w:lineRule="auto"/>
        <w:rPr>
          <w:sz w:val="20"/>
          <w:szCs w:val="20"/>
          <w:color w:val="auto"/>
        </w:rPr>
      </w:pPr>
      <w:r>
        <w:rPr>
          <w:rFonts w:ascii="Arial" w:cs="Arial" w:eastAsia="Arial" w:hAnsi="Arial"/>
          <w:sz w:val="17"/>
          <w:szCs w:val="17"/>
          <w:color w:val="auto"/>
        </w:rPr>
        <w:t>and freight elevators, and electrical and telephone closets, all subject to Rules and Regulations then in effect and (iv) if the Premises at any time includes less than the entire rentable floor area of any floor, the common corridors, vestibules, elevator lobby, lavatories, and freight elevator vestibule located on such floor (collectively, the “Common Areas”). Without limiting the foregoing, Tenant shall have as appurtenant to the Premises, (A) the right to use a portion of the first floor to house Tenant’s acid neutralization system (which shall be operated and maintained by Tenant), together with access thereto from the common hallway, (B) use of the central vacuum system and compressed air system in common with other tenants entitled thereto, together with access to such systems, and (C) the right to use Tenant’s Share of the Building’s solvent storage capacity of 480 gallons and access to the control areas therefor as more fully provided in Section 12.16 hereof. Tenant shall have 24-hour, seven (7) days per week access to the Premises, the space where Tenant’s acid neutralization system is located, the common central vacuum and compressed air systems, control areas for solvent storage, freight loading docks and freight elevators, and the dumpster and/or compactor provided by Landlord in the refuse disposal area, subject to the provisions of this Lease and interruption for External Causes, casualty and condemnation.</w:t>
      </w:r>
    </w:p>
    <w:p>
      <w:pPr>
        <w:spacing w:after="0" w:line="178" w:lineRule="exact"/>
        <w:rPr>
          <w:sz w:val="20"/>
          <w:szCs w:val="20"/>
          <w:color w:val="auto"/>
        </w:rPr>
      </w:pPr>
    </w:p>
    <w:p>
      <w:pPr>
        <w:ind w:right="20" w:firstLine="251"/>
        <w:spacing w:after="0" w:line="291" w:lineRule="auto"/>
        <w:tabs>
          <w:tab w:leader="none" w:pos="65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Subject to Section 4.1 with respect to installation requirements, Tenant shall have the right, at no additional rental cost, to install heating, ventilation and air conditioning equipment, generators, antennas, satellite dishes and other equipment on the roof of the Building in areas that in aggregate do not exceed Tenant’s proportionate share of roof area of the Building, in each case in locations designated by Landlord. Any such equipment installed by Tenant shall be for Tenant’s own use and shall be subject to (i) Landlord’s approval regarding location and installation specification, and such requirements intended to any specifications arising from the roof warranty, including the requirement to use such contractor(s) as Landlord may specify for such work, such approval not to be unreasonably withheld, conditioned or delayed, and (ii) applicable City of Cambridge and other legal requirements. Tenant shall be responsible for all costs relating to the installation, maintenance and removal of such equipment installed by Tenant on the Building roof.</w:t>
      </w:r>
    </w:p>
    <w:p>
      <w:pPr>
        <w:spacing w:after="0" w:line="167"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Landlord’s Reservations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88" w:lineRule="auto"/>
        <w:tabs>
          <w:tab w:leader="none" w:pos="1942" w:val="left"/>
        </w:tabs>
        <w:numPr>
          <w:ilvl w:val="1"/>
          <w:numId w:val="378"/>
        </w:numPr>
        <w:rPr>
          <w:rFonts w:ascii="Arial" w:cs="Arial" w:eastAsia="Arial" w:hAnsi="Arial"/>
          <w:sz w:val="16"/>
          <w:szCs w:val="16"/>
          <w:color w:val="auto"/>
        </w:rPr>
      </w:pPr>
      <w:r>
        <w:rPr>
          <w:rFonts w:ascii="Arial" w:cs="Arial" w:eastAsia="Arial" w:hAnsi="Arial"/>
          <w:sz w:val="16"/>
          <w:szCs w:val="16"/>
          <w:color w:val="auto"/>
        </w:rPr>
        <w:t>The Landlord reserves the right from time to time, without unreasonable interference with the Tenant’s use to alter or modify the Common Areas, provided that (i) the Landlord gives the Tenant reasonable advance notice of the Landlord’s contemplated alterations or modifications where they are reasonably likely to impact Tenant’s use and enjoyment of the Premises, (ii) any such actions are effected in a good and workmanlike manner, and</w:t>
      </w:r>
    </w:p>
    <w:p>
      <w:pPr>
        <w:ind w:right="780" w:firstLine="8"/>
        <w:spacing w:after="0" w:line="261" w:lineRule="auto"/>
        <w:tabs>
          <w:tab w:leader="none" w:pos="31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such alterations or modifications do not permanently impair Tenant’s access to the Premises or its practical use and enjoyment thereof or of the Appurtenant Rights.</w:t>
      </w:r>
    </w:p>
    <w:p>
      <w:pPr>
        <w:spacing w:after="0" w:line="183" w:lineRule="exact"/>
        <w:rPr>
          <w:rFonts w:ascii="Arial" w:cs="Arial" w:eastAsia="Arial" w:hAnsi="Arial"/>
          <w:sz w:val="18"/>
          <w:szCs w:val="18"/>
          <w:color w:val="auto"/>
        </w:rPr>
      </w:pPr>
    </w:p>
    <w:p>
      <w:pPr>
        <w:ind w:right="120" w:firstLine="1305"/>
        <w:spacing w:after="0" w:line="257" w:lineRule="auto"/>
        <w:tabs>
          <w:tab w:leader="none" w:pos="1952" w:val="left"/>
        </w:tabs>
        <w:numPr>
          <w:ilvl w:val="1"/>
          <w:numId w:val="379"/>
        </w:numPr>
        <w:rPr>
          <w:rFonts w:ascii="Arial" w:cs="Arial" w:eastAsia="Arial" w:hAnsi="Arial"/>
          <w:sz w:val="18"/>
          <w:szCs w:val="18"/>
          <w:color w:val="auto"/>
        </w:rPr>
      </w:pPr>
      <w:r>
        <w:rPr>
          <w:rFonts w:ascii="Arial" w:cs="Arial" w:eastAsia="Arial" w:hAnsi="Arial"/>
          <w:sz w:val="18"/>
          <w:szCs w:val="18"/>
          <w:color w:val="auto"/>
        </w:rPr>
        <w:t>In addition to other rights reserved herein or by law, Landlord reserves the right from time to time, without unreasonable interruption of Tenant’s use and access to the Premises (and in any event during the existence of an emergency) (i) to make additions to or reconstructions of the Building and to install, use, maintain, repair, replace and relocate for service to the Premises and other parts of the Building, the pipes, ducts, conduits, wires and appurtenant fixtures, wherever located in the Premises, the Building, or elsewhere in the Property, provided that, to the extent practicable such installations, replacements or relocations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8" w:name="page519"/>
    <w:bookmarkEnd w:id="518"/>
    <w:p>
      <w:pPr>
        <w:ind w:right="20"/>
        <w:spacing w:after="0" w:line="277" w:lineRule="auto"/>
        <w:rPr>
          <w:sz w:val="20"/>
          <w:szCs w:val="20"/>
          <w:color w:val="auto"/>
        </w:rPr>
      </w:pPr>
      <w:r>
        <w:rPr>
          <w:rFonts w:ascii="Arial" w:cs="Arial" w:eastAsia="Arial" w:hAnsi="Arial"/>
          <w:sz w:val="18"/>
          <w:szCs w:val="18"/>
          <w:color w:val="auto"/>
        </w:rPr>
        <w:t>in the Premises shall be placed above ceiling surfaces, below floor surfaces, or to the outside of the interior face of perimeter walls; (ii) to name or change the name of the Building, and (iii) to grant easements and other rights with respect to the Property.</w:t>
      </w:r>
    </w:p>
    <w:p>
      <w:pPr>
        <w:spacing w:after="0" w:line="170"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u w:val="single" w:color="auto"/>
          <w:color w:val="auto"/>
        </w:rPr>
        <w:t>Parking Passes.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From and after the Rent Commencement Date, the Landlord shall provide Parking Passes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use by the Tenant’s employees in accordance with the provisions of this Section 2.4, and in the 55 Franklin Street garage as designated on </w:t>
      </w:r>
      <w:r>
        <w:rPr>
          <w:rFonts w:ascii="Arial" w:cs="Arial" w:eastAsia="Arial" w:hAnsi="Arial"/>
          <w:sz w:val="17"/>
          <w:szCs w:val="17"/>
          <w:u w:val="single" w:color="auto"/>
          <w:color w:val="auto"/>
        </w:rPr>
        <w:t>Exhibit C-2</w:t>
      </w:r>
      <w:r>
        <w:rPr>
          <w:rFonts w:ascii="Arial" w:cs="Arial" w:eastAsia="Arial" w:hAnsi="Arial"/>
          <w:sz w:val="17"/>
          <w:szCs w:val="17"/>
          <w:color w:val="auto"/>
        </w:rPr>
        <w:t>. Landlord reserves the right to relocate some or all of Tenant’s parking spaces to other parking garages within University Park, which relocation right shall not be exercised by Landlord more than twice in any twelve (12)-month period. The Tenant agrees that it and all persons claiming by, through and under it, shall at all times abide by the Rules and Regulations with respect to the use of the parking facilities provided by the Landlord pursuant to this Lease. The Landlord acknowledges that it is the Landlord’s responsibility to assure Tenant that holders of Parking Passes who comply with the Rules and Regulations are able to park their motor vehicles in the designated parking facilities within the Park. The Tenant acknowledges that the parking facilities within the Park may be owned by an entity other than Landlord. In no event are Parking Passes transferable other than to the holder, from time to time, of the tenant’s interest under this Lease or a subtenant that has been demised all or a portion of the Premises in conformity with the requirements of this Lease. Parking Passes are limited to use by employees of either of the foregoing.</w:t>
      </w:r>
    </w:p>
    <w:p>
      <w:pPr>
        <w:spacing w:after="0" w:line="178"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The parking spaces relating to the Parking Passes shall be accessible twenty four (24) hours per day, seven (7) days per week. In no event are Parking Passes transferable other than to the holder, from time to time, of the tenant’s interest under this Lease or a subtenant that has been demised all or a portion of the Premises in conformity with the requirements of this Lease, and use of the Parking Pass is limited to use by employees, business invitees and visitors of either of the foregoing. The charge for each Parking Pass shall be equal to the Market Rate Parking Charge, established by the parking garage operator from time to time. “Market Rate Parking Charge” means the monthly parking rate for parking facilities charged from time to time by owners of parking facilities of comparable quality at mixed use office/research parks in the commercial markets that surround the MIT campus (East Cambridge/Kendall Square/Cambridgeport). The Market Rate Parking Charge shall constitute Additional Rent and shall be payable monthly to Landlord at the time and in the fashion in which Annual Fixed Rent under this Lease is payable. Without limiting Landlord’s other remedies under the Lease, if Tenant shall fail to pay the amounts due for such Parking Passes for more than thirty (30) days after notice of such failure, then Landlord may terminate Tenant’s rights to such Parking Passes immediately upon notice by Landlord.</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written request from time to time, and subject to availability (as determined by Landlord in its sole discretion), Tenant may obtain additional Parking Passes on a month-to-month basis (i.e. terminable by either party on 30 days’ prior written notice), which additional Parking Passes shall be provided to Tenant on all of the terms and conditions of this Article 2 except as expressly set forth in this sentence.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19" w:name="page520"/>
    <w:bookmarkEnd w:id="519"/>
    <w:p>
      <w:pPr>
        <w:ind w:firstLine="648"/>
        <w:spacing w:after="0" w:line="255" w:lineRule="auto"/>
        <w:rPr>
          <w:sz w:val="20"/>
          <w:szCs w:val="20"/>
          <w:color w:val="auto"/>
        </w:rPr>
      </w:pPr>
      <w:r>
        <w:rPr>
          <w:rFonts w:ascii="Arial" w:cs="Arial" w:eastAsia="Arial" w:hAnsi="Arial"/>
          <w:sz w:val="18"/>
          <w:szCs w:val="18"/>
          <w:color w:val="auto"/>
        </w:rPr>
        <w:t>At any time during the Term Landlord shall have the right to assign Landlord’s obligations to provide parking, as herein set forth, together with Landlord’s right to receive Additional Rent for such parking spaces as herein provided, to a separate entity created for the purpose of providing the parking privileges set forth herein. In such event, Landlord and Tenant agree to execute and deliver appropriate documentation, including documentation with the new entity, reasonably necessary to provide for the new entity to assume Landlord’s obligations to provide the parking privileges to Tenant as specified herein and for the Tenant to pay the Additional Rent attributable to the parking privileges directly to the new entity. Landlord shall, however, remain primarily liable for the provision of Tenant’s parking privileges.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Lease Commencement Date, Landlord Delivery Date and Rent Commencement Date</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The “Lease Commencement Date” and the “Landlord Delivery Date” shall be the date that Landlord delivers the Premises to Tenant in broom-clean shell condition, with all demolition associated with existing leasehold improvements complete and with the Premises in a condition to allow Tenant to commence the Tenant Work (“Tenant Construction Readiness”). The Landlord shall give written notice to Tenant as to the Landlord Delivery Date no less than ten (10) days prior to such Landlord Delivery Date, and the Landlord shall cause the Landlord Delivery Date to be no earlier than November 1, 2017 and no later than January 1, 2018. In the event that the Landlord Delivery Date has not occurred by February 15, 2018 (the “</w:t>
      </w:r>
      <w:r>
        <w:rPr>
          <w:rFonts w:ascii="Arial" w:cs="Arial" w:eastAsia="Arial" w:hAnsi="Arial"/>
          <w:sz w:val="16"/>
          <w:szCs w:val="16"/>
          <w:b w:val="1"/>
          <w:bCs w:val="1"/>
          <w:color w:val="auto"/>
        </w:rPr>
        <w:t>Outside Readiness Deadline</w:t>
      </w:r>
      <w:r>
        <w:rPr>
          <w:rFonts w:ascii="Arial" w:cs="Arial" w:eastAsia="Arial" w:hAnsi="Arial"/>
          <w:sz w:val="16"/>
          <w:szCs w:val="16"/>
          <w:color w:val="auto"/>
        </w:rPr>
        <w:t>”), subject in each case to extension for each day of Tenant Delay pursuant to the Work Letter, Tenant shall be entitled to one (1) day of abatement of Annual Fixed Rent for each day of such delay. In the event that Landlord has not completed Landlord’s Work within forty-five (45) days after the Outside Readiness Deadline, then Tenant shall be entitled to two (2) days of abatement of Annual Fixed Rent for each day of such delay. In the event that the Landlord Delivery Date has not occurred within one hundred thirty-five (135) days after the Outside Readiness Deadline, subject to extension for each day of Tenant Delay pursuant to the Work Letter, this Lease may be terminated by Tenant, effective upon written notice delivered to Landlord no later than the date that is ten</w:t>
      </w:r>
    </w:p>
    <w:p>
      <w:pPr>
        <w:spacing w:after="0" w:line="6" w:lineRule="exact"/>
        <w:rPr>
          <w:sz w:val="20"/>
          <w:szCs w:val="20"/>
          <w:color w:val="auto"/>
        </w:rPr>
      </w:pPr>
    </w:p>
    <w:p>
      <w:pPr>
        <w:ind w:right="20" w:firstLine="8"/>
        <w:spacing w:after="0" w:line="253" w:lineRule="auto"/>
        <w:tabs>
          <w:tab w:leader="none" w:pos="34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days after such one hundred thirty-fifth (135th) day after the Outside Readiness Deadline. If Tenant has not delivered such written notice of termination to Landlord within such required time period, then this Lease shall remain in full force and effect. If Tenant delivers such written notice of termination within such required time period, then the Security Deposit, or any balance thereof (i.e., after deducting therefrom all amounts to which Landlord is entitled under the provisions of this Lease), shall be returned to Tenant, and neither Landlord nor Tenant shall have any further rights, duties or obligations under this Lease, except any provisions which expressly survive termination of this Lease.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“Rent Commencement Date” shall be the earlier to occur of (i) Tenant’s occupancy of any portion of the Premises for business purposes, or</w:t>
      </w:r>
    </w:p>
    <w:p>
      <w:pPr>
        <w:spacing w:after="0" w:line="46" w:lineRule="exact"/>
        <w:rPr>
          <w:sz w:val="20"/>
          <w:szCs w:val="20"/>
          <w:color w:val="auto"/>
        </w:rPr>
      </w:pPr>
    </w:p>
    <w:p>
      <w:pPr>
        <w:ind w:right="60" w:firstLine="8"/>
        <w:spacing w:after="0" w:line="253" w:lineRule="auto"/>
        <w:tabs>
          <w:tab w:leader="none" w:pos="26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six (6) months after the Landlord Delivery Date (the “Scheduled Rent Commencement Date”). Notwithstanding the foregoing, upon the following terms and conditions, but not otherwise, if (i) the Landlord is delayed in achieving (a) Tenant Construction Readiness beyond the Tenant Construction Readiness Date, or (b) Substantial Completion of the Landlord’s Work beyond the Landlord’s Work Target Date, or (ii) the Tenant is delayed in Tenant’s Construction Work by a Landlord Delay and (iii) any such delay is not due to Tenant Delay, then the Scheduled Rent Commencement Date shall be postponed by the number of days that Tenant Construction Readiness and/or Substantial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0" w:name="page521"/>
    <w:bookmarkEnd w:id="520"/>
    <w:p>
      <w:pPr>
        <w:jc w:val="both"/>
        <w:ind w:right="20"/>
        <w:spacing w:after="0" w:line="264" w:lineRule="auto"/>
        <w:rPr>
          <w:sz w:val="20"/>
          <w:szCs w:val="20"/>
          <w:color w:val="auto"/>
        </w:rPr>
      </w:pPr>
      <w:r>
        <w:rPr>
          <w:rFonts w:ascii="Arial" w:cs="Arial" w:eastAsia="Arial" w:hAnsi="Arial"/>
          <w:sz w:val="18"/>
          <w:szCs w:val="18"/>
          <w:color w:val="auto"/>
        </w:rPr>
        <w:t>Completion of the Landlord’s Work is so delayed. Without limitation of the foregoing, there shall be no postponement of the Scheduled Rent Commencement Date to the extent that the Tenant Construction Readiness Date, the Substantial Completion of the Landlord’s Work or Tenant’s Construction Work is delayed on account of Tenant Delay.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Lease Commencement Date, the Rent Commencement Date, and the Term shall be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Extension Option</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Provided that there has been no Event of Default which is uncured and continuing on the part of the Tenant, and the Tenant or any entity which succeeds to Tenant’s rights hereunder pursuant to a Permitted Transfer is, as of the date of exercise and as of the commencement date of each Extension Term, actually occupying at least seventy-five percent (75%) of the Premises for its business purposes, the Tenant shall have the right to extend the Term hereof for one (1) additional period of five (5) years on the following terms and conditions (the “Extension Option):</w:t>
      </w:r>
    </w:p>
    <w:p>
      <w:pPr>
        <w:spacing w:after="0" w:line="171" w:lineRule="exact"/>
        <w:rPr>
          <w:sz w:val="20"/>
          <w:szCs w:val="20"/>
          <w:color w:val="auto"/>
        </w:rPr>
      </w:pPr>
    </w:p>
    <w:p>
      <w:pPr>
        <w:ind w:right="20" w:firstLine="1305"/>
        <w:spacing w:after="0" w:line="293" w:lineRule="auto"/>
        <w:tabs>
          <w:tab w:leader="none" w:pos="194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Tenant shall have the right to extend the Term hereof for one (1) period of five (5) years (the “Extension Term”) on the terms and conditions set forth in this Section 2.6(a) and (b). ‘‘Such right to extend the Term shall be exercised by the giving of notice by Tenant to Landlord at least nine (9) months prior to the expiration of the Initial Term (the “Extension Notice Deadline Date”). Upon the giving of such notice on or before the Extension Notice Deadline Date, this Lease and the Term hereof shall be extended for an additional term of five (5) years, without the necessity for the execution of any additional documents except a document memorializing the Annual Fixed Rent for the Extension Term to be determined as set forth below. Time shall be of the essence with respect to the Tenant’s giving notice to extend the Term on or before the Extension Notice Deadline Date.</w:t>
      </w:r>
    </w:p>
    <w:p>
      <w:pPr>
        <w:spacing w:after="0" w:line="164" w:lineRule="exact"/>
        <w:rPr>
          <w:rFonts w:ascii="Arial" w:cs="Arial" w:eastAsia="Arial" w:hAnsi="Arial"/>
          <w:sz w:val="16"/>
          <w:szCs w:val="16"/>
          <w:color w:val="auto"/>
        </w:rPr>
      </w:pPr>
    </w:p>
    <w:p>
      <w:pPr>
        <w:ind w:right="80" w:firstLine="1305"/>
        <w:spacing w:after="0" w:line="291" w:lineRule="auto"/>
        <w:tabs>
          <w:tab w:leader="none" w:pos="195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Extension Term shall be upon all the terms, conditions and provisions of this Lease except the Annual Fixed Rent during first Lease Year of the Extension Term shall be the then Extension Fair Rental Value of the Premises for the Extension Term to be determined under</w:t>
      </w:r>
    </w:p>
    <w:p>
      <w:pPr>
        <w:ind w:right="40"/>
        <w:spacing w:after="0" w:line="290" w:lineRule="auto"/>
        <w:rPr>
          <w:rFonts w:ascii="Arial" w:cs="Arial" w:eastAsia="Arial" w:hAnsi="Arial"/>
          <w:sz w:val="16"/>
          <w:szCs w:val="16"/>
          <w:color w:val="auto"/>
        </w:rPr>
      </w:pPr>
      <w:r>
        <w:rPr>
          <w:rFonts w:ascii="Arial" w:cs="Arial" w:eastAsia="Arial" w:hAnsi="Arial"/>
          <w:sz w:val="16"/>
          <w:szCs w:val="16"/>
          <w:color w:val="auto"/>
        </w:rPr>
        <w:t>Section 2.6(c) below with respect to which the Extension Fair Rental Value is to be established (the “Then Applicable Annual Fixed Rental Rate”). If the Tenant makes a written request to the Landlord for a proposal for the Extension Fair Rental Value for the Extension Term, the Landlord shall make such a written proposal to the Tenant within thirty (30) days after receipt of the Tenant’s request therefor, but in no event shall the Landlord be required to deliver such a proposal sooner than twelve (12) months prior to the date as of which such proposal is to become effective. Alternatively, the Landlord may, at its election, propose an Extension Fair Rental Value to the Tenant without any request having been made. The determination of the Extension Fair Rental Value shall include a determination as to whether an Annual Fixed Rent Escalator Factor should be applicable to the Extension Term, and, if so, the amount thereof.</w:t>
      </w:r>
    </w:p>
    <w:p>
      <w:pPr>
        <w:spacing w:after="0" w:line="164" w:lineRule="exact"/>
        <w:rPr>
          <w:rFonts w:ascii="Arial" w:cs="Arial" w:eastAsia="Arial" w:hAnsi="Arial"/>
          <w:sz w:val="16"/>
          <w:szCs w:val="16"/>
          <w:color w:val="auto"/>
        </w:rPr>
      </w:pPr>
    </w:p>
    <w:p>
      <w:pPr>
        <w:jc w:val="both"/>
        <w:ind w:right="260" w:firstLine="1305"/>
        <w:spacing w:after="0" w:line="264" w:lineRule="auto"/>
        <w:tabs>
          <w:tab w:leader="none" w:pos="195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For purposes of this Section 2.6, the Extension Fair Rental Value of the Premises shall mean the then current fair market annual rent for leases of other space similarly improved, taking into account all relevant factors, including but not limited to the condition to which such premises have been improved, the economic terms and conditions specified in this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1" w:name="page522"/>
    <w:bookmarkEnd w:id="521"/>
    <w:p>
      <w:pPr>
        <w:ind w:right="40"/>
        <w:spacing w:after="0" w:line="286" w:lineRule="auto"/>
        <w:rPr>
          <w:sz w:val="20"/>
          <w:szCs w:val="20"/>
          <w:color w:val="auto"/>
        </w:rPr>
      </w:pPr>
      <w:r>
        <w:rPr>
          <w:rFonts w:ascii="Arial" w:cs="Arial" w:eastAsia="Arial" w:hAnsi="Arial"/>
          <w:sz w:val="16"/>
          <w:szCs w:val="16"/>
          <w:color w:val="auto"/>
        </w:rPr>
        <w:t>Lease that will be applicable thereto, for comparable laboratory and office space located in the commercial markets that surround the MIT campus (East Cambridge, Kendall Square, and Cambridgeport). The Landlord and the Tenant shall endeavor in good faith to agree upon the Extension Fair Rental Value of the Premises within thirty (30) days after the Tenant has exercised its option for the Extension Term. If the Extension Fair Rental Value of the Premises is not agreed upon by the Landlord and the Tenant within this time frame, each of the Landlord and the Tenant shall retain a real estate professional with at least ten</w:t>
      </w:r>
    </w:p>
    <w:p>
      <w:pPr>
        <w:spacing w:after="0" w:line="2" w:lineRule="exact"/>
        <w:rPr>
          <w:sz w:val="20"/>
          <w:szCs w:val="20"/>
          <w:color w:val="auto"/>
        </w:rPr>
      </w:pPr>
    </w:p>
    <w:p>
      <w:pPr>
        <w:ind w:firstLine="8"/>
        <w:spacing w:after="0" w:line="281" w:lineRule="auto"/>
        <w:tabs>
          <w:tab w:leader="none" w:pos="345" w:val="left"/>
        </w:tabs>
        <w:numPr>
          <w:ilvl w:val="0"/>
          <w:numId w:val="383"/>
        </w:numPr>
        <w:rPr>
          <w:rFonts w:ascii="Arial" w:cs="Arial" w:eastAsia="Arial" w:hAnsi="Arial"/>
          <w:sz w:val="16"/>
          <w:szCs w:val="16"/>
          <w:color w:val="auto"/>
        </w:rPr>
      </w:pPr>
      <w:r>
        <w:rPr>
          <w:rFonts w:ascii="Arial" w:cs="Arial" w:eastAsia="Arial" w:hAnsi="Arial"/>
          <w:sz w:val="16"/>
          <w:szCs w:val="16"/>
          <w:color w:val="auto"/>
        </w:rPr>
        <w:t>years continuous experience in the business of appraising or marketing similar commercial real estate in the Cambridge, Massachusetts area who shall, within thirty (30) days of his or her selection, prepare a written report summarizing his or her conclusion as to the Extension Fair Rental Value. The Landlord and the Tenant shall simultaneously exchange such reports; provided, however, if either party has not obtained such a report within said thirty (30) day period then the determination set forth in the other party’s report shall be final and binding upon the parties. If both parties receive reports within such time and the lower determination is within ten percent (10%) of the higher determination, then the average of these determinations shall be deemed to be the Extension Fair Rental Value for the Premises. If these determinations differ by more than ten percent (10%), then the Landlord and the Tenant shall mutually select a person with the qualifications stated above (the “Final Professional”) to resolve the dispute as to the Extension Fair Rental Value for the Premises. If the Landlord and the Tenant cannot agree upon the designation of the Final Professional within thirty (30) days of the exchange of the first valuation reports, either party may apply to the American Arbitration Association, the Greater Boston Real Estate Board, or any successor thereto, for the designation of a Final Professional. Within ten (10) days of the selection of the Final Professional, the Landlord and the Tenant shall each submit to the Final Professional a copy of their respective real estate professional’s determination of the Extension Fair Rental Value for the Premises. The Final Professional shall not perform his or her own valuation, but rather shall, within thirty (30) days after such submissions, select the submission which is closest to the determination of the Extension Fair Rental Value for the Premises which the Final Professional would have made acting alone. The Final Professional shall give notice of his or her selection to the Landlord and the Tenant and such decision shall be final and binding upon the Landlord and the Tenant. Each party shall pay the fees and expenses of its real estate professional and counsel, if any, in connection with any proceeding under this paragraph, and one-half of the fees and expenses of the Final Professional. In the event that the commencement of the Extension Term occurs prior to a final determination of the Extension Fair Rental Value therefor (the “Extension Rent Determination Date”), then the Tenant shall pay the Annual Fixed Rent at Annual Fixed Rental Rate for the last day of the Term prior to the commencement of such extension. If the Annual Fixed Rent for the Extension Term is determined to be greater than the Annual Fixed Rent paid with respect to the Premises prior to the Extension Rent Determination Date, then the Tenant shall pay to the Landlord the amount of such underpayment within ten</w:t>
      </w:r>
    </w:p>
    <w:p>
      <w:pPr>
        <w:spacing w:after="0" w:line="12" w:lineRule="exact"/>
        <w:rPr>
          <w:rFonts w:ascii="Arial" w:cs="Arial" w:eastAsia="Arial" w:hAnsi="Arial"/>
          <w:sz w:val="16"/>
          <w:szCs w:val="16"/>
          <w:color w:val="auto"/>
        </w:rPr>
      </w:pPr>
    </w:p>
    <w:p>
      <w:pPr>
        <w:ind w:left="360" w:hanging="352"/>
        <w:spacing w:after="0"/>
        <w:tabs>
          <w:tab w:leader="none" w:pos="36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days of the Extension Rent Determination Date, and if the Annual Fixed Rent for the Extension Term is determined to be less than the Annual Fixed</w:t>
      </w:r>
    </w:p>
    <w:p>
      <w:pPr>
        <w:spacing w:after="0" w:line="32"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Rent paid with respect to the Premises prior to the Extension Rent Determination Date, then the Landlord shall credit the amount of such overpayment against the monthly installments of Annual Fixed Rent thereafter coming due.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RENT AND OTHER PAYMENTS</w:t>
      </w:r>
    </w:p>
    <w:p>
      <w:pPr>
        <w:spacing w:after="0" w:line="229"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Annual Fixed Rent</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The Annual Fixed Rent applicable to the Premises during the Term shall be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On the Rent Commencement Date and on the first day of each month thereafter, the Tenant shall pay, without notice or demand, monthly installments of one twelfth (1/12) of the Annual Fixed Rent in effect in advance for each full calendar month of the Term following the Rent Commencement Date and a corresponding fraction of said one twelfth (1/12) for any fraction of a calendar month in which the Rent Commencement Date occurs. On the day that is the first anniversary of the Rent Commencement Date, and on each anniversary of that date thereafter, Annual Fixed Rent for the Premises shall increase to an amount equal to one hundred three percent (103%) of the Annual Fixed Rent immediately preceding such anniversary.</w:t>
      </w:r>
    </w:p>
    <w:p>
      <w:pPr>
        <w:spacing w:after="0" w:line="178"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Real Estate Taxes</w:t>
      </w:r>
      <w:r>
        <w:rPr>
          <w:rFonts w:ascii="Arial" w:cs="Arial" w:eastAsia="Arial" w:hAnsi="Arial"/>
          <w:sz w:val="15"/>
          <w:szCs w:val="15"/>
          <w:color w:val="auto"/>
        </w:rPr>
        <w:t>.</w:t>
      </w:r>
    </w:p>
    <w:p>
      <w:pPr>
        <w:spacing w:after="0" w:line="225"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From and after the Rent Commencement Date, during the Term, the Tenant shall pay to the Landlord, as Additional Rent, the Tenant’s Tax Expenses Allocable to the Premises (as such term is hereinafter defined) in accordance with this Section 3.2. The terms used in this Section 3.2 are defined as follows:</w:t>
      </w:r>
    </w:p>
    <w:p>
      <w:pPr>
        <w:spacing w:after="0" w:line="124" w:lineRule="exact"/>
        <w:rPr>
          <w:sz w:val="20"/>
          <w:szCs w:val="20"/>
          <w:color w:val="auto"/>
        </w:rPr>
      </w:pPr>
    </w:p>
    <w:p>
      <w:pPr>
        <w:ind w:right="240" w:firstLine="1305"/>
        <w:spacing w:after="0" w:line="277" w:lineRule="auto"/>
        <w:tabs>
          <w:tab w:leader="none" w:pos="194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“Tax Fiscal Year” means the 12 month period beginning on the first date of the fiscal period in respect of which real estate taxes are due and payable to the appropriate governmental taxing authority.</w:t>
      </w:r>
    </w:p>
    <w:p>
      <w:pPr>
        <w:spacing w:after="0" w:line="170" w:lineRule="exact"/>
        <w:rPr>
          <w:rFonts w:ascii="Arial" w:cs="Arial" w:eastAsia="Arial" w:hAnsi="Arial"/>
          <w:sz w:val="18"/>
          <w:szCs w:val="18"/>
          <w:color w:val="auto"/>
        </w:rPr>
      </w:pPr>
    </w:p>
    <w:p>
      <w:pPr>
        <w:ind w:right="120" w:firstLine="1305"/>
        <w:spacing w:after="0" w:line="270" w:lineRule="auto"/>
        <w:tabs>
          <w:tab w:leader="none" w:pos="1952"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Tenant’s Tax Expense Allocable to the Premises” means (i) that portion of the Landlord’s Tax Expenses for an Operating Fiscal Year (as defined below) which bears the same proportion thereto as the rentable floor area of the Premises (from time to time) bears to the rentable floor area of the Building and (ii) in the event that the Premises are improved to a standard which is materially higher than other portions of the Property and the taxing authority has calculated the Building valuation on such basis as provided in the notice of such new valuation or reassessment, such portion of the Real Estate Taxes on the Property with respect to any Operating Fiscal Year as is appropriate so that the Tenant bears the portion of the Real Estate Taxes which are properly allocable to the Premises, as reasonably determined by Landlord based on information with respect to the assessment process made available by the assessing authorities. Notwithstanding the foregoing, laboratory improvements made to the Premises that are typical in a Class A laboratory building in Cambridge shall not be deemed to result in the Premises being improved to a standard which is materially higher than other portions of the Property.</w:t>
      </w:r>
    </w:p>
    <w:p>
      <w:pPr>
        <w:spacing w:after="0" w:line="181" w:lineRule="exact"/>
        <w:rPr>
          <w:rFonts w:ascii="Arial" w:cs="Arial" w:eastAsia="Arial" w:hAnsi="Arial"/>
          <w:sz w:val="17"/>
          <w:szCs w:val="17"/>
          <w:color w:val="auto"/>
        </w:rPr>
      </w:pPr>
    </w:p>
    <w:p>
      <w:pPr>
        <w:ind w:right="20" w:firstLine="1305"/>
        <w:spacing w:after="0" w:line="277" w:lineRule="auto"/>
        <w:tabs>
          <w:tab w:leader="none" w:pos="195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Landlord’s Tax Expenses” with respect to any Tax Fiscal Year means the aggregate Real Estate Taxes with respect to that Tax Fiscal Year, reduced by any abatement receipts with respect to that Tax Fiscal Year.</w:t>
      </w:r>
    </w:p>
    <w:p>
      <w:pPr>
        <w:spacing w:after="0" w:line="170"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“Real Estate Taxes” means (i) all taxes, assessments and similar charges of every kind and nature assessed by any governmental authority on the Property; (ii) reasonable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22" w:name="page523"/>
    <w:bookmarkEnd w:id="522"/>
    <w:p>
      <w:pPr>
        <w:ind w:right="80"/>
        <w:spacing w:after="0" w:line="285" w:lineRule="auto"/>
        <w:rPr>
          <w:sz w:val="20"/>
          <w:szCs w:val="20"/>
          <w:color w:val="auto"/>
        </w:rPr>
      </w:pPr>
      <w:r>
        <w:rPr>
          <w:rFonts w:ascii="Arial" w:cs="Arial" w:eastAsia="Arial" w:hAnsi="Arial"/>
          <w:sz w:val="16"/>
          <w:szCs w:val="16"/>
          <w:color w:val="auto"/>
        </w:rPr>
        <w:t>expenses incurred in connection with negotiating with the city assessor’s office, in advance of the establishment of the assessed valuation of the Property, to establish a fair and reasonable assessment therefor; and (iii) reasonable expenses incurred in connection with any proceedings for abatement of such taxes or special assessments. Any special assessments to be included within the definition of “Real Estate Taxes” shall be limited to the amount of the installment (plus any interest thereon) of such special tax or special assessment (which shall be payable over the longest period permitted by law as reasonably determined by Landlord) required to be paid during the Operating Fiscal Year in respect of which such taxes are being determined. Without limiting the foregoing, Real Estate Taxes include any payments in lieu of taxes. There shall be excluded from such taxes all income, estate, succession, inheritance, excess profit, franchise and transfer taxes, and delinquency interest or penalties; provided, however, that if at any time during the Term the present system of ad valorem taxation of real property shall be changed so that in lieu of the whole or any part of the ad valorem tax on real property, there shall be assessed on the Landlord a capital levy or other tax on the gross rents received with respect to the Property, or a federal, state, county, municipal or other local income, franchise, excise or similar tax, assessment, levy or charge (distinct from any now in effect) based, in whole or in part, upon any such gross rents, then any and all of such taxes, assessments, levies or charges, to the extent so based, shall be deemed to be included within the term “Real Estate Taxes,” based on the Property being the Landlord’s only property. Landlord may elect to allocate Real Estate Taxes separately among tenants with different use categories in the Building from time to time based on such factors as the Landlord reasonably determines (rather than on a proportionate basis based on square feet) if Landlord reasonably determines it is necessary to fairly allocate the Real Estate Taxes, provided that Landlord will not allocate Real Estate Taxes separately for any tenant whose use includes laboratory or research and development use along with office or other uses but may allocate Real Estate Taxes separately for tenants whose use is solely office use or solely retail use.</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Payments by the Tenant on account of the Tenant’s Tax Expense Allocable to the Premises shall be made monthly at the time and in the fashion herein provided for the payment of Annual Fixed Rent and shall be in an amount of the greater of (i) one twelfth (1/12) of the Tenant’s Tax Expense Allocable to the Premises for the current Operating Fiscal Year as reasonably estimated by the Landlord, or (ii) an amount reasonably estimated by any holder of a first mortgage or similar lien on the Property, to be sufficient, if paid monthly, to pay the Tenant’s Tax Expense Allocable to the Premises on the dates due to the taxing authority.</w:t>
      </w:r>
    </w:p>
    <w:p>
      <w:pPr>
        <w:spacing w:after="0" w:line="18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Not later than one hundred twenty (120) days after the end of each Operating Fiscal Year or fraction thereof at the end of during the Term, the Landlord shall render the Tenant a statement in reasonable detail showing for the preceding Tax Fiscal Year of the Term or fraction thereof, as the case may be, real estate taxes on the Property, and any abatements or refunds of such taxes, together with a copy of the tax bill or bills for the Tax Fiscal Year in question. Reasonable expenses incurred in obtaining any tax abatement or refund not previously charged may be charged against such tax abatement or refund before the adjustments are made for the Tax Fiscal Year. If at the time such statement is rendered it is determined with respect to any Operating Fiscal Year, that the Tenant has paid (i) less than the Tenant’s Tax Expense Allocable to the Premises or (ii) more than the Tenant’s Tax Expense Allocable to the Premises, then, in the case of (i) the Tenant shall pay to the Landlord, as Additional Rent, within thirty (30) days of such statement the amount of such underpayment and, in the case of (ii) the Landlord shall credit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3" w:name="page524"/>
    <w:bookmarkEnd w:id="523"/>
    <w:p>
      <w:pPr>
        <w:ind w:right="40"/>
        <w:spacing w:after="0" w:line="289" w:lineRule="auto"/>
        <w:rPr>
          <w:sz w:val="20"/>
          <w:szCs w:val="20"/>
          <w:color w:val="auto"/>
        </w:rPr>
      </w:pPr>
      <w:r>
        <w:rPr>
          <w:rFonts w:ascii="Arial" w:cs="Arial" w:eastAsia="Arial" w:hAnsi="Arial"/>
          <w:sz w:val="16"/>
          <w:szCs w:val="16"/>
          <w:color w:val="auto"/>
        </w:rPr>
        <w:t>the amount of such overpayment against the monthly installments of the Tenant’s Tax Expense Allocable to the Premises next thereafter coming due (or refund such overpayment within thirty (30) days if the Term has expired to the extent that such overpayment exceeds any amount then due from the Tenant to the Landlord). To the extent that real estate taxes shall be payable to the taxing authority in installments with respect to periods less than a Tax Fiscal Year, the statement to be furnished by the Landlord shall be rendered and payments made on account of such installments. Landlord shall, upon Tenant’s request, provide Tenant with a copy of all applicable tax bills, statements, records and the like, as well as’ any reasonably relevant supporting documentation in Landlord’s possession. If the Commencement Date occurs on other than the first day of an Operating Fiscal Year, or if the Termination Date occurs on other than the last day of an Operating Fiscal Year, then the amount of Tenant’s Tax Expense Allocable to the Premises payable by the Tenant with respect to such Operating Fiscal Year(s) shall be prorated based upon the ratio of the length of the time period during such Operating Fiscal Year(s) in respect of which the Tenant has an obligation to pay Tenant’s Tax Expense Allocable to the Premises to the length of such Operating Fiscal Year(s). ‘</w:t>
      </w:r>
    </w:p>
    <w:p>
      <w:pPr>
        <w:spacing w:after="0" w:line="167"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5"/>
          <w:szCs w:val="15"/>
          <w:u w:val="single" w:color="auto"/>
          <w:color w:val="auto"/>
        </w:rPr>
        <w:t>Operating Expenses</w:t>
      </w:r>
      <w:r>
        <w:rPr>
          <w:rFonts w:ascii="Arial" w:cs="Arial" w:eastAsia="Arial" w:hAnsi="Arial"/>
          <w:sz w:val="15"/>
          <w:szCs w:val="15"/>
          <w:color w:val="auto"/>
        </w:rPr>
        <w:t>.</w:t>
      </w:r>
    </w:p>
    <w:p>
      <w:pPr>
        <w:spacing w:after="0" w:line="225"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From and after the Rent Commencement Date, during the Term, the Tenant shall pay to the Landlord, as Additional Rent, the Tenant’s Operating Expenses Allocable to the Premises, in accordance with this Section 3.3 including, without limitation, the conditions and limitations set forth in clauses</w:t>
      </w:r>
    </w:p>
    <w:p>
      <w:pPr>
        <w:ind w:firstLine="8"/>
        <w:spacing w:after="0" w:line="284" w:lineRule="auto"/>
        <w:tabs>
          <w:tab w:leader="none" w:pos="245" w:val="left"/>
        </w:tabs>
        <w:numPr>
          <w:ilvl w:val="0"/>
          <w:numId w:val="386"/>
        </w:numPr>
        <w:rPr>
          <w:rFonts w:ascii="Arial" w:cs="Arial" w:eastAsia="Arial" w:hAnsi="Arial"/>
          <w:sz w:val="16"/>
          <w:szCs w:val="16"/>
          <w:color w:val="auto"/>
        </w:rPr>
      </w:pPr>
      <w:r>
        <w:rPr>
          <w:rFonts w:ascii="Arial" w:cs="Arial" w:eastAsia="Arial" w:hAnsi="Arial"/>
          <w:sz w:val="16"/>
          <w:szCs w:val="16"/>
          <w:color w:val="auto"/>
        </w:rPr>
        <w:t xml:space="preserve">through (l) below, with respect to each twelve (12) month period beginning January 1 each year or such other fiscal period of twelve (12) consecutive months hereinafter adopted by the Landlord for lease administration purposes (“Operating Fiscal Year”). Subject to the provisions of this Section 3.3, “The Tenant’s Operating Expenses Allocable to the Premises” means that portion of the Operating Expenses for the Property which bears the same proportion thereto as the rentable floor area of the Premises bears to the rentable floor area of the Building. The term “Operating Expenses for the Property” means the Landlord’s actual cost of managing, operating, cleaning, maintaining and repairing the Property, including the roads, driveways and walkways providing access to the Building, and shall include without limitation, the cost of fulfilling the maintenance and repair obligations required to be performed by Landlord under Section 5.1 and, subject to the exclusions set forth below, the cost of services performed by Landlord and specified on </w:t>
      </w:r>
      <w:r>
        <w:rPr>
          <w:rFonts w:ascii="Arial" w:cs="Arial" w:eastAsia="Arial" w:hAnsi="Arial"/>
          <w:sz w:val="16"/>
          <w:szCs w:val="16"/>
          <w:u w:val="single" w:color="auto"/>
          <w:color w:val="auto"/>
        </w:rPr>
        <w:t>Exhibit E</w:t>
      </w:r>
      <w:r>
        <w:rPr>
          <w:rFonts w:ascii="Arial" w:cs="Arial" w:eastAsia="Arial" w:hAnsi="Arial"/>
          <w:sz w:val="16"/>
          <w:szCs w:val="16"/>
          <w:color w:val="auto"/>
        </w:rPr>
        <w:t>; premiums for insurance carried pursuant to Section 7.4; the amount of any deductible associated with an insurance claim of the Landlord; compensation (including, without limitation, fringe benefits, worker’s compensation insurance premiums and payroll taxes) paid to, for or with respect to all persons engaged in the managing, operating, maintaining or cleaning the Property; legal, auditing, consulting, and professional fees and other costs incurred in connection with the normal and routine maintenance and operation of the Building; interior landscaping and maintenance; steam, water, sewer, gas, oil, electricity, telephone and other utility charges (excluding any such utility charges either separately metered or separately chargeable to the Tenant); cost of providing HVAC services; cost of building and cleaning supplies; the costs of routine environmental and energy efficiency management programs operated by Landlord; market rental costs (or alternatively the Amortization Charge Off (as hereinafter defined) so long as the expenses which are the subject of such Amortization Charge Off would have been permitted Operating Expenses had the item in question been purchased) with respect to equipment used in managing, operating, cleaning, maintaining or repairing the Property; cost of cleaning; cost of maintenance and non-capital repairs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4" w:name="page525"/>
    <w:bookmarkEnd w:id="524"/>
    <w:p>
      <w:pPr>
        <w:spacing w:after="0" w:line="268" w:lineRule="auto"/>
        <w:rPr>
          <w:sz w:val="20"/>
          <w:szCs w:val="20"/>
          <w:color w:val="auto"/>
        </w:rPr>
      </w:pPr>
      <w:r>
        <w:rPr>
          <w:rFonts w:ascii="Arial" w:cs="Arial" w:eastAsia="Arial" w:hAnsi="Arial"/>
          <w:sz w:val="17"/>
          <w:szCs w:val="17"/>
          <w:color w:val="auto"/>
        </w:rPr>
        <w:t>replacements; cost of snow removal; cost of landscape maintenance; cost of security services; payments under service contracts with independent contractors; management fees at reasonable rates consistent with comparable multi-tenant buildings, as applicable, in the submarket within which the Premises is located with the type of occupancy and services rendered, not to exceed three percent (3%) of Annual Fixed Rent in any year; the cost of any capital repairs, replacements or improvements which (i) are required by any law or regulation enacted or promulgated after the date of this Lease, (ii) reduce Operating Expenses, or (iii) improve the management and operation of the Property or the Common Areas in a manner reasonably acceptable and consented to by Tenant in writing in advance of such expenditure (all such capital costs to be amortized on a straight line basis in accordance with generally accepted accounting principles, together with interest on the unamortized balance at such rate as may have been paid by the Landlord on funds borrowed for the purpose of making such capital repairs, replacements or improvements (or if the Landlord did not borrow such funds, then at the base lending rate announced by a major commercial bank designated by the Landlord), with only the annual amortization amount (“Amortization Charge Off”) being included in Operating Expenses with respect to any Operating Fiscal Year); charges equitably and reasonably allocated to the Building for the operating, cleaning, maintaining, securing and repairing of the Common Areas excluding the initial capital improvement costs associated with initially establishing the Common Areas; costs incurred by Landlord in connection with any employee transportation assistance consisting of shuttle service between the Park and public transportation; and all other reasonable and necessary (in the Landlord’s reasonable judgment) expenses paid in connection with the operation, cleaning, maintenance and repair of the Property and Common Areas.</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less than ninety-five percent (95%) of the total rentable floor area of the Building is occupied at any time during the term of this Lease, Landlord may extrapolate components of Operating Expenses that vary with occupancy as though ninety-five percent (95%) of the total rentable floor area of the Building had been occupied at all times during such period, but only if such expenses are actually expended. Additionally, Tenant shall not be charged for amounts allocable to vacant space.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Property shall not include the following:</w:t>
      </w:r>
    </w:p>
    <w:p>
      <w:pPr>
        <w:spacing w:after="0" w:line="225" w:lineRule="exact"/>
        <w:rPr>
          <w:sz w:val="20"/>
          <w:szCs w:val="20"/>
          <w:color w:val="auto"/>
        </w:rPr>
      </w:pPr>
    </w:p>
    <w:p>
      <w:pPr>
        <w:ind w:right="160" w:firstLine="1305"/>
        <w:spacing w:after="0" w:line="308" w:lineRule="auto"/>
        <w:tabs>
          <w:tab w:leader="none" w:pos="1942" w:val="left"/>
        </w:tabs>
        <w:numPr>
          <w:ilvl w:val="0"/>
          <w:numId w:val="387"/>
        </w:numPr>
        <w:rPr>
          <w:rFonts w:ascii="Arial" w:cs="Arial" w:eastAsia="Arial" w:hAnsi="Arial"/>
          <w:sz w:val="17"/>
          <w:szCs w:val="17"/>
          <w:color w:val="auto"/>
        </w:rPr>
      </w:pPr>
      <w:r>
        <w:rPr>
          <w:rFonts w:ascii="Arial" w:cs="Arial" w:eastAsia="Arial" w:hAnsi="Arial"/>
          <w:sz w:val="17"/>
          <w:szCs w:val="17"/>
          <w:color w:val="auto"/>
        </w:rPr>
        <w:t>any cost or expense to the extent to which Landlord is paid or reimbursed, or which is reimbursable to the Landlord, from a third party (other than as a payment for Operating Expenses), insurance, warranties, service contracts, condemnation proceeds or similar sources;</w:t>
      </w:r>
    </w:p>
    <w:p>
      <w:pPr>
        <w:spacing w:after="0" w:line="146" w:lineRule="exact"/>
        <w:rPr>
          <w:rFonts w:ascii="Arial" w:cs="Arial" w:eastAsia="Arial" w:hAnsi="Arial"/>
          <w:sz w:val="17"/>
          <w:szCs w:val="17"/>
          <w:color w:val="auto"/>
        </w:rPr>
      </w:pPr>
    </w:p>
    <w:p>
      <w:pPr>
        <w:jc w:val="both"/>
        <w:ind w:right="280" w:firstLine="1305"/>
        <w:spacing w:after="0" w:line="264" w:lineRule="auto"/>
        <w:tabs>
          <w:tab w:leader="none" w:pos="195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salaries and bonuses of officers or executives of Landlord or administrative employees above the grade of the Building general manager, and if personnel below such grades are shared with other buildings or have other duties not related to the Building, only the allocable portion of such person or persons salary shall be included in Operating Expenses;</w:t>
      </w:r>
    </w:p>
    <w:p>
      <w:pPr>
        <w:spacing w:after="0" w:line="181" w:lineRule="exact"/>
        <w:rPr>
          <w:rFonts w:ascii="Arial" w:cs="Arial" w:eastAsia="Arial" w:hAnsi="Arial"/>
          <w:sz w:val="18"/>
          <w:szCs w:val="18"/>
          <w:color w:val="auto"/>
        </w:rPr>
      </w:pPr>
    </w:p>
    <w:p>
      <w:pPr>
        <w:ind w:right="580" w:firstLine="1305"/>
        <w:spacing w:after="0" w:line="277" w:lineRule="auto"/>
        <w:tabs>
          <w:tab w:leader="none" w:pos="195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interest on debt or principal amortization payments (except as expressly otherwise provided) or any other payments on any mortgage or any payments under any ground lease;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25" w:name="page526"/>
    <w:bookmarkEnd w:id="525"/>
    <w:p>
      <w:pPr>
        <w:ind w:left="-660" w:firstLine="1305"/>
        <w:spacing w:after="0" w:line="257" w:lineRule="auto"/>
        <w:tabs>
          <w:tab w:leader="none" w:pos="129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fees, costs, and commissions incurred in procuring or attempting to procure other tenants including, but not necessarily limited to brokerage commissions, finders’ fees, attorneys’ fees and expenses, entertainment costs and travel expenses, marketing costs, attorneys’ fees in connection with the negotiation and preparation of letters, deal memos, letters of intent, leases, subleases and/or assignments), space planning costs, and other costs and expenses incurred in connection with lease, sublease and/or assignment negotiations and transactions with present or prospective tenants or other occupants of the Building;</w:t>
      </w:r>
    </w:p>
    <w:p>
      <w:pPr>
        <w:spacing w:after="0" w:line="188" w:lineRule="exact"/>
        <w:rPr>
          <w:rFonts w:ascii="Arial" w:cs="Arial" w:eastAsia="Arial" w:hAnsi="Arial"/>
          <w:sz w:val="18"/>
          <w:szCs w:val="18"/>
          <w:color w:val="auto"/>
        </w:rPr>
      </w:pPr>
    </w:p>
    <w:p>
      <w:pPr>
        <w:ind w:left="-660" w:right="80" w:firstLine="1305"/>
        <w:spacing w:after="0" w:line="259" w:lineRule="auto"/>
        <w:tabs>
          <w:tab w:leader="none" w:pos="129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cost included in Operating Expenses representing an amount paid to a person, firm, corporation or other entity related to Landlord which is in excess of the amount which would have been paid on an arms’ length basis in the absence of such relationship (provided that nothing herein shall be construed as requiring that the cost in question equal the lowest possible cost; only that the cost not be inflated solely due to the absence of an arms’ length relationship);</w:t>
      </w:r>
    </w:p>
    <w:p>
      <w:pPr>
        <w:spacing w:after="0" w:line="186" w:lineRule="exact"/>
        <w:rPr>
          <w:rFonts w:ascii="Arial" w:cs="Arial" w:eastAsia="Arial" w:hAnsi="Arial"/>
          <w:sz w:val="18"/>
          <w:szCs w:val="18"/>
          <w:color w:val="auto"/>
        </w:rPr>
      </w:pPr>
    </w:p>
    <w:p>
      <w:pPr>
        <w:ind w:left="1300" w:hanging="655"/>
        <w:spacing w:after="0"/>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depreciation of the Building or any part thereof;</w:t>
      </w:r>
    </w:p>
    <w:p>
      <w:pPr>
        <w:spacing w:after="0" w:line="225" w:lineRule="exact"/>
        <w:rPr>
          <w:rFonts w:ascii="Arial" w:cs="Arial" w:eastAsia="Arial" w:hAnsi="Arial"/>
          <w:sz w:val="18"/>
          <w:szCs w:val="18"/>
          <w:color w:val="auto"/>
        </w:rPr>
      </w:pPr>
    </w:p>
    <w:p>
      <w:pPr>
        <w:ind w:left="1320" w:hanging="675"/>
        <w:spacing w:after="0"/>
        <w:tabs>
          <w:tab w:leader="none" w:pos="132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any costs incurred for services or maintenance attributable to portions of the Park which Tenant does not have the right to use;</w:t>
      </w:r>
    </w:p>
    <w:p>
      <w:pPr>
        <w:spacing w:after="0" w:line="248" w:lineRule="exact"/>
        <w:rPr>
          <w:rFonts w:ascii="Arial" w:cs="Arial" w:eastAsia="Arial" w:hAnsi="Arial"/>
          <w:sz w:val="16"/>
          <w:szCs w:val="16"/>
          <w:color w:val="auto"/>
        </w:rPr>
      </w:pPr>
    </w:p>
    <w:p>
      <w:pPr>
        <w:ind w:left="1300" w:hanging="655"/>
        <w:spacing w:after="0"/>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costs attributable to the parking garages within University Park;</w:t>
      </w:r>
    </w:p>
    <w:p>
      <w:pPr>
        <w:spacing w:after="0" w:line="225" w:lineRule="exact"/>
        <w:rPr>
          <w:rFonts w:ascii="Arial" w:cs="Arial" w:eastAsia="Arial" w:hAnsi="Arial"/>
          <w:sz w:val="18"/>
          <w:szCs w:val="18"/>
          <w:color w:val="auto"/>
        </w:rPr>
      </w:pPr>
    </w:p>
    <w:p>
      <w:pPr>
        <w:ind w:right="400" w:firstLine="645"/>
        <w:spacing w:after="0" w:line="277" w:lineRule="auto"/>
        <w:tabs>
          <w:tab w:leader="none" w:pos="1318" w:val="left"/>
        </w:tabs>
        <w:numPr>
          <w:ilvl w:val="0"/>
          <w:numId w:val="388"/>
        </w:numPr>
        <w:rPr>
          <w:rFonts w:ascii="Arial" w:cs="Arial" w:eastAsia="Arial" w:hAnsi="Arial"/>
          <w:sz w:val="18"/>
          <w:szCs w:val="18"/>
          <w:color w:val="auto"/>
        </w:rPr>
      </w:pPr>
      <w:r>
        <w:rPr>
          <w:rFonts w:ascii="Arial" w:cs="Arial" w:eastAsia="Arial" w:hAnsi="Arial"/>
          <w:sz w:val="18"/>
          <w:szCs w:val="18"/>
          <w:color w:val="auto"/>
        </w:rPr>
        <w:t>costs which may be considered capital improvements, capital repairs, capital changes or any other capital costs as determined under generally accepted accounting principles except for the Amortization Charge Off;</w:t>
      </w:r>
    </w:p>
    <w:p>
      <w:pPr>
        <w:spacing w:after="0" w:line="170" w:lineRule="exact"/>
        <w:rPr>
          <w:rFonts w:ascii="Arial" w:cs="Arial" w:eastAsia="Arial" w:hAnsi="Arial"/>
          <w:sz w:val="18"/>
          <w:szCs w:val="18"/>
          <w:color w:val="auto"/>
        </w:rPr>
      </w:pPr>
    </w:p>
    <w:p>
      <w:pPr>
        <w:ind w:right="140" w:firstLine="645"/>
        <w:spacing w:after="0" w:line="277" w:lineRule="auto"/>
        <w:tabs>
          <w:tab w:leader="none" w:pos="130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advertising and promotional expenditures, and costs of acquisition and maintenance of signs in or on the Building identifying the owner of the Building or other tenants;</w:t>
      </w:r>
    </w:p>
    <w:p>
      <w:pPr>
        <w:spacing w:after="0" w:line="170" w:lineRule="exact"/>
        <w:rPr>
          <w:rFonts w:ascii="Arial" w:cs="Arial" w:eastAsia="Arial" w:hAnsi="Arial"/>
          <w:sz w:val="18"/>
          <w:szCs w:val="18"/>
          <w:color w:val="auto"/>
        </w:rPr>
      </w:pPr>
    </w:p>
    <w:p>
      <w:pPr>
        <w:jc w:val="both"/>
        <w:ind w:right="140" w:firstLine="645"/>
        <w:spacing w:after="0" w:line="264" w:lineRule="auto"/>
        <w:tabs>
          <w:tab w:leader="none" w:pos="130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costs, including permit, license and inspection costs, incurred with respect to the installation of other tenants’ or other occupants’ improvements or incurred in renovating or otherwise improving, decorating, painting or redecorating vacant space for tenants or other occupants of the Building;</w:t>
      </w:r>
    </w:p>
    <w:p>
      <w:pPr>
        <w:spacing w:after="0" w:line="181" w:lineRule="exact"/>
        <w:rPr>
          <w:rFonts w:ascii="Arial" w:cs="Arial" w:eastAsia="Arial" w:hAnsi="Arial"/>
          <w:sz w:val="18"/>
          <w:szCs w:val="18"/>
          <w:color w:val="auto"/>
        </w:rPr>
      </w:pPr>
    </w:p>
    <w:p>
      <w:pPr>
        <w:ind w:left="1320" w:hanging="675"/>
        <w:spacing w:after="0"/>
        <w:tabs>
          <w:tab w:leader="none" w:pos="132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expenses in connection with services or other benefits which are not offered to Tenant or for which Tenant is charged for directly;</w:t>
      </w:r>
    </w:p>
    <w:p>
      <w:pPr>
        <w:spacing w:after="0" w:line="248" w:lineRule="exact"/>
        <w:rPr>
          <w:rFonts w:ascii="Arial" w:cs="Arial" w:eastAsia="Arial" w:hAnsi="Arial"/>
          <w:sz w:val="16"/>
          <w:szCs w:val="16"/>
          <w:color w:val="auto"/>
        </w:rPr>
      </w:pPr>
    </w:p>
    <w:p>
      <w:pPr>
        <w:ind w:left="1300" w:hanging="655"/>
        <w:spacing w:after="0"/>
        <w:tabs>
          <w:tab w:leader="none" w:pos="130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costs incurred by Landlord due to the violation by Landlord or any tenant of the terms and conditions of any lease of space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Building;</w:t>
      </w:r>
    </w:p>
    <w:p>
      <w:pPr>
        <w:spacing w:after="0" w:line="210" w:lineRule="exact"/>
        <w:rPr>
          <w:rFonts w:ascii="Arial" w:cs="Arial" w:eastAsia="Arial" w:hAnsi="Arial"/>
          <w:sz w:val="16"/>
          <w:szCs w:val="16"/>
          <w:color w:val="auto"/>
        </w:rPr>
      </w:pPr>
    </w:p>
    <w:p>
      <w:pPr>
        <w:ind w:right="360" w:firstLine="645"/>
        <w:spacing w:after="0" w:line="277" w:lineRule="auto"/>
        <w:tabs>
          <w:tab w:leader="none" w:pos="130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amounts paid to Landlord or to subsidiaries or affiliates of Landlord for goods and/or services in the Building to the extent the same exceeds the costs of such goods and/or services rendered by unaffiliated third parties on a competitive basis;</w:t>
      </w:r>
    </w:p>
    <w:p>
      <w:pPr>
        <w:spacing w:after="0" w:line="170" w:lineRule="exact"/>
        <w:rPr>
          <w:sz w:val="20"/>
          <w:szCs w:val="20"/>
          <w:color w:val="auto"/>
        </w:rPr>
      </w:pPr>
    </w:p>
    <w:p>
      <w:pPr>
        <w:ind w:left="4960" w:right="3800" w:hanging="4315"/>
        <w:spacing w:after="0" w:line="528" w:lineRule="auto"/>
        <w:tabs>
          <w:tab w:leader="none" w:pos="129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Landlord’s general corporate overhead and corporate administrative expenses;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-90170</wp:posOffset>
            </wp:positionV>
            <wp:extent cx="726757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526" w:name="page527"/>
    <w:bookmarkEnd w:id="526"/>
    <w:p>
      <w:pPr>
        <w:ind w:left="660" w:right="360" w:firstLine="645"/>
        <w:spacing w:after="0" w:line="277" w:lineRule="auto"/>
        <w:tabs>
          <w:tab w:leader="none" w:pos="196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compensation paid to clerks, attendants or other persons in commercial concessions operated by Landlord, such as gym or athletic facilities, cafes or clubs;</w:t>
      </w:r>
    </w:p>
    <w:p>
      <w:pPr>
        <w:spacing w:after="0" w:line="170" w:lineRule="exact"/>
        <w:rPr>
          <w:rFonts w:ascii="Arial" w:cs="Arial" w:eastAsia="Arial" w:hAnsi="Arial"/>
          <w:sz w:val="18"/>
          <w:szCs w:val="18"/>
          <w:color w:val="auto"/>
        </w:rPr>
      </w:pPr>
    </w:p>
    <w:p>
      <w:pPr>
        <w:ind w:left="660" w:right="280" w:firstLine="645"/>
        <w:spacing w:after="0" w:line="277" w:lineRule="auto"/>
        <w:tabs>
          <w:tab w:leader="none" w:pos="196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costs incurred in connection with upgrading the Building to comply with laws, rules, regulations and codes in effect prior to the Lease Commencement Date;</w:t>
      </w:r>
    </w:p>
    <w:p>
      <w:pPr>
        <w:spacing w:after="0" w:line="170" w:lineRule="exact"/>
        <w:rPr>
          <w:rFonts w:ascii="Arial" w:cs="Arial" w:eastAsia="Arial" w:hAnsi="Arial"/>
          <w:sz w:val="18"/>
          <w:szCs w:val="18"/>
          <w:color w:val="auto"/>
        </w:rPr>
      </w:pPr>
    </w:p>
    <w:p>
      <w:pPr>
        <w:ind w:left="660" w:right="760" w:firstLine="645"/>
        <w:spacing w:after="0" w:line="277" w:lineRule="auto"/>
        <w:tabs>
          <w:tab w:leader="none" w:pos="196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costs arising from the negligence or willful misconduct of Landlord or other tenants or occupants of the Building or their respective agents, employees, licensees, vendors, contractors or providers of materials or services;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replacement or contingency reserves;</w:t>
      </w:r>
    </w:p>
    <w:p>
      <w:pPr>
        <w:spacing w:after="0" w:line="225" w:lineRule="exact"/>
        <w:rPr>
          <w:rFonts w:ascii="Arial" w:cs="Arial" w:eastAsia="Arial" w:hAnsi="Arial"/>
          <w:sz w:val="18"/>
          <w:szCs w:val="18"/>
          <w:color w:val="auto"/>
        </w:rPr>
      </w:pPr>
    </w:p>
    <w:p>
      <w:pPr>
        <w:ind w:left="660" w:right="20" w:firstLine="645"/>
        <w:spacing w:after="0" w:line="257" w:lineRule="auto"/>
        <w:tabs>
          <w:tab w:leader="none" w:pos="197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cost of removing or remediating Hazardous Materials from the Property; provided, however, that notwithstanding the foregoing, Operating Expenses shall be permitted to include the costs of remediation or other responses to Hazardous Material first discovered at the Property after the date of this Lease for which a third party or an occupant of the Property other than Landlord or Tenant is responsible and for which Landlord, after using commercially reasonable efforts, has not determined the party that is responsible so that such party can be charged for such costs;</w:t>
      </w:r>
    </w:p>
    <w:p>
      <w:pPr>
        <w:spacing w:after="0" w:line="188" w:lineRule="exact"/>
        <w:rPr>
          <w:sz w:val="20"/>
          <w:szCs w:val="20"/>
          <w:color w:val="auto"/>
        </w:rPr>
      </w:pPr>
    </w:p>
    <w:p>
      <w:pPr>
        <w:ind w:left="1960" w:hanging="655"/>
        <w:spacing w:after="0"/>
        <w:tabs>
          <w:tab w:leader="none" w:pos="19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costs arising from Landlord’s charitable or political contributions;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costs arising from latent defects or repair thereof;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costs for sculpture, paintings or other objects of art.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Payments by the Tenant for its share of the Tenant’s Operating Expenses Allocable to the Premises shall be made monthly at the time and in the fashion herein provided for the payment of Annual Fixed Rent. The amount so to be paid to the Landlord shall be an amount from time to time reasonably estimated by the Landlord to be sufficient to aggregate a sum equal to the Tenant’s share of the Tenant’s Operating Expenses Allocable to the Premises for each Operating Fiscal Year.</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Not later than one hundred twenty (120) days after the end of each Operating Fiscal Year or fraction thereof during the Term or fraction thereof at the end of the Term, the Landlord shall render the Tenant a statement in reasonable detail and according to usual accounting practices certified by an officer of the Landlord, showing for the preceding Operating Fiscal Year or fraction thereof, as the case may be, the Operating Expenses for the Property and Tenant’s Operating Expenses Allocable to the Premises. Said statement to be rendered to the Tenant also shall show for the preceding Operating Fiscal Year or fraction thereof, as the case may be, the amounts of Operating Expenses already paid by the Tenant. If at the time such statement is rendered it is determined with respect to any Operating Fiscal Year, that the Tenant has paid (i) less than the entirety of the Tenant’s Operating Expenses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7" w:name="page528"/>
    <w:bookmarkEnd w:id="527"/>
    <w:p>
      <w:pPr>
        <w:ind w:right="20"/>
        <w:spacing w:after="0" w:line="290" w:lineRule="auto"/>
        <w:rPr>
          <w:sz w:val="20"/>
          <w:szCs w:val="20"/>
          <w:color w:val="auto"/>
        </w:rPr>
      </w:pPr>
      <w:r>
        <w:rPr>
          <w:rFonts w:ascii="Arial" w:cs="Arial" w:eastAsia="Arial" w:hAnsi="Arial"/>
          <w:sz w:val="16"/>
          <w:szCs w:val="16"/>
          <w:color w:val="auto"/>
        </w:rPr>
        <w:t>Allocable to the Premises or (ii) more than the Tenant’s Operating Expenses Allocable to the Premises, then, in the case of (i) the Tenant shall pay to the Landlord, as Additional Rent, within thirty (30) days of such statement the amounts of such underpayment and, in the case of (ii) the Landlord shall credit the amount of such overpayment against the monthly installments of the Tenant’s Operating Expenses Allocable to the Premises next thereafter coming due (or refund such overpayment within thirty (30) days if the Term has expired to the extent that such overpayment exceeds any amount then due from the Tenant to the Landlord). If the Commencement Date occurs on other than the first day of an Operating Fiscal Year, or if the Termination Date occurs on other than the last day of an Operating Fiscal Year, then the amount of Tenant’s Operating Expenses Allocable to the Premises payable by the Tenant with respect to such Operating Fiscal Year(s) shall be prorated based upon the ratio of the length of the time period during such Operating Fiscal Year(s) in respect of which the Tenant has an obligation to pay Tenant’s Operating Expenses Allocable to the Premises to the length of such Operating Fiscal Year.</w:t>
      </w:r>
    </w:p>
    <w:p>
      <w:pPr>
        <w:spacing w:after="0" w:line="166"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The Tenant may examine or audit the accounts and original bills for Operating Expenses upon thirty (30) days’ prior written notice to the Landlord, but no more often than one (1) time in any Operating Fiscal Year or Fiscal Year, as applicable. The Landlord agrees that it will make available to the Tenant in the Landlord’s office in University Park, during regular business hours, such information as the Landlord has available at such office. In similar manner, the Tenant may examine such further records as Landlord may have, but such matters will be conducted where the Landlord customarily keeps such records, which may be at the headquarters of the Landlord’s parent company in Cleveland, Ohio. The Tenant shall bear the cost of any such audit, unless the same discloses a discrepancy in excess of five percent (5%) of the Tenant’s Operating Expenses for the Fiscal Year in question, in which event the Landlord shall reimburse the Tenant for such costs reasonably incurred. For any given Fiscal Year of the Landlord, the Tenant must make any such audit within six</w:t>
      </w:r>
    </w:p>
    <w:p>
      <w:pPr>
        <w:spacing w:after="0" w:line="3" w:lineRule="exact"/>
        <w:rPr>
          <w:sz w:val="20"/>
          <w:szCs w:val="20"/>
          <w:color w:val="auto"/>
        </w:rPr>
      </w:pPr>
    </w:p>
    <w:p>
      <w:pPr>
        <w:ind w:right="60" w:firstLine="8"/>
        <w:spacing w:after="0" w:line="281" w:lineRule="auto"/>
        <w:tabs>
          <w:tab w:leader="none" w:pos="255" w:val="left"/>
        </w:tabs>
        <w:numPr>
          <w:ilvl w:val="0"/>
          <w:numId w:val="392"/>
        </w:numPr>
        <w:rPr>
          <w:rFonts w:ascii="Arial" w:cs="Arial" w:eastAsia="Arial" w:hAnsi="Arial"/>
          <w:sz w:val="16"/>
          <w:szCs w:val="16"/>
          <w:color w:val="auto"/>
        </w:rPr>
      </w:pPr>
      <w:r>
        <w:rPr>
          <w:rFonts w:ascii="Arial" w:cs="Arial" w:eastAsia="Arial" w:hAnsi="Arial"/>
          <w:sz w:val="16"/>
          <w:szCs w:val="16"/>
          <w:color w:val="auto"/>
        </w:rPr>
        <w:t>months after the Tenant’s receipt of itemized statements (and any supporting documentation requested by the Tenant) referred to in the preceding paragraph. The Tenant must further make any claim for revision of Operating Expenses for such Fiscal Year by written notice to the Landlord within said six</w:t>
      </w:r>
    </w:p>
    <w:p>
      <w:pPr>
        <w:spacing w:after="0" w:line="1" w:lineRule="exact"/>
        <w:rPr>
          <w:rFonts w:ascii="Arial" w:cs="Arial" w:eastAsia="Arial" w:hAnsi="Arial"/>
          <w:sz w:val="16"/>
          <w:szCs w:val="16"/>
          <w:color w:val="auto"/>
        </w:rPr>
      </w:pPr>
    </w:p>
    <w:p>
      <w:pPr>
        <w:ind w:right="80" w:firstLine="8"/>
        <w:spacing w:after="0" w:line="261" w:lineRule="auto"/>
        <w:tabs>
          <w:tab w:leader="none" w:pos="25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month period. The Tenant shall have the right to deduct from future installments of Operating Expenses any overpayments for Operating Expenses made by Tenant which are disclosed by an audit conducted pursuant to this Section 3.3.</w:t>
      </w:r>
    </w:p>
    <w:p>
      <w:pPr>
        <w:spacing w:after="0" w:line="184"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Utility Charges.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Term, the Tenant shall pay directly to the provider of the service, all charges for steam, gas, electricity, fuel, water, sewer and other services and utilities furnished to the Premises and separately metered. Tenant shall purchase electricity from the utility service providing electricity to the Building from time to time. Landlord shall have the right at any time and from time to time to change the electricity provider to the Building. If at any time during the Term, any utility service to the Premises is not separately metered and paid directly to the service provider by Tenant, Tenant’s usage and billing shall depend upon Landlord’s reading of the check meters (or, if not check metered, upon the reasonable estimate of Tenant’s usage as determined by Landlord’s engineer) for such service or if, Tenant’s usage is non-determinable, based on the proportion of Tenant’s rentable square footage compared to other tenants having use of the same utility service. Unless separately metered and paid directly by Tenant, Additional Rent for utilities in the Premises may be estimated monthly by Landlord, based upon the estimate set forth in the preceding sentence, and shall be paid monthly by Tenant as billed with a final accounting based upon actual bills following the conclusion of each Operating Fiscal Year.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8" w:name="page529"/>
    <w:bookmarkEnd w:id="528"/>
    <w:p>
      <w:pPr>
        <w:ind w:left="900"/>
        <w:spacing w:after="0"/>
        <w:tabs>
          <w:tab w:leader="none" w:pos="19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Above Standard Services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If the Tenant requests and the Landlord elects to provide any services to the Tenant in addition to those described in </w:t>
      </w:r>
      <w:r>
        <w:rPr>
          <w:rFonts w:ascii="Arial" w:cs="Arial" w:eastAsia="Arial" w:hAnsi="Arial"/>
          <w:sz w:val="17"/>
          <w:szCs w:val="17"/>
          <w:u w:val="single" w:color="auto"/>
          <w:color w:val="auto"/>
        </w:rPr>
        <w:t>Exhibit E</w:t>
      </w:r>
      <w:r>
        <w:rPr>
          <w:rFonts w:ascii="Arial" w:cs="Arial" w:eastAsia="Arial" w:hAnsi="Arial"/>
          <w:sz w:val="17"/>
          <w:szCs w:val="17"/>
          <w:color w:val="auto"/>
        </w:rPr>
        <w:t>, the Tenant shall pay to the Landlord, as Additional Rent, the amount billed by Landlord for such services at Landlord’s standard rates as from time to time in effect. The cost of such services shall not be deemed to be Operating Expenses for the Property as described in Section 3.3. If the Tenant has requested that such services be provided on a regular basis, the Tenant shall, if requested by the Landlord, pay for such services at their actual cost to Landlord, including, without limitation, a reasonable overhead component, at the time and in the fashion in which Annual Fixed Rent under this Lease is payable. Otherwise, the Tenant shall pay for such additional services within thirty (30) days after receipt of an invoice from the Landlord.</w:t>
      </w:r>
    </w:p>
    <w:p>
      <w:pPr>
        <w:spacing w:after="0" w:line="178"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No Offsets</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Annual Fixed Rent and Additional Rent shall be paid by the Tenant without offset, abatement or deduction except as provided herein. Without limiting the foregoing, Tenant’s obligation to pay rent shall be absolute, unconditional, and independent and shall not be discharged or otherwise affected by any law or regulation now or hereafter applicable to the Premises, or any other restriction on Tenant’s use, or, except as provided in Article 8, any casualty or taking, or any failure by Landlord to perform or other occurrence; except as expressly set forth in this Lease, Tenant waives all rights now or hereafter existing to terminate, quit or surrender this Lease or the Premises or any part thereof, or to assert any defense in the nature of constructive eviction to any action seeking to recover rent. Nothing in this Section 3.6 shall be deemed to prohibit Tenant from bringing a claim for injunctive relief against Landlord or seeking monetary damages in a separate proceeding against Landlord.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ALTERATIONS</w:t>
      </w:r>
    </w:p>
    <w:p>
      <w:pPr>
        <w:spacing w:after="0" w:line="229"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Consent Required for Tenant’s Alterations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Tenant shall not make alterations or additions to the Premises except in accordance with complete, coordinated construction plans and specifications therefor first approved by the Landlord, which approval shall not be unreasonably withheld or delayed. There will be no charge for Landlord’s review of Tenant’s plans, specifications and construction, except for Landlord’s reasonable, third party, out-of-pocket expenses. Notwithstanding the foregoing, the Tenant may, from time to time without the Landlord’s prior consent and at the Tenant’s own expense, make interior non-structural alterations and changes in and to the Premises, provided that such alterations or changes (i) do not diminish the value of the Building, (ii) do not exceed the applicable floor loading capacity of the Building; (iii) do not affect existing mechanical or electrical, plumbing, HVAC or other systems in the Building (except for standard balancing adjustments of existing systems that may be required when adding offices, conference rooms and the like), and/or (iv) do not affect the exterior appearance of the Building (including without limitation by changing glass or making changes to the Premises that are visible from the exterior of the Building), provided that any proposed alterations and changes costing Fifty Thousand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9" w:name="page530"/>
    <w:bookmarkEnd w:id="529"/>
    <w:p>
      <w:pPr>
        <w:ind w:right="80"/>
        <w:spacing w:after="0" w:line="285" w:lineRule="auto"/>
        <w:rPr>
          <w:sz w:val="20"/>
          <w:szCs w:val="20"/>
          <w:color w:val="auto"/>
        </w:rPr>
      </w:pPr>
      <w:r>
        <w:rPr>
          <w:rFonts w:ascii="Arial" w:cs="Arial" w:eastAsia="Arial" w:hAnsi="Arial"/>
          <w:sz w:val="16"/>
          <w:szCs w:val="16"/>
          <w:color w:val="auto"/>
        </w:rPr>
        <w:t>Dollars ($50,000) or more, and any proposed alterations and changes that do not fulfill the conditions of any of clauses (i) through (iv) above, shall require Landlord’s prior approval as aforesaid. Whether or not the Tenant’s changes and/or alterations require the Landlord’s consent pursuant to this paragraph, the Tenant shall, in each instance, give reasonable prior notice to the Landlord of the presence of Tenant’s contractors in the Building and any alterations and changes in and to the Premises which the Tenant intends to undertake, together with a reasonable description of the proposed work and such plans and specifications as the Tenant has therefor. The Landlord shall not be deemed unreasonable for withholding approval of any alterations or additions which</w:t>
      </w:r>
    </w:p>
    <w:p>
      <w:pPr>
        <w:spacing w:after="0" w:line="2" w:lineRule="exact"/>
        <w:rPr>
          <w:sz w:val="20"/>
          <w:szCs w:val="20"/>
          <w:color w:val="auto"/>
        </w:rPr>
      </w:pPr>
    </w:p>
    <w:p>
      <w:pPr>
        <w:ind w:firstLine="8"/>
        <w:spacing w:after="0" w:line="267" w:lineRule="auto"/>
        <w:tabs>
          <w:tab w:leader="none" w:pos="215" w:val="left"/>
        </w:tabs>
        <w:numPr>
          <w:ilvl w:val="0"/>
          <w:numId w:val="394"/>
        </w:numPr>
        <w:rPr>
          <w:rFonts w:ascii="Arial" w:cs="Arial" w:eastAsia="Arial" w:hAnsi="Arial"/>
          <w:sz w:val="17"/>
          <w:szCs w:val="17"/>
          <w:color w:val="auto"/>
        </w:rPr>
      </w:pPr>
      <w:r>
        <w:rPr>
          <w:rFonts w:ascii="Arial" w:cs="Arial" w:eastAsia="Arial" w:hAnsi="Arial"/>
          <w:sz w:val="17"/>
          <w:szCs w:val="17"/>
          <w:color w:val="auto"/>
        </w:rPr>
        <w:t>would adversely affect any structural or exterior element of the Building, (ii) would adversely affect the general utility of the Building for use by existing tenants or prospective future tenants thereof, (iii) would affect the exterior appearance of the Building in a manner which is not acceptable to the Landlord, in its sole discretion, (iv) will require unusual expense to readapt the Premises to normal use as laboratory space; or (v) would adversely affect existing mechanical or electrical, plumbing, HVAC or other systems in the Building, in each case, with respect to clauses (i)-(v), as reasonably determined by the Landlord in its sole discretion. The Landlord shall not be deemed unreasonable in delaying the approval of any alterations or additions to the extent that Landlord reasonably requires consultation with third party architects or engineers to review the plans for such work. In any notice withholding approval the Landlord shall specify, in reasonable detail, the nature of the Landlord’s objection. Neither the Landlord’s failure to object to any proposed alterations or additions, nor the Landlord’s approval of any plans and specifications furnished by Tenant to Landlord, shall be construed as superseding in any respect, or as a waiver of Landlord’s right to enforce, the Tenant’s obligation to fulfill all of the terms and conditions of this Lease applicable to any work contemplated thereby. All alterations and additions to the Premises shall be designed in reasonable accordance with the Building design standards promulgated by Landlord from time to time.</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Notwithstanding anything to the contrary contained in this Section 4.1, if any of the Tenant’s proposed alterations and/or additions affect the roof of the Building, the following additional conditions shall apply:</w:t>
      </w:r>
    </w:p>
    <w:p>
      <w:pPr>
        <w:spacing w:after="0" w:line="170" w:lineRule="exact"/>
        <w:rPr>
          <w:sz w:val="20"/>
          <w:szCs w:val="20"/>
          <w:color w:val="auto"/>
        </w:rPr>
      </w:pPr>
    </w:p>
    <w:p>
      <w:pPr>
        <w:ind w:right="360" w:firstLine="1305"/>
        <w:spacing w:after="0" w:line="277" w:lineRule="auto"/>
        <w:tabs>
          <w:tab w:leader="none" w:pos="194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Such alterations and changes will not in any way interfere with the proper functioning of, and Landlord’s access to, equipment located on the roof of the Building or exceed roof loading requirements; and</w:t>
      </w:r>
    </w:p>
    <w:p>
      <w:pPr>
        <w:spacing w:after="0" w:line="170" w:lineRule="exact"/>
        <w:rPr>
          <w:rFonts w:ascii="Arial" w:cs="Arial" w:eastAsia="Arial" w:hAnsi="Arial"/>
          <w:sz w:val="18"/>
          <w:szCs w:val="18"/>
          <w:color w:val="auto"/>
        </w:rPr>
      </w:pPr>
    </w:p>
    <w:p>
      <w:pPr>
        <w:ind w:right="180" w:firstLine="1305"/>
        <w:spacing w:after="0" w:line="342" w:lineRule="auto"/>
        <w:tabs>
          <w:tab w:leader="none" w:pos="1952" w:val="left"/>
        </w:tabs>
        <w:numPr>
          <w:ilvl w:val="0"/>
          <w:numId w:val="395"/>
        </w:numPr>
        <w:rPr>
          <w:rFonts w:ascii="Arial" w:cs="Arial" w:eastAsia="Arial" w:hAnsi="Arial"/>
          <w:sz w:val="16"/>
          <w:szCs w:val="16"/>
          <w:color w:val="auto"/>
        </w:rPr>
      </w:pPr>
      <w:r>
        <w:rPr>
          <w:rFonts w:ascii="Arial" w:cs="Arial" w:eastAsia="Arial" w:hAnsi="Arial"/>
          <w:sz w:val="16"/>
          <w:szCs w:val="16"/>
          <w:color w:val="auto"/>
        </w:rPr>
        <w:t>Adequate measures are taken to reduce the visibility and noise of mechanical equipment, antennae and dishes consistent with the appearance and design scheme required by the Rules and Regulations and any applicable laws, ordinances or regulations of the City of Cambridge.</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Promptly following the performance of any alterations or additions to the Premises, the Tenant shall furnish Landlord an “as built” set of plans and specifications for the Premises and a report evidencing the completion of air balancing (to the extent such alterations or additions affected air balancing), in a format reasonably requested by the Landlord.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0" w:name="page531"/>
    <w:bookmarkEnd w:id="530"/>
    <w:p>
      <w:pPr>
        <w:ind w:left="90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Ownership of Alterations and Initial Leasehold Improvements</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All alterations and additions and the Initial Leasehold Improvements shall be part of the Building and owned by the Landlord; provided, however, that the Landlord may require the Tenant to remove certain specialized alterations and additions and Initial Leasehold Improvements at the expiration, or the early termination of this Lease. Landlord shall specify such items at the time of its approval of their installation. All movable equipment, trade fixtures and furnishings not attached to the Premises shall remain the personal property of the Tenant and shall be removed by the Tenant upon expiration or earlier termination of this Lease. Notwithstanding the foregoing, any and all improvements, specifically including movable case work, lab benches, hoods and equipment, funded by the Leasehold Improvements Allowance shall be part of the Building and owned by the Landlord.</w:t>
      </w:r>
    </w:p>
    <w:p>
      <w:pPr>
        <w:spacing w:after="0" w:line="16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Any alterations and additions, if required to be removed upon the termination or expiration of this Lease as hereinabove provided, shall be removed by the Tenant with reasonable care and diligence, including the capping off of all utility connections behind the adjacent interior finish, and the restoration of such interior finish to the extent necessary so that the Premises are left with complete wall, ceiling and floor finishes.</w:t>
      </w:r>
    </w:p>
    <w:p>
      <w:pPr>
        <w:spacing w:after="0" w:line="166"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Construction Requirements for Alterations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All construction work performed by or on behalf of the Tenant (“Tenant’s Work”) shall be done in a good and workmanlike manner employing only first class materials and in compliance with the Rules and Regulations (as defined in Section 6.3) that apply to construction, and with all applicable laws and all lawful ordinances, regulations and orders of governmental authority and insurers of the Building. The Landlord or Landlord’s authorized agent may (but without any implied obligation to do so) inspect the work of the Tenant at reasonable times and shall give notice of observed defects. Tenant’s Work and the installation of furnishings shall always be coordinated in such manner as to maintain harmonious labor relations on the Property and not to damage the Building or interfere with Building construction or operation. Tenant’s Work shall be performed by contractors or workmen first approved by the Landlord, which approval the Landlord agrees not to unreasonably withhold or delay. The Tenant, before starting any work, shall receive and comply with the Construction Rules and Regulations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and shall (i) cause the Tenant’s contractors to comply therewith; (ii) obtain “builder’s risk” coverage (in an amount that is reasonable given the quality and quantity of the work to be undertaken) to enhance the insurance coverage otherwise required to be carried by the Tenant hereunder; (iii) secure all licenses and permits necessary for such work; (iv) deliver to the Landlord a statement of the names of its general contractor (or construction manager) and subcontractors who are to perform electrical or plumbing work or are otherwise to perform work that will affect the structure or base building systems of the Building, and the estimated cost to design and construct any Tenant’s Work; (v) provide security satisfactory to the Landlord in its reasonable discretion and consistent with the security requirements for comparable work in comparable buildings in the Cambridge market protecting the Landlord against liens arising out of the furnishing of such labor and material; and (vi) cause each contractor to carry worker’s compensation insurance in statutory amounts covering all the contractors’ and subcontractors’ employees and commercial general liability insurance on an occurrence basis with limits of $1,000,000 (individual) and $5,000,000 (occurrence) covering personal injury and death and property damage (all such insurance to be written in companies approved reasonably by the Landlord and insuring the Landlord, such individuals and entities affiliated with the Landlord as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Landlord may designate, any ground lessor or mortgagee that the Landlord may designate, and the Tenant as well as the contractors and to contain a requirement for at least thirty (30) days’ notice to the Landlord prior to cancellation, nonrenewal or material change), and deliver to the Landlord certificates of all such insurance prior to the commencement of the applicable Tenant’s Work. Tenant shall reimburse the Landlord within 30 days after invoice for any reasonable third-party expenses incurred by the Landlord in connection with any request by the Tenant for consent to any alterations or additions pursuant to this Article 4.</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Payment for Tenant Alterations.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Except as set forth in the Work Letter, the Tenant agrees to pay promptly when due the entire cost of any work done on the Premises by the Tenant, its agents, employees or independent contractors, and not to cause or permit any liens or notice of intent to file a lien for labor or materials performed or furnished in connection therewith to attach to the Premises or the Property and promptly to discharge (or bond over in a manner satisfactory to Landlord in its sole discretion) any such liens which may so attach. If any such lien or notice of intent to file a lien shall be filed against the Premises or the Property and the Tenant shall fail to cause such lien or notice to be discharged within fifteen (15) days after receipt by the Tenant of notice of the filing thereof, the Landlord may cause such lien or notice to be discharged by payment or otherwise without investigation as to the validity thereof or as to any offsets or defenses which the Tenant may have with respect to the amount claimed. The Tenant shall reimburse the Landlord, as additional rent, for any cost so incurred and shall indemnify and hold harmless the Landlord from and against any and all claims, costs, damages, liabilities and expenses (including reasonable attorneys’ fees) which may be incurred or suffered by the Landlord by reason of any such lien or its discharge.</w:t>
      </w:r>
    </w:p>
    <w:p>
      <w:pPr>
        <w:spacing w:after="0" w:line="167"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Initial Leasehold Improvements.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Tenant shall have the right to perform some initial work to the Premises prior to occupancy (the “Initial Leasehold Improvements”).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construction of the Initial Leasehold Improvements shall be done in accordance with the terms of this Section 4 and the work letter attached hereto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Exhibit E-1 (the “Work Letter”). Additionally, and subject to the terms set forth herein and in the Work Letter, Tenant may hire its own architect and engineer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construction of the Initial Leasehold Improvements, subject to the approval of the Landlord, which shall not be unreasonably withheld. There shall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 construction oversight fee paid to Landlord. However, Landlord shall be reimbursed for any third party out of pocket costs incurred by Landlord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review and approval of Tenant’s plans, specifications, improvements and construction. Tenant agrees to use The Richmond Group (the “Contractor”) as its</w:t>
      </w:r>
    </w:p>
    <w:p>
      <w:pPr>
        <w:spacing w:after="0" w:line="32"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general contractor for the Initial Leasehold Improvements.</w:t>
      </w:r>
      <w:r>
        <w:rPr>
          <w:sz w:val="20"/>
          <w:szCs w:val="20"/>
          <w:color w:val="auto"/>
        </w:rPr>
        <w:tab/>
      </w:r>
      <w:r>
        <w:rPr>
          <w:rFonts w:ascii="Arial" w:cs="Arial" w:eastAsia="Arial" w:hAnsi="Arial"/>
          <w:sz w:val="16"/>
          <w:szCs w:val="16"/>
          <w:color w:val="auto"/>
        </w:rPr>
        <w:t>As construction of the Landlord’s Work and the Initial Leasehold Improvements will be ongoing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simultaneously, both Landlord and Tenant agree to use good faith efforts to cooperate with each other to ensure the various construction activities occur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unreasonable conflict.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1" w:name="page532"/>
    <w:bookmarkEnd w:id="531"/>
    <w:p>
      <w:pPr>
        <w:jc w:val="center"/>
        <w:ind w:right="-19"/>
        <w:spacing w:after="0"/>
        <w:rPr>
          <w:sz w:val="20"/>
          <w:szCs w:val="20"/>
          <w:color w:val="auto"/>
        </w:rPr>
      </w:pPr>
      <w:r>
        <w:rPr>
          <w:rFonts w:ascii="Arial" w:cs="Arial" w:eastAsia="Arial" w:hAnsi="Arial"/>
          <w:sz w:val="18"/>
          <w:szCs w:val="18"/>
          <w:b w:val="1"/>
          <w:bCs w:val="1"/>
          <w:u w:val="single" w:color="auto"/>
          <w:color w:val="auto"/>
        </w:rPr>
        <w:t>ARTICLE 5</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u w:val="single" w:color="auto"/>
          <w:color w:val="auto"/>
        </w:rPr>
        <w:t>RESPONSIBILITY FOR CONDITION OF BUILDING AND PREMISES</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Maintenance of Building and Common Areas by Landlord.</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Except as otherwise provided in Article 8, the Landlord shall make such repairs to the foundation, roof, exterior walls (including exterior glass), floor slabs, elevators, base building mechanical, plumbing and electrical and life safety systems (to the extent serving more than one tenant), and any other base structural elements of the Building as may be necessary to keep them in good order, condition and repair, and make such repairs to the mechanical systems and equipment serving the Building, except for any mechanical, plumbing and electrical systems and equipment that serve the Premises exclusively (“Tenant’s Dedicated Mechanical Systems and Equipment”), and other Common Areas as are necessary to keep them in good order, condition and repair. The Landlord shall further perform the services designated as Landlord’s Services on </w:t>
      </w:r>
      <w:r>
        <w:rPr>
          <w:rFonts w:ascii="Arial" w:cs="Arial" w:eastAsia="Arial" w:hAnsi="Arial"/>
          <w:sz w:val="16"/>
          <w:szCs w:val="16"/>
          <w:u w:val="single" w:color="auto"/>
          <w:color w:val="auto"/>
        </w:rPr>
        <w:t>Exhibit E</w:t>
      </w:r>
      <w:r>
        <w:rPr>
          <w:rFonts w:ascii="Arial" w:cs="Arial" w:eastAsia="Arial" w:hAnsi="Arial"/>
          <w:sz w:val="16"/>
          <w:szCs w:val="16"/>
          <w:color w:val="auto"/>
        </w:rPr>
        <w:t>. Landlord shall also provide a dumpster and/or compactor at the loading area of the Building for use by Tenant in common with other tenants for the disposal of non-hazardous and non-controlled substances. Costs and expenses incurred by the Landlord under this Section 5.1 shall be included in Operating Expenses of the Property as permitted under Section 3.3. Subject to Section 7.5, the Tenant shall be responsible for 100% of the cost of any repair to the Premises, the Building, or the Land caused by the negligence or misconduct of the Tenant, or any agent, employee or contractor of the Tenant, notwithstanding anything to the contrary provided in Section 3.3.</w:t>
      </w:r>
    </w:p>
    <w:p>
      <w:pPr>
        <w:spacing w:after="0" w:line="16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Without limiting the foregoing, Landlord shall provide stand-by power by automatic transfer switches and power from the generator installed by Landlord on the roof of the Building, provided that Tenant’s allowance of such power is 4 watts per square foot of the Premises.</w:t>
      </w:r>
    </w:p>
    <w:p>
      <w:pPr>
        <w:spacing w:after="0" w:line="170"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Maintenance of Premises by Tenant.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Tenant shall keep and maintain in good order, condition and repair the Premises and every part thereof and all of Tenant’s Dedicated Mechanical Systems and Equipment, reasonable wear and tear and damage by fire or other casualty excepted (provided that subject to Section 7.5, the Landlord shall be responsible for damage caused by the fault or neglect of the Landlord, or the Landlord’s agents, employees or contractors), excluding those repairs for which the Landlord is responsible pursuant to Sections 5.1, 8.1 and 8.5. The Tenant shall not permit or commit any damage (waste), and the Tenant shall, subject to Section 7.5, be responsible for the cost of repairs which may be made necessary by reason of damage to the Property caused by the negligence or misconduct of the Tenant, or any of the contractors, employees, or agents of the Tenant. Tenant’s Dedicated Mechanical Systems and Equipment, and all other systems and equipment, shall be maintained in good order, condition and repair consistent with prevailing standards at comparable first class leased laboratory buildings, reasonable wear and tear, damage by fire or other casualty, and subject to Section 7.5, damage caused by the fault or neglect of the Landlord, or the Landlord’s agents, employees, or contractors excepted.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2" w:name="page533"/>
    <w:bookmarkEnd w:id="532"/>
    <w:p>
      <w:pPr>
        <w:ind w:left="900"/>
        <w:spacing w:after="0"/>
        <w:tabs>
          <w:tab w:leader="none" w:pos="196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Delays in Landlord’s Services.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Landlord shall not be liable to the Tenant for any compensation or, except as expressly provided below, reduction of rent by reason of inconvenience or annoyance or for loss of business arising from the necessity of the Landlord or its agents entering the Premises for any purposes authorized in this Lease, or for repairing the Premises or any portion of the Building. In case the Landlord is prevented or delayed from making any repairs, alterations or improvements, or furnishing any services or performing any other covenant or duty to be performed on the Landlord’s part, by reason of any External Cause, the Landlord shall not be liable to the Tenant therefor, nor, except as expressly otherwise provided in this Lease, shall the Tenant be entitled to any abatement or reduction of rent by reason thereof, except as provided below, nor shall the same give rise to a claim in the Tenant’s favor that such failure constitutes actual or constructive, total or partial, eviction from the Premises.</w:t>
      </w:r>
    </w:p>
    <w:p>
      <w:pPr>
        <w:spacing w:after="0" w:line="17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Landlord reserves the right to stop any service or utility system the Landlord provides or causes to be provided under this Lease when necessary by reason of accident or emergency or exercise of Landlord’s rights pursuant to Section 2.3 hereof (following notice as provided therein), or until necessary repairs have been completed; provided, however, that in each instance of stoppage, the Landlord shall exercise reasonable diligence to eliminate the cause thereof and shall not interfere with Tenant’s use and occupancy of the Premises. Except in case of emergency repairs, the Landlord will give the Tenant reasonable advance notice of the contemplated stoppage and will use reasonable efforts to avoid unnecessary inconvenience to the Tenant by reason thereof. To the extent that the Landlord is providing or causing to be provided heat, light or any utility or service, in no event shall the Landlord have any liability to the Tenant for the unavailability of the same to the extent that such unavailability is caused by External Causes, provided, however, that the Landlord is obligated to exercise reasonable efforts to restore such services or utility systems’ operation. The Landlord agrees to carry rent interruption insurance in commercially reasonable amounts which permits recovery within, to the extent reasonably available, five (5) days after the insured peril, provided however that the failure by Landlord to carry such rent interruption insurance shall not affect Tenant’s rights hereunder.</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If the unavailability of heat, light or any utility or service provided or caused to be provided by the Landlord, other than the unavailability of the same due to the Tenant’s acts or omissions, renders all or any portion of the Premises untenantable for the Tenant’s use as permitted under this Lease, and the Tenant ceases to occupy the same for the conduct of its business, the Tenant shall receive an equitable abatement of rent, taking into account the extent of the Tenant’s loss of use of the Premises as the result thereof, beginning on and after the third (3</w:t>
      </w:r>
      <w:r>
        <w:rPr>
          <w:rFonts w:ascii="Arial" w:cs="Arial" w:eastAsia="Arial" w:hAnsi="Arial"/>
          <w:sz w:val="22"/>
          <w:szCs w:val="22"/>
          <w:color w:val="auto"/>
          <w:vertAlign w:val="superscript"/>
        </w:rPr>
        <w:t>rd</w:t>
      </w:r>
      <w:r>
        <w:rPr>
          <w:rFonts w:ascii="Arial" w:cs="Arial" w:eastAsia="Arial" w:hAnsi="Arial"/>
          <w:sz w:val="17"/>
          <w:szCs w:val="17"/>
          <w:color w:val="auto"/>
        </w:rPr>
        <w:t>) business day following the commencement of such condition of untenantability. For all purposes of this Lease, if Tenant has responsibility for maintenance and repair of any aspect of the Building or any equipment or system therein, the functioning and performance of the same shall be the responsibility of the Tenant under this Lease, and shall in no event constitute a service or utility system that the Landlord provides or causes to be provided under this Lease.</w:t>
      </w:r>
    </w:p>
    <w:p>
      <w:pPr>
        <w:spacing w:after="0" w:line="190"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Tenant’s Responsibilities Regarding Hazardous Materials.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Tenant covenants and agrees that the Tenant shall not use, generate, store or dispose, nor shall the Tenant suffer or permit the use, generation, storing or disposal in the Premises or otherwise by any of Tenant’s contractors, licensees, invitees, agents or employees, of any oil, toxic substances, hazardous wastes or hazardous materials (collectively, “Hazardous Materials”)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3" w:name="page534"/>
    <w:bookmarkEnd w:id="533"/>
    <w:p>
      <w:pPr>
        <w:spacing w:after="0" w:line="268" w:lineRule="auto"/>
        <w:rPr>
          <w:sz w:val="20"/>
          <w:szCs w:val="20"/>
          <w:color w:val="auto"/>
        </w:rPr>
      </w:pPr>
      <w:r>
        <w:rPr>
          <w:rFonts w:ascii="Arial" w:cs="Arial" w:eastAsia="Arial" w:hAnsi="Arial"/>
          <w:sz w:val="17"/>
          <w:szCs w:val="17"/>
          <w:color w:val="auto"/>
        </w:rPr>
        <w:t xml:space="preserve">in, on or about the Premises, the Building or the Land, except for Hazardous Materials that are necessary and customary for Tenant’s operation of Tenant’s Permitted Use (which Permitted Use is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and in all cases such Hazardous Materials must be used, generated, stored and disposed of by Tenant in compliance with all applicable law and regulations. The Tenant covenants and agrees that the Tenant shall comply with all applicable laws and regulations in handling and disposing of materials used in its research and other uses of the Premises, whether or not considered Hazardous Materials, and Tenant shall not dump, flush or cause the other introduction of Hazardous Materials or such other inappropriate materials into the septic, sewage or other waste disposal systems serving the Premises, except as specifically permitted by law or regulation and subject to the conditions and qualifications imposed by any governmental license or permit. The Tenant covenants and agrees that the Tenant shall, at its sole cost, promptly remove or remediate all Hazardous Materials that are found upon the Premises, the Building or the Land by virtue of the failure of the foregoing covenants and agreements to have been fulfilled, or otherwise as the result of the act or omission of Tenant or its contractors, licensees, agents or employees, in a manner complying with all applicable laws and regulations and the provisions of this Lease. If the Tenant should have any responsibility under this Section 5.4 to remove or remediate Hazardous Materials, the Tenant shall keep the Landlord reasonably informed as to the status of the environmental condition at issue, promptly furnish to the Landlord copies of all regulatory filings with any governmental regulatory agencies in connection therewith, and substantiate the performance of its obligations under this Section 5.4. At the expiration or earlier termination of the Term, the Tenant shall promptly remove or remediate any Hazardous Materials from the Premises in a manner consistent with accepted “best practices” and in compliance with all legal requirements relating to the closure of laboratory facilities and disposal of equipment and supplies therein.</w:t>
      </w:r>
    </w:p>
    <w:p>
      <w:pPr>
        <w:spacing w:after="0" w:line="183"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If Tenant’s transportation, storage or use of Hazardous Materials on the Premises results in the release onto or other contamination of any portion of the Property or adjacent areas, including building or parking areas, soil or surface or ground water, or loss or damage to person(s) or property, without limitation, Tenant agrees to: (a) notify Landlord immediately of any release, threat of release, contamination, claim of contamination, loss or damage and</w:t>
      </w:r>
    </w:p>
    <w:p>
      <w:pPr>
        <w:ind w:firstLine="8"/>
        <w:spacing w:after="0" w:line="267" w:lineRule="auto"/>
        <w:tabs>
          <w:tab w:leader="none" w:pos="255" w:val="left"/>
        </w:tabs>
        <w:numPr>
          <w:ilvl w:val="0"/>
          <w:numId w:val="396"/>
        </w:numPr>
        <w:rPr>
          <w:rFonts w:ascii="Arial" w:cs="Arial" w:eastAsia="Arial" w:hAnsi="Arial"/>
          <w:sz w:val="17"/>
          <w:szCs w:val="17"/>
          <w:color w:val="auto"/>
        </w:rPr>
      </w:pPr>
      <w:r>
        <w:rPr>
          <w:rFonts w:ascii="Arial" w:cs="Arial" w:eastAsia="Arial" w:hAnsi="Arial"/>
          <w:sz w:val="17"/>
          <w:szCs w:val="17"/>
          <w:color w:val="auto"/>
        </w:rPr>
        <w:t>after consultation with Landlord, clean up the release, threat of release, or contamination as required by all applicable statutes, regulations and standards. In the event of such contamination, Tenant agrees to cooperate with Landlord, as Landlord may reasonably request, and provide such documents, affidavits and information as may be reasonably requested by Landlord (1) to comply with any applicable laws, and/or (2) for any other reason deemed necessary by Landlord in its reasonable discretion. Tenant shall notify Landlord promptly in the event of any spill or other release of any Hazardous Materials at, in, on, under or about the Premises that is required to be reported to a governmental authority under any applicable laws, shall promptly forward to Landlord copies of any notices received by Tenant relating to alleged violations of any applicable laws and shall promptly pay when due any fine or assessment against Landlord, Tenant, or the Premises relating to any violation during the Term of any applicable laws by Tenant, its employees, agents, or independent contractors, or with respect to the Premises or the remainder of the Property. If any governmental authority files a lien against the Premises or the remainder of the Property due to any act or omission, intentional or unintentional, of Tenant, its agents, or employees, or for which Tenant is responsible, resulting in the releasing, spilling, leaking, leaching, pumping, emitting, pouring, emptying or dumping of any Hazardous Materials, Tenant shall, within fifteen (15) days from the date that Tenant is first given notice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34" w:name="page535"/>
    <w:bookmarkEnd w:id="534"/>
    <w:p>
      <w:pPr>
        <w:spacing w:after="0" w:line="276" w:lineRule="auto"/>
        <w:rPr>
          <w:sz w:val="20"/>
          <w:szCs w:val="20"/>
          <w:color w:val="auto"/>
        </w:rPr>
      </w:pPr>
      <w:r>
        <w:rPr>
          <w:rFonts w:ascii="Arial" w:cs="Arial" w:eastAsia="Arial" w:hAnsi="Arial"/>
          <w:sz w:val="17"/>
          <w:szCs w:val="17"/>
          <w:color w:val="auto"/>
        </w:rPr>
        <w:t>such lien (or within such shorter period of time as may be specified by Landlord if such governmental authority takes steps to cause the Premises to be sold pursuant to such lien) either (A) pay the claim and remove the lien or (B) furnish a cash deposit, bond or such other security as is reasonably satisfactory in all respects to Landlord and sufficient to discharge the lien completely. Tenant shall defend, indemnify Landlord and hold Landlord harmless from and against any damages, liability or expense associated with claims by governmental or other third parties arising out of the presence, removal or remediation of Hazardous Materials for which Tenant is responsible for removal or remediation under this Section 5.4.</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Notwithstanding any provision hereof to the contrary, Tenant shall not be responsible for, and the indemnification and hold harmless obligations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shall not include matters arising from: (A) the existing environmental condition of the Premises or Property as of the Lease Commencement Date or any earlier date of entry into the Premises by Tenant, or (B) Hazardous Materials brought upon, kept, used, stored, handled, treated, generated in or about, or released or disposed of from the Premises during the Term by Landlord or by another tenant or occupant of the Building or any of their respective officers, directors, employees, agents or contractors.</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Landlord’s Responsibilities Regarding Hazardous Materials.</w:t>
      </w:r>
    </w:p>
    <w:p>
      <w:pPr>
        <w:spacing w:after="0" w:line="225"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Landlord has provided Tenant with a copy of the decommissioning report(s) for the Premises. During the Term of this Lease, if the removal or remediation of Hazardous Materials from the Premises, Building or Land is required to be undertaken, then except to the extent such obligation is the responsibility of the Tenant under Section 5.4 hereof, the Landlord covenants and agrees to undertake the same without charge to the Tenant. Without limitation of the foregoing, if necessary to comply with any applicable legal requirements, should any existing environmental condition of the Land require the removal or remediation of Hazardous Materials, the Landlord shall perform such removal or remediation, without charge to the Tenant, when and if required by applicable legal requirements. The Landlord shall keep the Tenant reasonably informed as to the status of the environmental condition at issue, promptly furnish to the Tenant copies of all regulatory filings with any governmental regulatory agencies in connection therewith, and substantiate the performance of its obligations under this Section 5.5.</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Tenant covenants during the Term and for such further time as the Tenant occupies any part of the Premises:</w:t>
      </w:r>
    </w:p>
    <w:p>
      <w:pPr>
        <w:spacing w:after="0" w:line="225"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Permitted Uses.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 Tenant shall occupy the Premises only for the Permitted Uses, and shall not injure or deface the Premises or the Property, nor permit in the Premises any auction sale. The Tenant shall not permit in the Premises any nuisance, or the emission from the Premises of any reasonably objectionable noise, odor or vibration, nor use or devote the Premises or any part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5" w:name="page536"/>
    <w:bookmarkEnd w:id="535"/>
    <w:p>
      <w:pPr>
        <w:ind w:right="160"/>
        <w:spacing w:after="0" w:line="257" w:lineRule="auto"/>
        <w:rPr>
          <w:sz w:val="20"/>
          <w:szCs w:val="20"/>
          <w:color w:val="auto"/>
        </w:rPr>
      </w:pPr>
      <w:r>
        <w:rPr>
          <w:rFonts w:ascii="Arial" w:cs="Arial" w:eastAsia="Arial" w:hAnsi="Arial"/>
          <w:sz w:val="18"/>
          <w:szCs w:val="18"/>
          <w:color w:val="auto"/>
        </w:rPr>
        <w:t>thereof for any purpose which is contrary to law or ordinance, or liable to invalidate or increase premiums (above those normally incurred for the Permitted Uses) for any insurance on the Building or its contents (unless the Tenant pays for any such increase in premiums and provided such actions do not interfere with the use and enjoyment of the Land by the Landlord, other tenants, visitors or invitees of the Building) or liable to render necessary any alteration or addition to the Building, nor commit or permit any waste in or with respect to the Premises, nor shall Tenant overload existing electrical or other Building systems.</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Laws and Regulations.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Tenant shall comply with all federal, state and local laws, regulations, ordinances, executive orders, guidelines, policies and similar requirements in effect from time to time, including, without limitation, all such requirements relating to Tenant’s occupancy and use of the Premises and Hazardous Materials. Tenant shall also conform to recognized “best practices” standards with respect to the physical aspects of its operations carried on within the Premises. Tenant shall have the right to contest any notice of violation for any of the foregoing by appropriate proceedings diligently conducted in good faith</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the foregoing or any other provision of this Lease, however, Tenant shall not be responsible for compliance with any such laws, regulations, or the like requiring (a) structural repairs or modifications to the Building; or (b) repairs or modifications to the utility or building service equipment serving the Building (rather than equipment installed by Tenant serving only the Premises); or (c) installation of new building service equipment, such as fire detection or suppression equipment, unless such repairs, modifications, or installations shall (i) be due to Tenant’s particular manner of use of the Premises (as opposed to laboratory use generally), or (ii) be due to the negligence or willful misconduct of Tenant or any agent, employee, or contractor of Tenant.</w:t>
      </w:r>
    </w:p>
    <w:p>
      <w:pPr>
        <w:spacing w:after="0" w:line="195"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Rules and Regulations.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The Tenant agrees to comply with the Rules and Regulations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and such other reasonable and non discriminatorily enforced rules and regulations of general applicability (“Rules and Regulations”) as (i) may from time to time be made by the Landlord of which the Tenant is given written advanced notice, so far as the same relate to the use of the Building, the Land and the Tenant’s appurtenant parking privileges and (ii) may from time to time be promulgated with respect to all or any portion of the Building (including without limitation pursuant to the Declaration of Covenants). The Tenant shall not obstruct in any manner any portion of the Property; and, except as set forth in this Lease, shall not permit the placing of any signs, awnings or flagpoles, or the like, visible from outside the Building. Neither shall Tenant place curtains, blinds or shades or similar window treatments visible from outside the Building in the Premises, except as may be otherwise approved by Landlord.</w:t>
      </w:r>
    </w:p>
    <w:p>
      <w:pPr>
        <w:spacing w:after="0" w:line="1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Safety Compliance.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Tenant shall keep the Premises equipped with all safety appliances required by law or ordinance or any other regulations of any public authority because of the manner of use made by the Tenant and to procure all licenses and permits so required because of such manner of use and, if requested by the Landlord, do any work so required because of such use, it being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6" w:name="page537"/>
    <w:bookmarkEnd w:id="536"/>
    <w:p>
      <w:pPr>
        <w:spacing w:after="0"/>
        <w:rPr>
          <w:sz w:val="20"/>
          <w:szCs w:val="20"/>
          <w:color w:val="auto"/>
        </w:rPr>
      </w:pPr>
      <w:r>
        <w:rPr>
          <w:rFonts w:ascii="Arial" w:cs="Arial" w:eastAsia="Arial" w:hAnsi="Arial"/>
          <w:sz w:val="18"/>
          <w:szCs w:val="18"/>
          <w:color w:val="auto"/>
        </w:rPr>
        <w:t>understood that the foregoing provisions shall not be construed to broaden in any way the Tenant’s Permitted Uses.</w:t>
      </w:r>
    </w:p>
    <w:p>
      <w:pPr>
        <w:spacing w:after="0" w:line="225"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Landlord’s Entry.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Tenant shall permit the Landlord and its agents, after at least twenty four (24) hours’ notice except in the case of emergencies, to enter the Premises at all reasonable hours for the purpose of inspecting or making repairs to the same, monitoring Tenant’s compliance with the requirements and restrictions set forth in this Lease, and for the purpose of showing the Premises to prospective purchasers and mortgagees at all reasonable times and to prospective tenants within twelve (12) months of the end of the Term provided that in connection with such entry, Tenant may provide procedures reasonably designed so as not to jeopardize Tenant’s trade secrets, proprietary technology or critical business operations, including accompaniment of all such persons by an employee of the Tenant. In case of an emergency, the Landlord shall make good faith efforts to notify the Tenant in person or by telephone prior to such entry, and in any event, the Landlord shall notify Tenant promptly thereafter such entry.</w:t>
      </w:r>
    </w:p>
    <w:p>
      <w:pPr>
        <w:spacing w:after="0" w:line="1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Floor Load.</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The Tenant shall not place a load upon any floor in the Premises exceeding the floor load per square foot of area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 which such floor was designed to carry, which floor load is </w:t>
      </w:r>
      <w:r>
        <w:rPr>
          <w:rFonts w:ascii="Arial" w:cs="Arial" w:eastAsia="Arial" w:hAnsi="Arial"/>
          <w:sz w:val="17"/>
          <w:szCs w:val="17"/>
          <w:b w:val="1"/>
          <w:bCs w:val="1"/>
          <w:color w:val="auto"/>
        </w:rPr>
        <w:t>[TO BE CONFIRMED: one hundred (100) pounds]</w:t>
      </w:r>
      <w:r>
        <w:rPr>
          <w:rFonts w:ascii="Arial" w:cs="Arial" w:eastAsia="Arial" w:hAnsi="Arial"/>
          <w:sz w:val="17"/>
          <w:szCs w:val="17"/>
          <w:color w:val="auto"/>
        </w:rPr>
        <w:t xml:space="preserve"> per square foot of area as of the date of this Lease, and which is allowed by law. The Tenant’s machines and mechanical equipment shall be placed and maintained by the Tenant at the Tenant’s expense in settings sufficient to absorb or prevent vibration or noise that may be transmitted to the Building structure.</w:t>
      </w:r>
    </w:p>
    <w:p>
      <w:pPr>
        <w:spacing w:after="0" w:line="17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Personal Property Tax.</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Tenant shall pay promptly when due all taxes which may be imposed upon personal property (including, without limitation, fixtures and equipment) in the Premises to whomever assessed. Tenant shall have the right to contest the validity or amount of any such taxes by appropriate proceedings diligently conducted in good faith.</w:t>
      </w:r>
    </w:p>
    <w:p>
      <w:pPr>
        <w:spacing w:after="0" w:line="18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5"/>
          <w:szCs w:val="15"/>
          <w:u w:val="single" w:color="auto"/>
          <w:color w:val="auto"/>
        </w:rPr>
        <w:t>Assignment and Subleases.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Except as otherwise provided in this Section 6.8, the Tenant shall not assign this Lease or sublet (which term, without limitation, shall include granting of concessions, licenses and the like) the whole or any part of the Premises, nor permit the further underletting or assignment of any sublease or other occupancy agreement (each a “Transfer”) without, in each instance, having first received the consent of the Landlord which consent shall not be unreasonably withheld or delayed. Any purported Transfer made without such consent or otherwise not fulfilling the conditions and requirements of this Section 6.8 shall be void, and except as specifically permitted in this Section 6.8, in no event shall the Tenant or anyone claiming by, through or under the Tenant have the right to mortgage, pledge, hypothecate or otherwise transfer this Lease. The Landlord shall not be deemed to be unreasonable in withholding its consent to any proposed Transfer that is subject to the Landlord’s consent based on any of the following factors: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7" w:name="page538"/>
    <w:bookmarkEnd w:id="537"/>
    <w:p>
      <w:pPr>
        <w:jc w:val="both"/>
        <w:ind w:right="20" w:firstLine="1305"/>
        <w:spacing w:after="0" w:line="264" w:lineRule="auto"/>
        <w:tabs>
          <w:tab w:leader="none" w:pos="1991"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If the manner in which the proposed occupant conducts its business operations is not consistent, in Landlord’s reasonable opinion, with the image and character of the Park development as a first-class biotechnology office/research and development park, then the withholding of consent by the Landlord shall be considered reasonable; and</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001"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If the proposed Transfer is (i) an assignment of this Lease, or (ii) a sublease, then in either of such cases, if the proposed occupant is not sufficiently creditworthy and trustworthy in the reasonable opinion of the Landlord with reference to the monetary and other obligations which are to be fulfilled by the Tenant under this Lease, and the reasonable needs of the Landlord to protect the value of the Building, then the withholding of consent by the Landlord shall be considered reasonable.</w:t>
      </w:r>
    </w:p>
    <w:p>
      <w:pPr>
        <w:spacing w:after="0" w:line="186" w:lineRule="exact"/>
        <w:rPr>
          <w:rFonts w:ascii="Arial" w:cs="Arial" w:eastAsia="Arial" w:hAnsi="Arial"/>
          <w:sz w:val="18"/>
          <w:szCs w:val="18"/>
          <w:color w:val="auto"/>
        </w:rPr>
      </w:pPr>
    </w:p>
    <w:p>
      <w:pPr>
        <w:ind w:right="300" w:firstLine="1305"/>
        <w:spacing w:after="0" w:line="264" w:lineRule="auto"/>
        <w:tabs>
          <w:tab w:leader="none" w:pos="1991"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If the proposed assignee or subtenant is already actively involved in discussions with either the Landlord or any affiliate of the Landlord regarding space within the Park that is or is to become available for lease, then the withholding of consent by the Landlord shall be considered reasonable.</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Notwithstanding anything to the contrary contained in this Section, Tenant shall have the right to assign or otherwise Transfer this Lease or the Premises, or part of the Premises, without obtaining the prior consent of Landlord, (a) to its parent entity or to a wholly owned subsidiary or to an entity which is wholly owned by the same entity which wholly owns Tenant or to an entity that controls, is controlled by or under common control with Tenant, where control is the right to direct voting of more than 50% of the ownership interests in the applicable entity (an “Affiliate”), provided that (i) the transferee shall, prior to the effective date of the transfer, deliver to Landlord instruments evidencing such transfer and its agreement to assume and be bound by all the terms, conditions and covenants of this Lease to be performed by Tenant, all in form reasonably acceptable to Landlord and (ii) at the time of such transfer there shall not be an uncured Event of Default under this Lease except in connection with a bona fide dispute that the parties are negotiating in good faith to resolve; or (b) to the purchaser of all or substantially all of its assets or ownership interests in Tenant, or to any entity into which the Tenant may be merged or consolidated (along with all or substantially all of its assets or ownership interests) (the “Acquiring Company”), provided that (i) the net assets of the Acquiring Company at the time of the transfer or merger shall not be less than the net assets of Tenant at the time of the transfer, (ii) the Acquiring Company’s use of the Premises shall be consistent with the Permitted Uses described in Exhibit A, (iii) the Acquiring Company shall assume in writing, in form reasonably acceptable to Landlord, all of Tenant’s obligations under this Lease, (iv) Tenant shall provide to Landlord such additional information regarding the Acquiring Company as Landlord shall reasonably request, and (v) Tenant shall pay Landlord’s reasonable third-party expenses incurred in connection therewith. The transfers described in this paragraph are hereinafter referred to as “Permitted Transfers.” Upon request of Tenant, Landlord agrees to execute a reasonable confidentiality agreement prior to Tenant’s being required to deliver financial and other information on the assignee or subtenant.</w:t>
      </w:r>
    </w:p>
    <w:p>
      <w:pPr>
        <w:spacing w:after="0" w:line="16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Whether or not the Landlord consents, or is required to consent, to any Transfer, the Tenant named herein shall remain fully and primarily liable for the obligations of the Tenant hereunder, including, without limitation, the obligation to pay Annual Fixed Rent and Additional Rent provided under this Lease.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8" w:name="page539"/>
    <w:bookmarkEnd w:id="538"/>
    <w:p>
      <w:pPr>
        <w:ind w:firstLine="648"/>
        <w:spacing w:after="0" w:line="287" w:lineRule="auto"/>
        <w:rPr>
          <w:sz w:val="20"/>
          <w:szCs w:val="20"/>
          <w:color w:val="auto"/>
        </w:rPr>
      </w:pPr>
      <w:r>
        <w:rPr>
          <w:rFonts w:ascii="Arial" w:cs="Arial" w:eastAsia="Arial" w:hAnsi="Arial"/>
          <w:sz w:val="16"/>
          <w:szCs w:val="16"/>
          <w:color w:val="auto"/>
        </w:rPr>
        <w:t>The Tenant shall give the Landlord at least 30 days prior written notice of any proposed Transfer, specifying the provisions thereof, including (i) the name and address of the proposed occupant, subtenant, assignee or other transferee, (ii) a copy of the proposed occupant’s, subtenant’s, assignee’s, or other transferee’s most recent annual financial statement, and (iii) all of the terms and provisions upon which the proposed Transfer is to be made including, without limitation, all of the documentation effectuating such Transfer (which shall be subject to the Landlord’s approval not to be unreasonably withheld) and such other reasonable information concerning the proposed Transfer or concerning the proposed occupant, subtenant, assignee or other transferee as the Tenant has obtained in connection with the proposed Transfer. The Tenant shall reimburse the Landlord promptly for reasonable legal and other reasonable expenses incurred by the Landlord in connection with any request by the Tenant for consent to any Transfer. If this Lease is assigned, or if the Premises or any part thereof is sublet or occupied by anyone other than the Tenant, or there is otherwise a Transfer, then during any time when an Event of Default is subsisting, the Landlord may, at any time and from time to time, collect rent and other charges from the assignee, sublessee, occupant or transferee, and apply the net amount collected to the rent and other charges herein reserved, but no such assignment, subletting, occupancy or collection shall be deemed a waiver of the prohibitions contained in this Section 6.8 or the acceptance of the assignee, sublessee or occupant as a tenant or a release of the Tenant from the further performance by the Tenant of covenants on the part of the Tenant herein contained.</w:t>
      </w:r>
    </w:p>
    <w:p>
      <w:pPr>
        <w:spacing w:after="0" w:line="16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Except for Transfers to an Affiliate or an Acquiring Company, the Tenant shall pay to the Landlord fifty percent (50%) of any amounts the Tenant receives from any occupant, subtenant, assignee or other transferee as rent, additional rent or other forms of compensation or reimbursement (if any) in excess of the aggregate amount of (i) the proportionate monthly share of Annual Fixed Rent, Additional Rent and all other monies due to Landlord pursuant to this Lease (allocable in the case of a sublease to that portion of the Premises being subleased), (ii) all costs associated with assigning or subleasing the Premises or any portion of the Premises, including without limitation, rent concessions, brokerage commissions and reasonable fees for legal services associated with the transaction, (iii) Tenant’s costs to prepare the space for the assignee or subtenant (“Sublease Transaction Expenses”), (iv) the costs of Tenant’s leasehold improvement in excess of the LIA, and (v) consideration payable to Tenant other than for the transfer of the interest in the leasehold estate hereunder, such as charges for use of shared equipment and services to be provided by Tenant to such transferee. In the circumstances where the transferee pays the consideration due to the Tenant on account of such transfer over time (e.g. monthly rental payments under a sublease), Sublease Transaction Expenses referred to in clauses (ii), (iii) and (iv) of the preceding sentence shall be amortized on a straight line basis over the term of the transfer in question. The consent by the Landlord to a Transfer for which the Landlord’s consent is required shall not be construed to relieve the Tenant from the obligation to obtain the express consent in writing of the Landlord to any further Transfer whether by the Tenant or by anyone claiming by, through or under the Tenant including, without limitation, any occupant, assignee, subtenant or other transferee.</w:t>
      </w:r>
    </w:p>
    <w:p>
      <w:pPr>
        <w:spacing w:after="0" w:line="17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Except for Transfers to an Affiliate if the portion of the Premises that is subject to the proposed assignment or subletting is larger than 25% of the Premises and the proposed assignment or subletting is for the duration of the then remaining Term, then the Landlord may elect, within thirty (30) days of receipt of written notice from the Tenant of any proposed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9" w:name="page540"/>
    <w:bookmarkEnd w:id="539"/>
    <w:p>
      <w:pPr>
        <w:ind w:right="20"/>
        <w:spacing w:after="0" w:line="302" w:lineRule="auto"/>
        <w:rPr>
          <w:sz w:val="20"/>
          <w:szCs w:val="20"/>
          <w:color w:val="auto"/>
        </w:rPr>
      </w:pPr>
      <w:r>
        <w:rPr>
          <w:rFonts w:ascii="Arial" w:cs="Arial" w:eastAsia="Arial" w:hAnsi="Arial"/>
          <w:sz w:val="16"/>
          <w:szCs w:val="16"/>
          <w:color w:val="auto"/>
        </w:rPr>
        <w:t>assignment or sublease of all or any portion of the Premises prior to approving or disapproving any such proposed assignment or sublease, to repossess the Premises or the portion of the Premises under consideration. The Landlord may thereafter lease the Premises in such a manner as the Landlord may in its sole discretion determine. In the event the Landlord elects to repossess the Premises or the portion of the Premises under consideration as provided above, then all of the Tenant’s rights and obligations hereunder with respect to the Premises shall cease and shall be of no further force and effect.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INDEMNITY AND INSURANCE</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Indemnity.</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To the maximum extent this agreement may be made effective according to law, the Tenant agrees to defend, indemnify and save harmless the Landlord from and against all claims, loss, or damage of whatever nature arising from any breach by Tenant of any obligation of Tenant under this Lease beyond applicable notice and cure periods or from any act, omission or negligence of the Tenant, or the Tenant’s contractors, licensees, invitees, agents, servants or employees, or arising from any accident, injury or damage whatsoever caused to any person or property, occurring after the date that possession of the Premises is first delivered to the Tenant and until the end of the Term and thereafter, so long as the Tenant is in occupancy of any part of the Premises, in or about the Premises or arising from any accident, injury or damage occurring outside the Premises but within the Building, on the Land, on the access roads and ways, in the parking facilities provided pursuant to the Lease, within University Park or any adjacent area maintained by Landlord or any individual or entity affiliated with Landlord, where such accident, injury or damage results from a negligent act or omission or willful misconduct on the part of the Tenant or the Tenant’s agents or employees, licensees, invitees, servants or contractors, provided that the foregoing indemnity shall not include any cost or damage to the extent arising from any act, omission or negligence of the Landlord, or the Landlord’s contractors, licensees, invitees, agents, servants or employees.</w:t>
      </w:r>
    </w:p>
    <w:p>
      <w:pPr>
        <w:spacing w:after="0" w:line="16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Landlord agrees to defend, indemnify and save harmless Tenant from legal action, damages, loss, liability and any other expense in connection with loss of life, bodily or personal injury or property damage, arising from or out of the intentional or willful misconduct or negligence of Landlord, its agents, employees, licensees, servants, invitees or contractors, which occur in or about the Premises, outside the Premises but within the Building, on the Land, on the access roads and ways, in the parking facilities provided pursuant to the Lease, within University Park or any adjacent area maintained by Landlord, except to the extent that such loss of life, bodily or personal injury or property damage is due to the willful misconduct or negligent act, omission or neglect of Tenant, its agents, contractors, employees, licensees, invitees or servants.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foregoing indemnities and hold harmless agreements shall include indemnity against reasonable attorneys’ fees and all other costs, expenses and liabilities incurred in connection with any such claim or proceeding brought thereon, and the defense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Liability Insurance.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Tenant agrees to maintain in full force from the date upon which the Tenant first enters the Premises for any reason, throughout the Term, and thereafter, so long as the Tenant is in occupancy of any part of the Premises, by a program of self-insurance acceptable to Landlord, or by a policy of commercial general liability insurance under which the Landlord (and the Building’s managing agent, any ground lessor and any holder of a first mortgage on the Property of whom the Tenant is notified by the Landlord, collectively, the “Additional Named Insureds”) and the Tenant are named as insureds, and under which the insurer provides a contractual liability endorsement insuring against all cost, expense and liability arising out of or based upon any and all claims, accidents, injuries and damages described in Section 7.1, in the broadest form of such coverage from time to time available. Unless provided by self-insurance, each such policy shall be noncancellable and nonamendable (to the extent that any proposed amendment reduces the limits or the scope of the insurance required in this Lease) with respect to the Landlord and such ground lessor and first mortgagee without thirty (30) days’ prior notice to the Landlord and the Additional Named Insureds, except for notice of cancellation due to non-payment of premium, if any, which shall be ten (10) days’ prior notice, and a certificate of insurance shall be delivered to the Landlord. The minimum limits of liability of such insurance as of the Commencement Date shall be Five Million Dollars ($5,000,000.00) per occurrence for combined bodily injury (or death) and damage to property.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in this Lease to the contrary, Tenant may elect to self-insure against any and all of the risks, or portion thereof, against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Tenant is required to insure pursuant to the terms of this Lease, provided that either (i) the Chief Financial Officer of Tenant certifies annually that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Tenant has a US tax tangible net worth, as of the end of the Tenant’s most recent reporting period of not less than One Hundred Fifty Million Dollars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($150,000,000) as computed in accordance with the Generally Accepted Accounting Principles (GAAP), (“Tenant’s Net Worth”), or (ii) the Chief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 of Guarantor certifies annually that Guarantor has a US tax tangible net worth, as of the end of the Guarantor’s most recent reporting period, of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 than One Hundred Fifty Million Dollars ($150,000,000) as computed in accordance with GAAP, (“Guarantor’s Net Worth”). With regard to this 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self-insurance will be considered as insurance for the purposes of complying with the terms and conditions of the Lease. Should Tenant’s Net Worth be less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$150 Million, Tenant may not avail itself of the election to self-insure.</w:t>
      </w:r>
    </w:p>
    <w:p>
      <w:pPr>
        <w:spacing w:after="0" w:line="21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Alterations, Improvements and Betterments; Personal Property at Risk</w:t>
      </w:r>
      <w:r>
        <w:rPr>
          <w:rFonts w:ascii="Arial" w:cs="Arial" w:eastAsia="Arial" w:hAnsi="Arial"/>
          <w:sz w:val="16"/>
          <w:szCs w:val="16"/>
          <w:color w:val="auto"/>
        </w:rPr>
        <w:t>.</w:t>
      </w:r>
    </w:p>
    <w:p>
      <w:pPr>
        <w:spacing w:after="0" w:line="225"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Tenant agrees to maintain in full force at all times throughout the Term, policy(s) of all risk property damage insurance, naming Landlord (and the Additional Named Insureds) and the Tenant as insureds as their interests may appear, or a program of self-insurance acceptable to Landlord, covering all of Tenant’s leasehold improvements and alterations to the extent of their full replacement costs as updated from time to time during the Term.</w:t>
      </w:r>
    </w:p>
    <w:p>
      <w:pPr>
        <w:spacing w:after="0" w:line="14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Unless caused by the Landlord or its agents, employees, servants or contractors, the Tenant agrees that all of the furnishings, fixtures, equipment, effects and property of every kind, nature and description of the Tenant and of all persons claiming by, through or under the Tenant which, during the continuance of this Lease or any occupancy of the Premises by the Tenant or anyone claiming under the Tenant which, during the continuance of this Lease or any occupancy of the Premises by the Tenant or anyone claiming under the Tenant, may be on the Premises or elsewhere in the Building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775" w:gutter="0" w:footer="0" w:header="0"/>
        </w:sectPr>
      </w:pPr>
    </w:p>
    <w:bookmarkStart w:id="540" w:name="page541"/>
    <w:bookmarkEnd w:id="540"/>
    <w:p>
      <w:pPr>
        <w:ind w:right="160"/>
        <w:spacing w:after="0" w:line="257" w:lineRule="auto"/>
        <w:rPr>
          <w:sz w:val="20"/>
          <w:szCs w:val="20"/>
          <w:color w:val="auto"/>
        </w:rPr>
      </w:pPr>
      <w:r>
        <w:rPr>
          <w:rFonts w:ascii="Arial" w:cs="Arial" w:eastAsia="Arial" w:hAnsi="Arial"/>
          <w:sz w:val="18"/>
          <w:szCs w:val="18"/>
          <w:color w:val="auto"/>
        </w:rPr>
        <w:t>or on the Land or parking facilities provided hereby, shall be at the sole risk and hazard of the Tenant, and if the whole or any part thereof shall be destroyed or damaged by fire, water or otherwise, or by the leakage or bursting of water pipes, steam pipes, or other pipes, by theft or from any other cause, no part of said loss or damage is to be charged to or be borne by the Landlord, except that the Landlord shall in no event be exonerated from any liability to the Tenant (subject to Section 7.5 hereof) for any injury, loss, damage or liability to the extent same is caused by Landlord’s, or its agents’, employees’, servants’ or contractors’, negligence or willful misconduct.</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Landlord’s Insurance.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Landlord shall carry, or cause to be carried, such casualty and liability insurance upon and with respect to operations at the Building as may from time to time be deemed reasonably prudent by the Landlord or required by any mortgagee holding a mortgage thereon or any ground lessor of the Land, and in any event, insurance against loss by fire and the risks now covered by extended coverage endorsement No. 4 in an amount at least equal to the full replacement cost of the Building, exclusive of foundations, excavations and footings.</w:t>
      </w:r>
    </w:p>
    <w:p>
      <w:pPr>
        <w:spacing w:after="0" w:line="187"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Waiver of Subrogation.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Any insurance carried by either party, or caused to be carried by either party, with respect to the Building, Land, Premises, parking facilities or any property therein or occurrences thereon shall, without further request by either party, include a clause or endorsement denying to the insurer rights of subrogation against the other party to the extent rights have been waived by the insured prior to occurrence of any claim, damage, injury or loss. Each party, notwithstanding any provisions of this Lease to the contrary, hereby waives any claims or rights of recovery against the other for injury or loss, including, without limitation, injury or loss caused by negligence of such other party to the extent covered by insurance actually carried or required to be carried hereunder.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CASUALTY AND EMINENT DOMAIN</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Restoration Following Casualties.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during the Term, the Building or the Premises shall be damaged by fire or casualty, subject to termination rights of the Landlord and the Tenant provided below in this Article 8, the Landlord shall proceed promptly to exercise diligent efforts to restore, or cause to be restored, the Building to substantially the condition thereof just prior to time of such damage, but the Landlord shall not be responsible for delay in such restoration which may result from External Causes. Provided that the Landlord complies with its obligations to carry casualty insurance in accordance with Section 7.4, the Landlord shall have no obligation to expend in the reconstruction of the Building more than the sum of the amount of any deductible and the actual amount of insurance proceeds made available to the Landlord by its insurer, and any additional costs associated with changes to the Premises desired by the Tenant and permitted by Article 4 shall be paid by the Tenant in the manner reasonably required by the Landlord. Any restoration of the Building or the Premises shall be altered to the extent necessary to comply with then current and applicable laws and codes. The Landlord shall, as soon as possible after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1" w:name="page542"/>
    <w:bookmarkEnd w:id="541"/>
    <w:p>
      <w:pPr>
        <w:spacing w:after="0" w:line="264" w:lineRule="auto"/>
        <w:rPr>
          <w:sz w:val="20"/>
          <w:szCs w:val="20"/>
          <w:color w:val="auto"/>
        </w:rPr>
      </w:pPr>
      <w:r>
        <w:rPr>
          <w:rFonts w:ascii="Arial" w:cs="Arial" w:eastAsia="Arial" w:hAnsi="Arial"/>
          <w:sz w:val="18"/>
          <w:szCs w:val="18"/>
          <w:color w:val="auto"/>
        </w:rPr>
        <w:t>casualty, but in any event no later than sixty (60) days after such casualty, provide to the Tenant a reasonable written estimate (“Contractor’s Estimate”) from a reputable construction or design professional as to the time frame within which the Landlord will be able to repair the casualty damage and the cost of repairing such damage.</w:t>
      </w:r>
    </w:p>
    <w:p>
      <w:pPr>
        <w:spacing w:after="0" w:line="18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Landlord’s Termination Election.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the Landlord reasonably determines, based upon the Contractor’s Estimate, that (a) the amount of insurance proceeds available to the Landlord is insufficient to cover the cost of restoring the Building by more than the amount of any deductible, or (b) the Landlord will be unable to restore the Building within twelve (12) months from the date of such casualty, then the Landlord may terminate this Lease by giving notice to the Tenant. Any such termination shall be effective on the date designated in such notice from the Landlord, but in any event not later than sixty (60) days after such notice, and if no date is specified, effective upon the delivery of such notice. Failure by the Landlord to give the Tenant notice of termination within sixty (60) days following the occurrence of the casualty shall constitute the Landlord’s agreement to restore the Building as contemplated in Section 8.1.</w:t>
      </w:r>
    </w:p>
    <w:p>
      <w:pPr>
        <w:spacing w:after="0" w:line="165"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Tenant’s Termination Elections.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based upon the Contractor’s Estimate, the time period for repairing any casualty damage will exceed twelve (12) months after the date of any casualty, then the Tenant shall have the right, exercisable by written notice given on or before the date thirty (30) days after the Landlord gives to the Tenant the Contractor’s Estimate, to terminate this Lease.</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neither the Landlord nor the Tenant exercise their termination rights, but the Landlord has failed to restore the Building, within the longer of twelve (12) months from the date of the casualty or taking or the period of restoration set forth in the Contractor’s Estimate set forth in the Contractor’s Estimate, such period to be subject, however, to extension where the delay in completion of such work is due to External Causes, the Tenant shall have the right to terminate this Lease at any time after the expiration of such period (in either case, as extended by delay due to External Causes as aforesaid) until the restoration is substantially completed, such termination to take effect as of the date of the Tenant’s notice. However, if the Landlord has been diligently prosecuting the repair of all casualty and damage, and if the Landlord reasonably determines at any time, and from time to time, during the restoration, based upon certification by its architect or other design professional, that such restoration will not be able to be completed before the deadline date after which the Tenant may terminate this Lease under this Section 8.3, and the Landlord specifies in a notice to Tenant to such effect a later date that the Landlord estimates will be the date upon which such restoration will be completed, then the Tenant may terminate this Lease within thirty (30) days of the Landlord’s notice as aforesaid, failing which the deadline date shall be extended to the date set forth in Landlord’s notice (as extended by delay due to External Causes as aforesaid). The Landlord shall exercise reasonable efforts to keep the Tenant advised of the status of restoration work from time to time, and promptly following any request for information during the course of the performance of the restoration work.</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542" w:name="page543"/>
    <w:bookmarkEnd w:id="542"/>
    <w:p>
      <w:pPr>
        <w:ind w:left="900"/>
        <w:spacing w:after="0"/>
        <w:tabs>
          <w:tab w:leader="none" w:pos="196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Casualty at Expiration of Lease.</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If the Premises shall be damaged by fire or casualty in such a manner that the Premises cannot, in the ordinary course, reasonably be expected to be repaired within sixty (60) days from the commencement of repair work and such casualty or damage occurs within the last twelve (12) months of the Term (as the same may have been extended prior to such casualty or damage), either party shall have the right, by giving notice to the other not later than sixty (60) days after such casualty or damage, to terminate this Lease, whereupon this Lease shall terminate as of the date of such notice.</w:t>
      </w:r>
    </w:p>
    <w:p>
      <w:pPr>
        <w:spacing w:after="0" w:line="154"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Eminent Domain.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Except as hereinafter provided, if the Premises, or such portion thereof as to render the balance (if reconstructed to the maximum extent practicable in the circumstances) unsuitable for continued occupancy for the purposes contemplated under this Lease, or if access to the Building or Premises, shall be taken by condemnation or right of eminent domain, the Landlord and the Tenant shall each have the right to terminate this Lease by notice to the other of its desire to do so, provided that such notice is given not later than thirty (30) days after receipt by the Tenant of notice of the effective date of such taking. If so much of the Building shall be so taken that the Landlord reasonably determines, in good faith, that it would be necessary to substantially alter the Building so that a rebuilt Building will not be substantially similar to the Building before such taking, the Landlord shall have the right to terminate this Lease by giving notice to the Tenant of the Landlord’s desire to do so not later than thirty (30) days after the effective date of such taking.</w:t>
      </w:r>
    </w:p>
    <w:p>
      <w:pPr>
        <w:spacing w:after="0" w:line="167"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Should any part of the Premises be so taken or condemned during the Term, and should this Lease be not terminated in accordance with the foregoing provisions, the Landlord agrees to use reasonable efforts to put what may remain of the Premises into proper condition for use and occupation as nearly like the condition of the Premises prior to such taking as shall be practicable, subject, however, to applicable laws and codes then in existence. The Landlord shall have no obligation to expend in the aforesaid restoration more than the proceeds of any award received in any condemnation or eminent domain proceeding, or any sum paid in lieu thereof.</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6"/>
          <w:szCs w:val="16"/>
          <w:u w:val="single" w:color="auto"/>
          <w:color w:val="auto"/>
        </w:rPr>
        <w:t>Rent After Casualty or Taking.</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If the Premises shall be damaged by fire or other casualty, until the Lease is terminated or the Premises is restored, the Annual Fixed Rent and Additional Rent shall be justly and equitably abated and reduced according to the nature and extent of the loss of use thereof suffered by the Tenant. In the event of a taking which permanently reduces the area of the Premises, a just proportion of the Annual Fixed Rent and applicable Additional Rent shall be abated for the remainder of the Term.</w:t>
      </w:r>
    </w:p>
    <w:p>
      <w:pPr>
        <w:spacing w:after="0" w:line="187"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8.7</w:t>
      </w:r>
      <w:r>
        <w:rPr>
          <w:sz w:val="20"/>
          <w:szCs w:val="20"/>
          <w:color w:val="auto"/>
        </w:rPr>
        <w:tab/>
      </w:r>
      <w:r>
        <w:rPr>
          <w:rFonts w:ascii="Arial" w:cs="Arial" w:eastAsia="Arial" w:hAnsi="Arial"/>
          <w:sz w:val="16"/>
          <w:szCs w:val="16"/>
          <w:u w:val="single" w:color="auto"/>
          <w:color w:val="auto"/>
        </w:rPr>
        <w:t>Temporary Taking.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the event of any taking of the Premises or any part thereof for a temporary use not in excess of six (6) months, (i) this Lease shall be and remain unaffected thereby and Annual Fixed Rent and Additional Rent shall not abate, and (ii) the Tenant shall be entitled to receive for itself such portion or portions of any award made for such use with respect to the period of the taking which is within the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3" w:name="page544"/>
    <w:bookmarkEnd w:id="543"/>
    <w:p>
      <w:pPr>
        <w:ind w:left="900"/>
        <w:spacing w:after="0"/>
        <w:tabs>
          <w:tab w:leader="none" w:pos="1960" w:val="left"/>
        </w:tabs>
        <w:rPr>
          <w:sz w:val="20"/>
          <w:szCs w:val="20"/>
          <w:color w:val="auto"/>
        </w:rPr>
      </w:pPr>
      <w:r>
        <w:rPr>
          <w:rFonts w:ascii="Arial" w:cs="Arial" w:eastAsia="Arial" w:hAnsi="Arial"/>
          <w:sz w:val="18"/>
          <w:szCs w:val="18"/>
          <w:color w:val="auto"/>
        </w:rPr>
        <w:t>Section 8.8</w:t>
      </w:r>
      <w:r>
        <w:rPr>
          <w:sz w:val="20"/>
          <w:szCs w:val="20"/>
          <w:color w:val="auto"/>
        </w:rPr>
        <w:tab/>
      </w:r>
      <w:r>
        <w:rPr>
          <w:rFonts w:ascii="Arial" w:cs="Arial" w:eastAsia="Arial" w:hAnsi="Arial"/>
          <w:sz w:val="16"/>
          <w:szCs w:val="16"/>
          <w:u w:val="single" w:color="auto"/>
          <w:color w:val="auto"/>
        </w:rPr>
        <w:t>Taking Award.</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Except as otherwise provided in Section 8.7, the Landlord shall have and hereby reserves and accepts, and the Tenant hereby grants and assigns to the Landlord, all rights to recover for damages to the Building and the Land, and the leasehold interest hereby created, and to compensation accrued or hereafter to accrue by reason of such taking, damage or destruction, as aforesaid, and by way of confirming the foregoing, the Tenant hereby grants and assigns to the Landlord, all rights to such damages or compensation. Nothing contained herein shall be construed to prevent the Tenant from prosecuting in any condemnation proceedings a separate claim for relocation expenses, Tenant’s personal property and any amounts paid by Tenant for the Tenant Improvements in excess of the LIA.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DEFAULT</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Tenant’s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shall constitute an Event of Default:</w:t>
      </w:r>
    </w:p>
    <w:p>
      <w:pPr>
        <w:spacing w:after="0" w:line="225" w:lineRule="exact"/>
        <w:rPr>
          <w:sz w:val="20"/>
          <w:szCs w:val="20"/>
          <w:color w:val="auto"/>
        </w:rPr>
      </w:pPr>
    </w:p>
    <w:p>
      <w:pPr>
        <w:ind w:right="280" w:firstLine="1305"/>
        <w:spacing w:after="0" w:line="264" w:lineRule="auto"/>
        <w:tabs>
          <w:tab w:leader="none" w:pos="199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Failure on the part of the Tenant to pay the Annual Fixed Rent, Additional Rent or other charges for which provision is made herein on or before the date on which the same become due and payable, if such condition continues for ten (10) days after written notice that the same are due.</w:t>
      </w:r>
    </w:p>
    <w:p>
      <w:pPr>
        <w:spacing w:after="0" w:line="181" w:lineRule="exact"/>
        <w:rPr>
          <w:rFonts w:ascii="Arial" w:cs="Arial" w:eastAsia="Arial" w:hAnsi="Arial"/>
          <w:sz w:val="18"/>
          <w:szCs w:val="18"/>
          <w:color w:val="auto"/>
        </w:rPr>
      </w:pPr>
    </w:p>
    <w:p>
      <w:pPr>
        <w:ind w:firstLine="1305"/>
        <w:spacing w:after="0" w:line="279" w:lineRule="auto"/>
        <w:tabs>
          <w:tab w:leader="none" w:pos="2001" w:val="left"/>
        </w:tabs>
        <w:numPr>
          <w:ilvl w:val="0"/>
          <w:numId w:val="398"/>
        </w:numPr>
        <w:rPr>
          <w:rFonts w:ascii="Arial" w:cs="Arial" w:eastAsia="Arial" w:hAnsi="Arial"/>
          <w:sz w:val="17"/>
          <w:szCs w:val="17"/>
          <w:color w:val="auto"/>
        </w:rPr>
      </w:pPr>
      <w:r>
        <w:rPr>
          <w:rFonts w:ascii="Arial" w:cs="Arial" w:eastAsia="Arial" w:hAnsi="Arial"/>
          <w:sz w:val="17"/>
          <w:szCs w:val="17"/>
          <w:color w:val="auto"/>
        </w:rPr>
        <w:t>Failure on the part of the Tenant to perform or observe any other term or condition contained in this Lease if the Tenant shall not cure such failure within thirty (30) days after written notice from the Landlord to the Tenant thereof, provided that in the case of breaches that are not reasonably susceptible to cure within thirty (30) days through the exercise of due diligence, then so long as the Tenant commences such cure within thirty (30) days, and the Tenant diligently pursues such cure to completion, such breach shall not be deemed to create an Event of Default.</w:t>
      </w:r>
    </w:p>
    <w:p>
      <w:pPr>
        <w:spacing w:after="0" w:line="171" w:lineRule="exact"/>
        <w:rPr>
          <w:rFonts w:ascii="Arial" w:cs="Arial" w:eastAsia="Arial" w:hAnsi="Arial"/>
          <w:sz w:val="17"/>
          <w:szCs w:val="17"/>
          <w:color w:val="auto"/>
        </w:rPr>
      </w:pPr>
    </w:p>
    <w:p>
      <w:pPr>
        <w:ind w:right="180" w:firstLine="1305"/>
        <w:spacing w:after="0" w:line="272" w:lineRule="auto"/>
        <w:tabs>
          <w:tab w:leader="none" w:pos="1991"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taking of the estate hereby created on execution or by other process of law against Tenant; or a judicial declaration that the Tenant, or any guarantor of this Lease, is bankrupt or insolvent according to law; or any assignment of the property of the Tenant, or any guarantor of this Lease, for the benefit of creditors; or the appointment of a receiver, guardian, conservator, trustee in bankruptcy or other similar officer to take charge of all or any substantial part of the property of Tenant, or any guarantor of this Lease, by a court of competent jurisdiction, which officer is not dismissed or removed within (60) days; or the filing of an involuntary petition against the Tenant, or any guarantor of this Lease, under any provisions of the bankruptcy act now or hereafter enacted if the same is not dismissed within sixty (60) days; the filing by the Tenant, or any guarantor of this Lease, of any voluntary petition for relief under provisions of any bankruptcy law now or hereafter enacted.</w:t>
      </w:r>
    </w:p>
    <w:p>
      <w:pPr>
        <w:spacing w:after="0" w:line="17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If an Event of Default shall occur, then, in any such case, whether or not the Term shall have begun, Landlord and its agents lawfully may, in addition to any remedies for any preceding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4" w:name="page545"/>
    <w:bookmarkEnd w:id="544"/>
    <w:p>
      <w:pPr>
        <w:spacing w:after="0" w:line="270" w:lineRule="auto"/>
        <w:rPr>
          <w:sz w:val="20"/>
          <w:szCs w:val="20"/>
          <w:color w:val="auto"/>
        </w:rPr>
      </w:pPr>
      <w:r>
        <w:rPr>
          <w:rFonts w:ascii="Arial" w:cs="Arial" w:eastAsia="Arial" w:hAnsi="Arial"/>
          <w:sz w:val="17"/>
          <w:szCs w:val="17"/>
          <w:color w:val="auto"/>
        </w:rPr>
        <w:t>Event of Default and any remedies otherwise available at law or equity, immediately or at any time thereafter without further demand or notice in accordance with process of law, enter upon any part of the Premises in the name of the whole or mail or deliver a notice of termination of the Term of this Lease addressed to Tenant at the Premises or any other address herein, and thereby terminate the Term and repossess the Premises as of Landlord’s former estate. At Landlord’s election such notice of termination may be included in any notice of default. Upon such entry or mailing the Term shall terminate, all executory rights of Tenant and all obligations of Landlord will immediately cease, and Landlord may expel Tenant and all persons claiming under Tenant and remove their effects without any trespass and without prejudice to any remedies for arrears of rent or prior breach; and Tenant waives all statutory and equitable rights to its leasehold (including rights in the nature of further cure or redemption, if any to the extent such rights may be waived). Subject to Section 9.5, if Landlord engages attorneys in connection with any failure to perform by Tenant hereunder, Tenant shall reimburse Landlord for the reasonable fees of such attorneys on demand as Additional Rent. Without implying that other provisions do not survive, the provisions of this Article shall survive the Term or earlier termination of this Lease.</w:t>
      </w:r>
    </w:p>
    <w:p>
      <w:pPr>
        <w:spacing w:after="0" w:line="1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5"/>
          <w:szCs w:val="15"/>
          <w:u w:val="single" w:color="auto"/>
          <w:color w:val="auto"/>
        </w:rPr>
        <w:t>Damages.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the event that this Lease is terminated, the Tenant covenants to pay to the Landlord punctually all the sums (“Periodic Payments”) and perform all the obligations which the Tenant covenants in this Lease to pay and to perform in the same manner and to the same extent and at the same time as if this Lease had not been terminated, and all of the Landlord’s expenses in connection with reletting the Premises including, without limitation, all repossession costs, brokerage commissions, fees for legal services and expenses of preparing the Premises for such reletting. However, the Landlord may elect, at any time, to demand in lieu of any further obligations to make Periodic Payments, and payments on account of the Landlord’s reletting costs thereafter accruing, as compensation, an amount (the “Lump Sum Payment”) equal to the excess, if any, of the discounted present value of the total rent reserved for the then remainder of the Term over the then discounted present fair rental value of the Premises for the then remainder of the Term. The discount rate for calculating such sum under the preceding clause (x) shall be the then current rate of United States Treasury securities having a maturity date as close as possible to the end of the Term (had the Lease not been terminated). In calculating the rent reserved, there shall be included, in addition to the Annual Fixed Rent and all Additional Rent, the value of all other considerations agreed to be paid or performed by the Tenant over the remainder of the Term. Should the parties be unable to agree on a fair rental value for the purposes of determining the Lump Sum Payment under clause (x), above, the matter shall be submitted, upon the demand of either party, to the Boston office of the American Arbitration Association, with a request for arbitration in accordance with the rules of the Association by a single arbitrator who shall be real estate broker with at least ten years’ experience marketing major office and laboratory projects in the Boston, Massachusetts area. The parties agree that a decision of the arbitrator shall be conclusive and binding upon them.</w:t>
      </w:r>
    </w:p>
    <w:p>
      <w:pPr>
        <w:spacing w:after="0" w:line="172"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In calculating the Periodic Payments to be made by the Tenant under the foregoing covenant, the Tenant shall be credited with the net proceeds of any rent obtained by reletting the Premises, after deducting all the Landlord’s expenses in connection with such reletting, including, without limitation, all repossession costs, brokerage commissions, fees for legal services and expenses of preparing the Premises for such reletting, provided that Tenant shall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45" w:name="page546"/>
    <w:bookmarkEnd w:id="545"/>
    <w:p>
      <w:pPr>
        <w:ind w:right="20"/>
        <w:spacing w:after="0" w:line="285" w:lineRule="auto"/>
        <w:rPr>
          <w:sz w:val="20"/>
          <w:szCs w:val="20"/>
          <w:color w:val="auto"/>
        </w:rPr>
      </w:pPr>
      <w:r>
        <w:rPr>
          <w:rFonts w:ascii="Arial" w:cs="Arial" w:eastAsia="Arial" w:hAnsi="Arial"/>
          <w:sz w:val="16"/>
          <w:szCs w:val="16"/>
          <w:color w:val="auto"/>
        </w:rPr>
        <w:t>never be entitled to receive any portion of the re-letting proceeds, even if the same exceed the rent originally due hereunder but Tenant shall be credited with such excess amount to offset its obligation to Landlord. The Landlord may (i) relet the Premises, or any part or parts thereof, for a term or terms which may, at the Landlord’s option, exceed or be equal to or less than the period which would otherwise have constituted the balance of the Term, and may grant such concessions and free rent as the Landlord in its reasonable commercial judgment considers advisable or necessary to relet the same, (ii) make such alterations, repairs and improvements in the Premises as the Landlord in its reasonable commercial judgment considers advisable or necessary to relet the same, and</w:t>
      </w:r>
    </w:p>
    <w:p>
      <w:pPr>
        <w:spacing w:after="0" w:line="2" w:lineRule="exact"/>
        <w:rPr>
          <w:sz w:val="20"/>
          <w:szCs w:val="20"/>
          <w:color w:val="auto"/>
        </w:rPr>
      </w:pPr>
    </w:p>
    <w:p>
      <w:pPr>
        <w:ind w:firstLine="8"/>
        <w:spacing w:after="0" w:line="269" w:lineRule="auto"/>
        <w:tabs>
          <w:tab w:leader="none" w:pos="315" w:val="left"/>
        </w:tabs>
        <w:numPr>
          <w:ilvl w:val="0"/>
          <w:numId w:val="399"/>
        </w:numPr>
        <w:rPr>
          <w:rFonts w:ascii="Arial" w:cs="Arial" w:eastAsia="Arial" w:hAnsi="Arial"/>
          <w:sz w:val="17"/>
          <w:szCs w:val="17"/>
          <w:color w:val="auto"/>
        </w:rPr>
      </w:pPr>
      <w:r>
        <w:rPr>
          <w:rFonts w:ascii="Arial" w:cs="Arial" w:eastAsia="Arial" w:hAnsi="Arial"/>
          <w:sz w:val="17"/>
          <w:szCs w:val="17"/>
          <w:color w:val="auto"/>
        </w:rPr>
        <w:t>any obligation to relet imposed by law shall be subject to the reasonable requirements of Landlord to lease to high quality tenants on such terms (based on then-market standards) as Landlord may from time to time deem appropriate and to develop the Building and Park in a harmonious manner with an appropriate mix of uses, tenants, floor areas and terms of tenancies, and the like, and Landlord shall not be obligated to relet the Premises to any party to whom Landlord or its affiliate may desire to lease other available space in the Park. No action of the Landlord in accordance with foregoing or failure to relet or to collect rent under reletting shall operate to release or reduce the Tenant’s liability. The Landlord shall be entitled to seek to rent other properties of the Landlord prior to reletting the Premises without being in breach of any obligation to the Tenant. Landlord agrees to use commercially reasonable efforts to mitigate its damages in the event of a default by Tenant.</w:t>
      </w:r>
    </w:p>
    <w:p>
      <w:pPr>
        <w:spacing w:after="0" w:line="18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Cumulative Rights.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specific remedies to which either party may resort under the terms of this Lease are cumulative and, except as expressly set forth herein, are not intended to be exclusive of any other remedies or means of redress to which it may be lawfully entitled in case of any breach or threatened breach by the other party of any provisions of this Lease. In addition to the other remedies provided in this Lease, each party shall be entitled to seek the restraint by injunction of the violation or attempted or threatened violation of any of the covenants, conditions or provisions of this Lease or to a decree compelling specific performance of any such covenants, conditions or provisions. Nothing contained in this Lease shall limit or prejudice the right of the Landlord to prove for and obtain in proceedings for bankruptcy, insolvency or like proceedings by reason of the termination of this Lease, an amount equal to the maximum allowed by any statute or rule of law in effect at the time when, and governing the proceedings in which, the damages are to be proved, whether or not the amount be greater, equal to, or less than the amount of the loss or damages referred to above.</w:t>
      </w:r>
    </w:p>
    <w:p>
      <w:pPr>
        <w:spacing w:after="0" w:line="1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Landlord shall not be required to serve Tenant with any notices or demands as a prerequisite to its exercise of any of its rights or remedies under this Lease, other than those notices and demands specifically required under this Lease. Tenant expressly waives the service of any statutory demand or notice which is a prerequisite to Landlord’s commencement of eviction proceedings against Tenant, including the demands and notices specified in any applicable state statute or case law.</w:t>
      </w:r>
    </w:p>
    <w:p>
      <w:pPr>
        <w:spacing w:after="0" w:line="187"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Landlord’s Self help.</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If there shall be an Event of Default, or if emergency circumstances should exist where, upon the giving of notice or passage of time, such circumstances would constitute an Event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6" w:name="page547"/>
    <w:bookmarkEnd w:id="546"/>
    <w:p>
      <w:pPr>
        <w:ind w:right="180"/>
        <w:spacing w:after="0" w:line="276" w:lineRule="auto"/>
        <w:rPr>
          <w:sz w:val="20"/>
          <w:szCs w:val="20"/>
          <w:color w:val="auto"/>
        </w:rPr>
      </w:pPr>
      <w:r>
        <w:rPr>
          <w:rFonts w:ascii="Arial" w:cs="Arial" w:eastAsia="Arial" w:hAnsi="Arial"/>
          <w:sz w:val="17"/>
          <w:szCs w:val="17"/>
          <w:color w:val="auto"/>
        </w:rPr>
        <w:t>Default, then the Landlord shall have the right, but not the obligation, after the giving by the Landlord of notice thereof to the Tenant (except in case of emergency circumstances in which case no prior notice need be given), to perform such obligation. In the event the Landlord exercises its rights under this Section 9.4 in case of emergency, the Landlord shall notify the Tenant as soon as reasonably possible after the taking of such action. The Landlord may exercise its rights under this Section without waiving any other of its rights or releasing the Tenant from any of its obligations under this Lease. The Tenant shall be liable to the Landlord for all of the Landlord’s reasonable costs associated with effecting such cure.</w:t>
      </w:r>
    </w:p>
    <w:p>
      <w:pPr>
        <w:spacing w:after="0" w:line="173"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Enforcement Expenses; Litigation.</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Each party hereto shall promptly reimburse the other for all costs and expenses, including without limitation legal fees, incurred by such party in exercising and enforcing its rights under this Lease following the other party’s failure to comply with its obligations hereunder, whether or not such failure constitutes an Event of Default pursuant to Sections 9.1 or 9.7 hereof.</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If either party hereto, without fault, is made or becomes a party to any litigation commenced by or against the other party by or against a third party, or incurs costs or expenses related to such litigation, involving any part of the Property and the enforcement of any of the rights, obligations or remedies of such party without fault, then the party becoming involved in any such litigation because of a claim against such other party hereto shall receive from such other party hereto all costs and reasonable attorneys’ fees incurred by such party in such litigation. Landlord shall pay all reasonable attorney’s fees incurred by Tenant in connection with any legal action concerning an alleged breach of this Lease to the extent that Tenant is the prevailing party. Tenant shall pay all reasonable attorney’s fees incurred by Landlord in connection with any legal action concerning an alleged breach of this Lease to the extent that Landlord is the prevailing party.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 AND TENANT WAIVE TRIAL BY JURY IN ANY ACTION TO WHICH THEY ARE PARTIES UNDER THIS LEASE.</w:t>
      </w:r>
    </w:p>
    <w:p>
      <w:pPr>
        <w:spacing w:after="0" w:line="225"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5"/>
          <w:szCs w:val="15"/>
          <w:u w:val="single" w:color="auto"/>
          <w:color w:val="auto"/>
        </w:rPr>
        <w:t>Late Charges; Interest on Overdue Payments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59" w:lineRule="auto"/>
        <w:tabs>
          <w:tab w:leader="none" w:pos="199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 the event that any payment of Annual Fixed Rent or Additional Rent shall remain unpaid for a period of ten (10) days following notice by the Landlord to the Tenant that such payment is overdue, there shall become due to the Landlord from the Tenant, as Additional Rent and as compensation for the Landlord’s extra administrative costs in investigating the circumstances of late rent, a late charge of two percent (2%) of the amount overdue.</w:t>
      </w:r>
    </w:p>
    <w:p>
      <w:pPr>
        <w:spacing w:after="0" w:line="186" w:lineRule="exact"/>
        <w:rPr>
          <w:rFonts w:ascii="Arial" w:cs="Arial" w:eastAsia="Arial" w:hAnsi="Arial"/>
          <w:sz w:val="18"/>
          <w:szCs w:val="18"/>
          <w:color w:val="auto"/>
        </w:rPr>
      </w:pPr>
    </w:p>
    <w:p>
      <w:pPr>
        <w:ind w:right="100" w:firstLine="1305"/>
        <w:spacing w:after="0" w:line="259" w:lineRule="auto"/>
        <w:tabs>
          <w:tab w:leader="none" w:pos="200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Annual Fixed Rent and Additional Rent or other amount which is due from either party to the other party which is not paid within ten (10) days after the same is due and payable shall bear interest from the date due until paid at the variable rate (the “Default Interest Rate”) equal to the annual rate from time to time announced by Bank of America as its base rate, plus two percent (2%), or if such rate can no longer be determined, the annual prime rate from time to time announced by The Wall Street Journal, plus four percent (4%).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7" w:name="page548"/>
    <w:bookmarkEnd w:id="547"/>
    <w:p>
      <w:pPr>
        <w:ind w:left="900"/>
        <w:spacing w:after="0"/>
        <w:tabs>
          <w:tab w:leader="none" w:pos="196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6"/>
          <w:szCs w:val="16"/>
          <w:u w:val="single" w:color="auto"/>
          <w:color w:val="auto"/>
        </w:rPr>
        <w:t>Landlord’s Right to Notice and Cure.</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Landlord shall in no event be in default in the performance of any of the Landlord’s obligations hereunder unless and until the Landlord shall have failed to perform such obligations within thirty (30) days, or such additional time as is reasonably required to correct any such default, after written notice by the Tenant to the Landlord expressly specifying wherein the Landlord has failed to perform any such obligation.</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10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MORTGAGEES’ RIGHTS</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Subordination.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election of the holder of any mortgage (which term for the purpose of this Article shall include a “deed of trust,” “ground lease” or similar financing encumbrance) encumbering the Landlord’s interest in the Property, this Lease shall be subject and subordinate to the lien of any mortgages thereon, so that the rights of any such mortgagee shall be superior to all rights hereby or hereafter vested in the Tenant, subject however to Section 10.5 hereof, provided, that such mortgagee or ground lessor shall have entered into a subordination non-disturbance and attornment agreement with Tenant. The form of subordination, non-disturbance and attornment agreement (“SNDA”) attached hereto as Exhibit is acceptable to Tenant in connection with any mortgage to which this lease shall be subordinated. Landlord shall use commercially reasonable efforts to provide Tenant with agreements in the forms attached to this Lease as Exhibit .</w:t>
      </w:r>
    </w:p>
    <w:p>
      <w:pPr>
        <w:spacing w:after="0" w:line="18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Attornment; Prepayment of Rent not to Bind Mortgagee.</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the event any holder shall succeed to the interest of Landlord, the Tenant shall, and does hereby agree to attorn to such holder and to recognize such holder as its Landlord and Tenant shall promptly execute and deliver any instrument that such holder may reasonably request to evidence such attornment. Upon such attornment, the holder shall not be: (i) liable in any way to the Tenant for any act or omission, neglect or default on the part of Landlord under this Lease; (ii) subject to any counterclaim or setoff which theretofore accrued to Tenant against Landlord, provided that Tenant shall be entitled to the abatement of rent as provided in Sections 2.1, 2.5, 5.3 and Article 8; (iii) bound by any modification of this Lease subsequent to such mortgage entered into without such holder’s consent or by any previous prepayment of regularly scheduled monthly installments of Annual Fixed Rent or more than</w:t>
      </w:r>
    </w:p>
    <w:p>
      <w:pPr>
        <w:spacing w:after="0" w:line="5" w:lineRule="exact"/>
        <w:rPr>
          <w:sz w:val="20"/>
          <w:szCs w:val="20"/>
          <w:color w:val="auto"/>
        </w:rPr>
      </w:pPr>
    </w:p>
    <w:p>
      <w:pPr>
        <w:ind w:right="40" w:firstLine="8"/>
        <w:spacing w:after="0" w:line="292" w:lineRule="auto"/>
        <w:tabs>
          <w:tab w:leader="none" w:pos="255" w:val="left"/>
        </w:tabs>
        <w:numPr>
          <w:ilvl w:val="0"/>
          <w:numId w:val="401"/>
        </w:numPr>
        <w:rPr>
          <w:rFonts w:ascii="Arial" w:cs="Arial" w:eastAsia="Arial" w:hAnsi="Arial"/>
          <w:sz w:val="16"/>
          <w:szCs w:val="16"/>
          <w:color w:val="auto"/>
        </w:rPr>
      </w:pPr>
      <w:r>
        <w:rPr>
          <w:rFonts w:ascii="Arial" w:cs="Arial" w:eastAsia="Arial" w:hAnsi="Arial"/>
          <w:sz w:val="16"/>
          <w:szCs w:val="16"/>
          <w:color w:val="auto"/>
        </w:rPr>
        <w:t>month, which was not approved in writing by the holder; (iv) liable to the Tenant beyond the holder’s interest in the Property; or (v) liable for any portion of a security deposit not actually received by the holder. The covenant and agreement contained in this Lease with respect to the rights, powers and benefits of any such holder constitute a continuing offer to any person, corporation or other entity, which by accepting or requiring an assignment of this Lease or by entry of foreclosure assumes the obligations herein set forth with respect to such holder; every such holder is hereby constituted a party to this Lease and an obligee hereunder to the same extent as though its name was written hereon as such; and such holder shall at its written election be entitled to enforce</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48" w:name="page549"/>
    <w:bookmarkEnd w:id="548"/>
    <w:p>
      <w:pPr>
        <w:ind w:right="160"/>
        <w:spacing w:after="0" w:line="297" w:lineRule="auto"/>
        <w:rPr>
          <w:sz w:val="20"/>
          <w:szCs w:val="20"/>
          <w:color w:val="auto"/>
        </w:rPr>
      </w:pPr>
      <w:r>
        <w:rPr>
          <w:rFonts w:ascii="Arial" w:cs="Arial" w:eastAsia="Arial" w:hAnsi="Arial"/>
          <w:sz w:val="16"/>
          <w:szCs w:val="16"/>
          <w:color w:val="auto"/>
        </w:rPr>
        <w:t>such provisions in its own name. No Annual Fixed Rent, Additional Rent (other than estimated monthly payments on account of Additional Rent which the Tenant is required to pay pursuant to the provisions of this Lease), or any other charge payable to the Landlord shall be paid more than thirty (30) days prior to the due date thereof under the terms of this Lease and payments made in violation of this provision shall, except to the extent that such payments are actually received by a mortgagee (which term shall for the purpose of this Lease include a “trustee,” “ground lessor” or similar holder of a financing encumbrance) be a nullity as against any of Landlord’s mortgagees and the Tenant shall be liable for the amount of such payments to such mortgagee.</w:t>
      </w:r>
    </w:p>
    <w:p>
      <w:pPr>
        <w:spacing w:after="0" w:line="15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Tenant’s Duty to Notify Mortgagee and Mortgagee’s Ability to Cure.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Tenant hereby agrees that, if the Tenant provides the Landlord with any notice of default or claimed default on the part of the Landlord under the Lease, the Tenant shall concurrently therewith send a copy of such notice to the holder of any mortgage of whom the Tenant has been given prior written notice together with its address. In such event, the mortgagee shall be permitted (but not obligated) to cure any such default within the cure period provided to Landlord and any additional period to which such mortgagee shall be entitled pursuant to this Section 10.3. No act or failure to act on the part of the Landlord which would entitle the Tenant under the terms of this Lease, or by law, to be relieved of the Tenant’s obligations to pay Annual Fixed Rent or Additional Rent hereunder or to terminate this Lease, shall result in a release or termination of such obligations of the Tenant or a termination of this Lease unless (i) the Tenant shall have first given written notice of the Landlord’s act or failure to act to any mortgagee of whom Tenant has been given prior notice, specifying the act or failure to act on the part of the Landlord which would give basis to the Tenant’s rights; and (ii) no such mortgagee, after receipt of such notice, shall have corrected or cured the condition complained of within the period provided for Landlord’s cure, plus a reasonable period thereafter not to exceed thirty (30) days.</w:t>
      </w:r>
    </w:p>
    <w:p>
      <w:pPr>
        <w:spacing w:after="0" w:line="1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Estoppel Certificates.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Tenant shall from time to time, upon not less than ten (10) days’ prior written request by the Landlord, execute, acknowledge and deliver to the Landlord a statement in writing certifying to the Landlord or an independent third party, with a true and correct copy of this Lease attached thereto, together with all amendments thereto, to the extent such statements continue to be true and accurate, (i) that this Lease is unmodified and in full force and effect (or, if there have been any modifications, that the same is in full force and effect as modified and stating the modifications); (ii) that the Tenant has no knowledge of any defenses, offsets or counterclaims against its obligations to pay the Annual Fixed Rent and Additional Rent and to perform its other covenants under this Lease (or if there are any defenses, offsets, or counterclaims, setting them forth in reasonable detail); (iii) that there are no known uncured defaults of the Landlord or the Tenant under this Lease (or if there are known defaults, setting them forth in reasonable detail); (iv) the dates to which the Annual Fixed Rent, Additional Rent and other charges have been paid; (v) that the Tenant has accepted, and is in full possession of the Premises, including all improvements, additions and alterations thereto required to be made by Landlord under the Lease (except to the extent stated); (vi) that the Landlord has satisfactorily complied with all of the requirements and conditions precedent to the occurrence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Commencement Date (except to the extent stated); (vii) that the Tenant has been in occupancy since the Commencement Date and paying rent since the specified dates (except to the extent stated); (viii) that no monetary or other considerations, including, but not limited to, rental concessions for Landlord, special tenant improvements or Landlord’s assumption of prior lease obligations of Tenant have been granted to Tenant by Landlord for entering into Lease (except as set forth in this Lease or as otherwise specified in such estoppel); (ix) that the Tenant has no notice of a prior assignment, hypothecation, or pledge of rents or of the Lease (except to the extent stated); (x) that the Lease represents the entire agreement between Landlord and Tenant; (xi) that any notice to Tenant may be given it by certified or registered mail, return receipt requested, or delivered, at the Premises, or at another address specified; and (xii) such factual other matters with respect to the Tenant and this Lease as the Landlord may reasonably request. Any statement delivered pursuant to this Section may be relied upon by any prospective purchaser, mortgagee, trustee or ground lessor of the Premises or any interest therein, and shall be binding on the Tenant.</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Landlord shall from time to time, upon not less than ten (10) days’ prior written request by the Tenant, execute, acknowledge and deliver to the Tenant a statement in writing certifying to the Tenant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Landlord has no knowledge of any defenses, offsets or counterclaims against its obligations to perform its covenants under this Lease (or if there are any defenses, offsets, or counterclaims, setting them forth in reasonable detail); (iii) that there are no known uncured defaults of the Tenant or the Landlord under this Lease (or if there are known defaults, setting them forth in reasonable detail); (iv) the dates to which the Annual Fixed Rent, Additional Rent and other charges have been paid; (v) that the Tenant is in full possession of the Premises; (vi) that Landlord has no notice of a prior assignment of the Lease or sublease of space therein; (vii) that the Lease represents the entire agreement between Landlord and Tenant; (viii) that any notice to Landlord may be given if by certified or registered mail, return receipt requested, or delivered to the Landlord’s address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or at another address specified; and (xii) such other factual matters with respect to the Tenant and this Lease as the Tenant may reasonably request. Any statement delivered pursuant to this Section may be relied upon by any prospective assignee or sublessee of Tenant and shall be binding on the Landlord.</w:t>
      </w:r>
    </w:p>
    <w:p>
      <w:pPr>
        <w:spacing w:after="0" w:line="180"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Assignment of Rents.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With reference to any assignment by the Landlord of the Landlord’s interest in this Lease, or the rents payable hereunder, conditional in nature or otherwise, which assignment is made to the holder of a mortgage or a ground lessor on property which includes the Premises, the Tenant agrees;</w:t>
      </w:r>
    </w:p>
    <w:p>
      <w:pPr>
        <w:spacing w:after="0" w:line="124" w:lineRule="exact"/>
        <w:rPr>
          <w:sz w:val="20"/>
          <w:szCs w:val="20"/>
          <w:color w:val="auto"/>
        </w:rPr>
      </w:pPr>
    </w:p>
    <w:p>
      <w:pPr>
        <w:ind w:right="300" w:firstLine="1305"/>
        <w:spacing w:after="0" w:line="264" w:lineRule="auto"/>
        <w:tabs>
          <w:tab w:leader="none" w:pos="199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That the execution thereof by the Landlord, and the acceptance thereof by the holder of such mortgage or ground lessor, shall never be treated as an assumption by such holder or ground lessor of any of the obligations of the Landlord hereunder, unless such holder or ground lessor shall, by notice sent to the Tenant, specifically make such election;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9" w:name="page550"/>
    <w:bookmarkEnd w:id="549"/>
    <w:p>
      <w:pPr>
        <w:jc w:val="both"/>
        <w:ind w:right="180" w:firstLine="1305"/>
        <w:spacing w:after="0" w:line="264" w:lineRule="auto"/>
        <w:tabs>
          <w:tab w:leader="none" w:pos="200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That, except as aforesaid, such holder or ground lessor shall be treated as having assumed the Landlord’s obligations hereunder only upon foreclosure of such holder’s mortgage or the taking of possession of the Property, or, in the case of a ground lessor, the termination of the ground lease.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SECURITY DEPOSIT</w:t>
      </w:r>
    </w:p>
    <w:p>
      <w:pPr>
        <w:spacing w:after="0" w:line="229" w:lineRule="exact"/>
        <w:rPr>
          <w:sz w:val="20"/>
          <w:szCs w:val="20"/>
          <w:color w:val="auto"/>
        </w:rPr>
      </w:pPr>
    </w:p>
    <w:p>
      <w:pPr>
        <w:ind w:right="100" w:firstLine="656"/>
        <w:spacing w:after="0" w:line="284" w:lineRule="auto"/>
        <w:tabs>
          <w:tab w:leader="none" w:pos="1343" w:val="left"/>
        </w:tabs>
        <w:numPr>
          <w:ilvl w:val="1"/>
          <w:numId w:val="404"/>
        </w:numPr>
        <w:rPr>
          <w:rFonts w:ascii="Arial" w:cs="Arial" w:eastAsia="Arial" w:hAnsi="Arial"/>
          <w:sz w:val="16"/>
          <w:szCs w:val="16"/>
          <w:color w:val="auto"/>
        </w:rPr>
      </w:pP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Upon the execution and delivery of this Lease, Tenant shall deliver to Landlord as security for the performance of the obligations of Tenant hereunder, either a cash deposit or a letter of credit in the Security Deposit amount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accordance with this Section (as renewed, replaced, increased and/or reduced pursuant to this Section, the “Letter of Credit”). If Tenant elects to deliver a Letter of Credit, such Letter of Credit shall be in such form as Landlord may reasonably approve. If there is more than one Letter of Credit so delivered by Tenant, such Letters of Credit shall be collectively hereinafter referred to as the “Letter of Credit”. The Letter of Credit (i) shall be irrevocable and shall be issued by a commercial bank reasonably acceptable to Landlord (Landlord acknowledging that Silicon Valley Bank is an acceptable bank), (ii) shall require only the presentation to the issuer of a certificate of the holder of the Letter of Credit stating either (a) that a default has occurred under this Lease after the expiration of any applicable notice and cure period (or stating that transmittal of a default notice is barred by applicable bankruptcy or other law if such is the case), or</w:t>
      </w:r>
    </w:p>
    <w:p>
      <w:pPr>
        <w:spacing w:after="0" w:line="1" w:lineRule="exact"/>
        <w:rPr>
          <w:rFonts w:ascii="Arial" w:cs="Arial" w:eastAsia="Arial" w:hAnsi="Arial"/>
          <w:sz w:val="16"/>
          <w:szCs w:val="16"/>
          <w:color w:val="auto"/>
        </w:rPr>
      </w:pPr>
    </w:p>
    <w:p>
      <w:pPr>
        <w:ind w:firstLine="8"/>
        <w:spacing w:after="0" w:line="288" w:lineRule="auto"/>
        <w:tabs>
          <w:tab w:leader="none" w:pos="255"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stating that Tenant has not delivered to Landlord a new Letter of Credit having a commencement date immediately following the expiration of the existing Letter of Credit in accordance with the requirements of the Lease, (iii) shall be payable to Landlord and its successors in interest as the Landlord and shall be freely transferable without cost to any such successor or any lender holding a collateral assignment of Landlord’s interest in the Lease, (iv) shall be for an initial term of not less than one year and contain a provision that such term shall be automatically renewed for successive one-year periods unless the issuer shall, at least thirty (30) days prior to the scheduled expiration date, give Landlord written notice of such nonrenewal, and (v) shall otherwise be substantially in the form of the letter of credit attached hereto as </w:t>
      </w:r>
      <w:r>
        <w:rPr>
          <w:rFonts w:ascii="Arial" w:cs="Arial" w:eastAsia="Arial" w:hAnsi="Arial"/>
          <w:sz w:val="16"/>
          <w:szCs w:val="16"/>
          <w:u w:val="single" w:color="auto"/>
          <w:color w:val="auto"/>
        </w:rPr>
        <w:t>Exhibit J</w:t>
      </w:r>
      <w:r>
        <w:rPr>
          <w:rFonts w:ascii="Arial" w:cs="Arial" w:eastAsia="Arial" w:hAnsi="Arial"/>
          <w:sz w:val="16"/>
          <w:szCs w:val="16"/>
          <w:color w:val="auto"/>
        </w:rPr>
        <w:t>. Notwithstanding the foregoing, the term of the Letter of Credit for the final period of the Term shall be for a term ending not earlier then the date forty-five (45) days after the last day of the Term.</w:t>
      </w:r>
    </w:p>
    <w:p>
      <w:pPr>
        <w:spacing w:after="0" w:line="169"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If Tenant shall be in default under the Lease, after the expiration of any applicable notice or cure period (or if transmittal of a default or other notice is stayed or barred by applicable bankruptcy or other law), Landlord shall be entitled to draw upon the Letter of Credit to the extent reasonably necessary to cure such default. If, not less than thirty (30) days before the scheduled expiration of the Letter of Credit, Tenant has not delivered to Landlord a new Letter of Credit having a commencement date immediately following the expiration of the existing Letter of Credit in accordance with this Section, Landlord shall also have the right to draw upon the full amount of the Letter of Credit without giving any further notice to Tenant. Landlord may, but shall not be obligated to, apply the amount so drawn to the extent necessary to cure Tenant’s default under the Lease. Any funds drawn by Landlord on the Letter of Credit and not applied against amounts due hereunder shall be held by Landlord as a cash security deposit, provided that Landlord shall have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50" w:name="page551"/>
    <w:bookmarkEnd w:id="550"/>
    <w:p>
      <w:pPr>
        <w:spacing w:after="0" w:line="257" w:lineRule="auto"/>
        <w:rPr>
          <w:sz w:val="20"/>
          <w:szCs w:val="20"/>
          <w:color w:val="auto"/>
        </w:rPr>
      </w:pPr>
      <w:r>
        <w:rPr>
          <w:rFonts w:ascii="Arial" w:cs="Arial" w:eastAsia="Arial" w:hAnsi="Arial"/>
          <w:sz w:val="18"/>
          <w:szCs w:val="18"/>
          <w:color w:val="auto"/>
        </w:rPr>
        <w:t>no fiduciary duty with regard to such amounts, shall have the right to commingle such amounts with other funds of Landlord, and shall pay no interest on such amounts. After any application of the Letter of Credit by Landlord in accordance with this paragraph, Tenant shall reinstate the Letter of Credit to the amount then required to be maintained hereunder, within thirty (30) days of demand. Within forty-five (45) days after the expiration or earlier termination of the Term the Letter of Credit and any cash security deposit then being held by Landlord, to the extent not applied, shall be returned to the Tenant provided that no Event of Default is then continuing.</w:t>
      </w:r>
    </w:p>
    <w:p>
      <w:pPr>
        <w:spacing w:after="0" w:line="188" w:lineRule="exact"/>
        <w:rPr>
          <w:sz w:val="20"/>
          <w:szCs w:val="20"/>
          <w:color w:val="auto"/>
        </w:rPr>
      </w:pPr>
    </w:p>
    <w:p>
      <w:pPr>
        <w:ind w:left="1360" w:hanging="704"/>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Pledge</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Landlord may pledge its right and interest in and to the cash deposit or Letter of Credit to any mortgagee or ground lessor and, in order to perfect such pledge, have such cash deposit or Letter of Credit held in escrow by such mortgagee or ground lessee or grant such mortgagee or ground lessee a security interest therein. In connection with any such pledge or grant of security interest by the Landlord to a mortgagee or ground lessee (“Pledgee”) of which Tenant receives notice, Tenant covenants and agrees to cooperate as reasonably requested by the Landlord at no additional cost to Tenant, in order to permit the Landlord to implement the same on terms and conditions reasonably required by such Pledgee.</w:t>
      </w:r>
    </w:p>
    <w:p>
      <w:pPr>
        <w:spacing w:after="0" w:line="173" w:lineRule="exact"/>
        <w:rPr>
          <w:sz w:val="20"/>
          <w:szCs w:val="20"/>
          <w:color w:val="auto"/>
        </w:rPr>
      </w:pPr>
    </w:p>
    <w:p>
      <w:pPr>
        <w:ind w:left="1360" w:hanging="704"/>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Transfer of Security Deposit</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event of a sale or other transfer of the Building or transfer of this Lease, Landlord shall transfer the cash deposit or Letter of Credit to the transferee at no cost to Tenant, and upon the assumption in writing of such transferee of the obligations of Landlord under this Lease, Landlord shall thereupon be released by Tenant from all liability for the return of such security. The provisions hereof shall apply to every transfer or assignment made of the security to such a transferee. Tenant further covenants that it will not voluntarily assign or encumber or attempt to assign or encumber the Letter of Credit or the proceeds thereof, and that neither Landlord nor its successors or assigns shall be bound by any assignment, encumbrance, attempted assignment or attempted encumbrance.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Notice of Lease.</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Tenant agrees not to record this Lease or any short form or memorandum hereof but Landlord shall, together with this Lease, execute and deliver to Tenant for recording a Notice of Lease in accordance with statutory requirements. If required by applicable securities laws, Tenant may file with the Securities and Exchange Commission (the “SEC”) a copy of this Lease with terms not required to be reported having been redacted.</w:t>
      </w:r>
    </w:p>
    <w:p>
      <w:pPr>
        <w:spacing w:after="0" w:line="166"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Whenever any notice, approval, consent, request, election, offer or acceptance is given or made pursuant to this Lease, it shall be in writing. Communications and payments shall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1" w:name="page552"/>
    <w:bookmarkEnd w:id="551"/>
    <w:p>
      <w:pPr>
        <w:ind w:right="160"/>
        <w:spacing w:after="0" w:line="273" w:lineRule="auto"/>
        <w:rPr>
          <w:sz w:val="20"/>
          <w:szCs w:val="20"/>
          <w:color w:val="auto"/>
        </w:rPr>
      </w:pPr>
      <w:r>
        <w:rPr>
          <w:rFonts w:ascii="Arial" w:cs="Arial" w:eastAsia="Arial" w:hAnsi="Arial"/>
          <w:sz w:val="17"/>
          <w:szCs w:val="17"/>
          <w:color w:val="auto"/>
        </w:rPr>
        <w:t xml:space="preserve">addressed, if to the Landlord, at the Landlord’s Address for Notices as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or at such other address as may have been specified by prior notice to the Tenant; and if to the Tenant, at the Tenant’s Original Address or at such other place as may have been specified by prior notice to the Landlord. Any communication so addressed shall be deemed duly given on the earlier of (i) the date received, or (ii) on the next business day if sent by a nationally recognized overnight courier service. If the Landlord by notice to the Tenant at any time designates some other person to receive payments or notices, all payments or notices thereafter by the Tenant shall be paid or given to the agent designated until notice to the contrary is received by the Tenant from the Landlord. Notices to either party under this Lease may be given by legal counsel to such party.</w:t>
      </w:r>
    </w:p>
    <w:p>
      <w:pPr>
        <w:spacing w:after="0" w:line="1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Successors and Limitation on Liability.</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obligations of this Lease shall run with the land, and this Lease shall be binding upon and inure to the benefit of the parties hereto and their respective successors and assigns, except that the original Landlord named herein and each successor Landlord shall be liable only for obligations accruing during the period of its ownership or otherwise reflected in a certificate delivered to it by Tenant pursuant to section 10.4 (or would have been reflected in such a certificate had one been timely requested). Neither the Tenant, nor anyone claiming by, under or through the Tenant, shall be entitled to obtain any judgment in enforcing the terms and conditions of this Lease creating personal liability on the part of the Landlord or enforcing any obligations of the Landlord against any assets of the Landlord other than its interest in the Property, and proceeds therefrom and, without limitation of the foregoing, in no event shall any personal liability arise on the part of any of the Landlord’s officers, employees, directors or shareholders. Likewise, no personal liability shall arise on the part of the Tenant’s officers, employees, directors or shareholders, as this Lease shall create liability on the part of the Tenant and not personal liability on the part of such officers, employees, directors or shareholders.</w:t>
      </w:r>
    </w:p>
    <w:p>
      <w:pPr>
        <w:spacing w:after="0" w:line="182"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5"/>
          <w:szCs w:val="15"/>
          <w:u w:val="single" w:color="auto"/>
          <w:color w:val="auto"/>
        </w:rPr>
        <w:t>Waivers.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failure of the Landlord or the Tenant to seek redress for violation of, or to insist upon strict performance of, any covenant or condition of this Lease, shall not be deemed a waiver of such violation nor prevent a subsequent act, which would have originally constituted a violation, from having all the force and effect of an original violation. The receipt by the Landlord of Annual Fixed Rent or Additional Rent with knowledge of the breach of any covenant of this Lease shall not be deemed a waiver of such breach. No provision of this Lease shall be deemed to have been waived by the Landlord or the Tenant, as the case may be, unless such waiver be in writing signed by the Landlord or the Tenant, as the case may be. No consent or waiver, express or implied, by the Landlord or Tenant to or of any breach of any agreement or duty shall be construed as a waiver or consent to or of any other breach of the same or any other agreement or duty.</w:t>
      </w:r>
    </w:p>
    <w:p>
      <w:pPr>
        <w:spacing w:after="0" w:line="18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u w:val="single" w:color="auto"/>
          <w:color w:val="auto"/>
        </w:rPr>
        <w:t>Acceptance of Partial Payments of Rent.</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No acceptance by either party of a lesser sum than the amount then due to such party shall be deemed to be other than a partial installment of such rent due, nor shall any endorsement or statement on any check or any letter accompanying any check or payment as rent be deemed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2" w:name="page553"/>
    <w:bookmarkEnd w:id="552"/>
    <w:p>
      <w:pPr>
        <w:jc w:val="both"/>
        <w:ind w:right="480"/>
        <w:spacing w:after="0" w:line="264" w:lineRule="auto"/>
        <w:rPr>
          <w:sz w:val="20"/>
          <w:szCs w:val="20"/>
          <w:color w:val="auto"/>
        </w:rPr>
      </w:pPr>
      <w:r>
        <w:rPr>
          <w:rFonts w:ascii="Arial" w:cs="Arial" w:eastAsia="Arial" w:hAnsi="Arial"/>
          <w:sz w:val="18"/>
          <w:szCs w:val="18"/>
          <w:color w:val="auto"/>
        </w:rPr>
        <w:t>an accord and satisfaction, and either party may accept such check or payment without prejudice to the other party’s right to recover the balance of such installment or pursue any other remedy in this Lease provided. The delivery of keys to any employee of the Landlord or to the Landlord’s agent or any employee thereof shall not operate as a termination of this Lease or a surrender of the Premises.</w:t>
      </w:r>
    </w:p>
    <w:p>
      <w:pPr>
        <w:spacing w:after="0" w:line="18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u w:val="single" w:color="auto"/>
          <w:color w:val="auto"/>
        </w:rPr>
        <w:t>Interpretation and Partial Invalidity.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any term of this Lease, or the application thereof to any person or circumstances, shall to any extent be invalid or unenforceable, the remainder of this Lease, or the application of such term to persons or circumstances other than those as to which it is invalid or unenforceable, shall not be affected thereby, and each term of this Lease shall be valid and enforceable to the fullest extent permitted by law. The titles of the Articles are for convenience only and not to be considered in construing this Lease. This Lease contains all of the agreements of the parties with respect to the subject matter thereof and supersedes all prior dealings between them with respect to such subject matter.</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6"/>
          <w:szCs w:val="16"/>
          <w:u w:val="single" w:color="auto"/>
          <w:color w:val="auto"/>
        </w:rPr>
        <w:t>Quiet Enjoyment.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So long as the Tenant pays Annual Fixed Rent and Additional Rent as and when due and no default on the part of Tenant exists beyond any applicable notice and cure period the Tenant shall peaceably and quietly have, hold and enjoy the Premises free of any claims by, through or under, or superior title to, the Landlord including, without limitation, any ground lessor, mortgagee, or manager of the Property.</w:t>
      </w:r>
    </w:p>
    <w:p>
      <w:pPr>
        <w:spacing w:after="0" w:line="18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12.8</w:t>
      </w:r>
      <w:r>
        <w:rPr>
          <w:sz w:val="20"/>
          <w:szCs w:val="20"/>
          <w:color w:val="auto"/>
        </w:rPr>
        <w:tab/>
      </w:r>
      <w:r>
        <w:rPr>
          <w:rFonts w:ascii="Arial" w:cs="Arial" w:eastAsia="Arial" w:hAnsi="Arial"/>
          <w:sz w:val="16"/>
          <w:szCs w:val="16"/>
          <w:u w:val="single" w:color="auto"/>
          <w:color w:val="auto"/>
        </w:rPr>
        <w:t>Brokerage.</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Each party represents and warrants to the other that it has had no dealings with any broker or agent other than the Broker in connection with this Lease and shall indemnify and hold harmless the other from claims for any brokerage commission (other than by the Broker) arising out a breach of the foregoing representations. Landlord shall be responsible for any commission due to the Broker pursuant to the terms of a separate agreement.</w:t>
      </w:r>
    </w:p>
    <w:p>
      <w:pPr>
        <w:spacing w:after="0" w:line="147"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u w:val="single" w:color="auto"/>
          <w:color w:val="auto"/>
        </w:rPr>
        <w:t>Surrender of Premises and Holding Over.</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Tenant shall surrender possession of the Premises on the last day of the Term and the Tenant waives the right to any notice of termination or notice to quit at the end of the Term. The Tenant covenants that upon the expiration or sooner termination of this Lease, it shall, without notice, deliver up and surrender possession of the Premises broom clean and in the same condition in which the Tenant has agreed to keep the same during the continuance of this Lease and in accordance with the terms hereof, normal wear and tear and damage by fire or other casualty excepted, first removing therefrom all personal property of the Tenant and any alterations or additions required to be removed pursuant to Section 4.2, and repairing all damage caused by such removal. Upon the expiration of this Lease or if the Premises should be abandoned by the Tenant, or this Lease should terminate for any cause, and at the time of such expiration, vacation, abandonment or termination, the Tenant or Tenant’s agents, subtenants or any other person should leave any property of any kind or character on or in the Premises after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3" w:name="page554"/>
    <w:bookmarkEnd w:id="553"/>
    <w:p>
      <w:pPr>
        <w:ind w:right="20"/>
        <w:spacing w:after="0" w:line="257" w:lineRule="auto"/>
        <w:rPr>
          <w:sz w:val="20"/>
          <w:szCs w:val="20"/>
          <w:color w:val="auto"/>
        </w:rPr>
      </w:pPr>
      <w:r>
        <w:rPr>
          <w:rFonts w:ascii="Arial" w:cs="Arial" w:eastAsia="Arial" w:hAnsi="Arial"/>
          <w:sz w:val="18"/>
          <w:szCs w:val="18"/>
          <w:color w:val="auto"/>
        </w:rPr>
        <w:t>having vacated the Premises, the fact of such leaving of property on or in the Premises shall be conclusive evidence of intent by the Tenant, and individuals and entities deriving their rights through the Tenant, to abandon such property so left in or upon the Premises, and such leaving shall constitute abandonment of the property. Landlord shall have the right and authority without notice to the Tenant or anyone else, to remove and destroy, or to sell or authorize disposal of such property, or any part thereof, without being in any way liable to the Tenant therefor and the proceeds thereof shall belong to the Landlord as compensation for the removal and disposition of such property.</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If the Tenant fails to surrender possession of the Premises upon the expiration or sooner termination of this Lease, then Tenant shall be deemed a tenant at sufferance only and Tenant shall pay to Landlord, as rent for any period after the expiration or sooner termination of this Lease an amount equal to one hundred fifty percent (150%) of the Annual Fixed Rent to be paid under this Lease, together with all Additional Rent required under this Lease. Acceptance by the Landlord of such payments shall not constitute a consent to a holdover hereunder or result in a renewal or extension of the Tenant’s rights of occupancy. Such payments shall be in addition to and shall not affect or limit the Landlord’s right of re entry, Landlord’s right to collect such damages as may be available at law, or any other rights of the Landlord under this Lease or as provided by law.</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Prior to the expiration of the Lease, Tenant shall clean and otherwise decommission all interior surfaces (including floors, walls, ceilings and counters), piping, supply lines, waste lines and plumbing in or serving the Premises, and all exhaust or other ductwork in or serving the Premises, in each case that has carried, released or otherwise been exposed to any Hazardous Material due to Tenant’s use or occupancy of the Premises, and shall otherwise clean the Premises so as to permit the report hereinafter called for by this Section 11.10 to be issued. Prior to the expiration of this Lease (or within thirty (30) days after any earlier termination), Tenant, at Tenant’s expense, shall obtain for Landlord a report addressed to Landlord (and, at Tenant’s election, Tenant) by a reputable licensed environmental engineer or industrial hygienist that is designated by Tenant and acceptable to Landlord in Landlord’s reasonable discretion, which report shall be based on the environmental engineer’s or industrial hygienist’s inspection of the Premises and shall state, to the Landlord’s reasonable satisfaction, that (a) the Hazardous Materials described in the first sentence of this paragraph, to the extent if any, existing prior to such decommissioning, have been removed in accordance with applicable laws; (b) all Hazardous Materials described in the first sentence of this paragraph, if any, have been removed in accordance with applicable laws from the interior surfaces of the Premises (including floors, walls, ceilings, and counters), piping, supply lines, waste lines and plumbing, and all such exhaust or other ductwork in the Premises, may be re-used by a subsequent tenant or disposed of in compliance with applicable laws without incurring special costs or undertaking special procedures for demolition, disposal, investigation, assessment, cleaning or removal of such Hazardous Materials and without giving notice in connection with such Hazardous Materials; and (c) the Premises may be re-occupied for office or laboratory use, demolished or renovated without incurring special costs or undertaking special procedures for disposal, investigation, assessment, cleaning or removal of Hazardous Materials described in the first sentence of this paragraph and without giving notice in connection with Hazardous Materials. Further, for purposes of clauses (b) and (c), “special costs” or “special procedures” shall mean costs or procedures, as the case may be, that would not be incurred but for the nature of the Hazardous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4" w:name="page555"/>
    <w:bookmarkEnd w:id="554"/>
    <w:p>
      <w:pPr>
        <w:ind w:right="20"/>
        <w:spacing w:after="0" w:line="277" w:lineRule="auto"/>
        <w:rPr>
          <w:sz w:val="20"/>
          <w:szCs w:val="20"/>
          <w:color w:val="auto"/>
        </w:rPr>
      </w:pPr>
      <w:r>
        <w:rPr>
          <w:rFonts w:ascii="Arial" w:cs="Arial" w:eastAsia="Arial" w:hAnsi="Arial"/>
          <w:sz w:val="18"/>
          <w:szCs w:val="18"/>
          <w:color w:val="auto"/>
        </w:rPr>
        <w:t>Materials as Hazardous Materials instead of non-hazardous materials. The report shall also include reasonable detail concerning the clean-up measures taken, the clean-up locations, the tests run and the analytic results.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Tenant fails to perform its obligations under this Section 11.10, without limiting any other right or remedy, Landlord may, on thirty (30) days’ prior written notice to Tenant (except in an emergency when no prior notice shall be required) perform such obligations, at Tenant’s expense, and Tenant shall, within thirty (30) days of demand, reimburse Landlord for all reasonable out-of-pocket costs and expenses incurred by Landlord in connection with such work. Tenant’s obligations under this Section 11.10 shall survive the expiration or earlier termination of this Lease. In addition, at Landlord’s election, Landlord may inspect the Premises and/or Property for Hazardous Materials at Landlord’s cost and expenses, within thirty (30) days of Tenant’s surrender of the Premises at the expiration or earlier termination of this Lease. Tenant shall pay for all such costs and expenses incurred by Landlord in connection with such inspection if such inspection reveals that a release or threat of release of Hazardous Materials exists at the Property or Premises as a result of the acts or omission of Tenant, its officers, employees, contractors, and agents (except to the extent resulting from the acts or omissions of Landlord or Landlord’s agents, employees or contractors).</w:t>
      </w:r>
    </w:p>
    <w:p>
      <w:pPr>
        <w:spacing w:after="0" w:line="197"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6"/>
          <w:szCs w:val="16"/>
          <w:u w:val="single" w:color="auto"/>
          <w:color w:val="auto"/>
        </w:rPr>
        <w:t>Financial Reporting.</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Tenant shall from time to time (but at least annually) on the anniversary of the Lease provide Landlord with financial statements of Tenant, together with related statements of Tenant’s or its parent’s operations for the most recent fiscal year then ended, certified to Landlord by an independent certified public accounting firm. Landlord agrees to keep such financial statements and related statements of operations confidential. If Tenant or its parent is a public company, in lieu of such certification, Landlord may refer to Tenant’s or its parent’s website for such information.</w:t>
      </w:r>
    </w:p>
    <w:p>
      <w:pPr>
        <w:spacing w:after="0" w:line="171" w:lineRule="exact"/>
        <w:rPr>
          <w:sz w:val="20"/>
          <w:szCs w:val="20"/>
          <w:color w:val="auto"/>
        </w:rPr>
      </w:pPr>
    </w:p>
    <w:p>
      <w:pPr>
        <w:ind w:left="900"/>
        <w:spacing w:after="0"/>
        <w:tabs>
          <w:tab w:leader="none" w:pos="208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u w:val="single" w:color="auto"/>
          <w:color w:val="auto"/>
        </w:rPr>
        <w:t>No Consequential Damages.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 event shall either Landlord or Tenant be liable to the other for consequential damages.</w:t>
      </w:r>
    </w:p>
    <w:p>
      <w:pPr>
        <w:spacing w:after="0" w:line="225"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u w:val="single" w:color="auto"/>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Lease shall be governed by and construed in accordance with the laws of the Commonwealth of Massachusetts.</w:t>
      </w:r>
    </w:p>
    <w:p>
      <w:pPr>
        <w:spacing w:after="0" w:line="225"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5"/>
          <w:szCs w:val="15"/>
          <w:u w:val="single" w:color="auto"/>
          <w:color w:val="auto"/>
        </w:rPr>
        <w:t>Signage.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Landlord shall provide a listing identifying Tenant on the Building directory located in the Building lobby. Tenant shall be responsible for providing, at its sole cost and expense, signage at the entry to the Premises and any signage within the Premises. All signage pursuant to this Section 12.13 shall be consistent with Landlord’s Signage and Design Standard, if any, applicable to the Building from time to time, and shall be subject to Landlord’s approval, not to be unreasonably withheld, and the approval of applicable governmental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55" w:name="page556"/>
    <w:bookmarkEnd w:id="555"/>
    <w:p>
      <w:pPr>
        <w:ind w:left="900"/>
        <w:spacing w:after="0"/>
        <w:tabs>
          <w:tab w:leader="none" w:pos="210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u w:val="single" w:color="auto"/>
          <w:color w:val="auto"/>
        </w:rPr>
        <w:t>Ground Lease.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This Lease is in all respects subject to the ground lease (the “Ground Lease”) between the Landlord as lessee and Massachusetts Institute of Technology (“MIT”) as lessor dated as of August 20, 1986. If any provision of the Ground Lease shall be inconsistent with the provisions of this Lease, the provisions of the Ground Lease shall be deemed to limit the provisions hereof, except as are expressly otherwise provided in a written agreement signed by MIT, the Landlord and the Tenant. Landlord represents and warrants to Tenant that the term of the Ground Lease extends for a period longer than the Term of this Lease, as the same may be extended pursuant to Section2.6. This Lease is subject to the execution and delivery of a Non-Disturbance Agreement from MIT in the form attached hereto as </w:t>
      </w:r>
      <w:r>
        <w:rPr>
          <w:rFonts w:ascii="Arial" w:cs="Arial" w:eastAsia="Arial" w:hAnsi="Arial"/>
          <w:sz w:val="18"/>
          <w:szCs w:val="18"/>
          <w:u w:val="single" w:color="auto"/>
          <w:color w:val="auto"/>
        </w:rPr>
        <w:t>Exhibit H.</w:t>
      </w:r>
    </w:p>
    <w:p>
      <w:pPr>
        <w:spacing w:after="0" w:line="193"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u w:val="single" w:color="auto"/>
          <w:color w:val="auto"/>
        </w:rPr>
        <w:t>Cambridge Employment Plan.</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Tenant agrees to sign an agreement with the Employment and Training Agency designated by the City Manager of the City of Cambridge as provided in subsections (a) - (g) of Section 24-4 of Ordinance Number 1005 of the City of Cambridge, adopted April 23, 1984.</w:t>
      </w:r>
    </w:p>
    <w:p>
      <w:pPr>
        <w:spacing w:after="0" w:line="147"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u w:val="single" w:color="auto"/>
          <w:color w:val="auto"/>
        </w:rPr>
        <w:t>Solvent Storage</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Landlord shall manage the allocation of solvent storage quantities for tenants in the Building. Tenant shall be allocated its proportionate share of the allowable share of the Building’s solvent storage capacity of 480 gallons (the fifth floor’s allowable share is 44 gallons, the fourth floor’s allowable share is 60 gallons), such storage to be located in the acid neutralization tank and chemical storage areas, as appropriate, as depicted on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(second page) attached hereto. All solvent storage by Tenant shall be subject to Tenant obtaining and maintaining all required governmental permitting.</w:t>
      </w:r>
    </w:p>
    <w:p>
      <w:pPr>
        <w:spacing w:after="0" w:line="154"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12.17</w:t>
      </w:r>
      <w:r>
        <w:rPr>
          <w:sz w:val="20"/>
          <w:szCs w:val="20"/>
          <w:color w:val="auto"/>
        </w:rPr>
        <w:tab/>
      </w:r>
      <w:r>
        <w:rPr>
          <w:rFonts w:ascii="Arial" w:cs="Arial" w:eastAsia="Arial" w:hAnsi="Arial"/>
          <w:sz w:val="16"/>
          <w:szCs w:val="16"/>
          <w:u w:val="single" w:color="auto"/>
          <w:color w:val="auto"/>
        </w:rPr>
        <w:t>Protection of REIT Status.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that Landlord determines that any of the financial obligations of Tenant to Landlord as set forth in this Lease might (a) fail to qualify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“rents from real property” within the meaning of Section 856(d) of the Internal Revenue Code of 1986, as amended (the “Code”), or (b) otherwise jeopardize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status of any of Landlord’s affiliates, including Forest City Realty Trust, Inc., as a “real estate investment trust” (“REIT”)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856 of the Code, then, at Landlord’s option, Landlord may, in its sole discretion, assign any of its rights and obligations under this Lease to a designee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chosen by Landlord for such purpose (which, in each case, shall be an affiliate of Landlord), or cause one or more such designees (which, in each case,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an affiliate of Landlord) to perform such activities to the extent required to maintain such status as a REIT, provided, however, that any assignment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permitted pursuant to this Section shall not increase Tenant’s obligations nor decrease Tenant’s rights in this Lease, and shall not result in the imposition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additional charge or expense upon Tenant.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6" w:name="page557"/>
    <w:bookmarkEnd w:id="556"/>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Lease has been executed and delivered as of the date first above written as a sealed instrument.</w:t>
      </w:r>
    </w:p>
    <w:p>
      <w:pPr>
        <w:spacing w:after="0" w:line="229"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LANDLORD:</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UP 26 LANDSDOWNE,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FC HCN University Park,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tab/>
        <w:t>Forest City University Park, LLC,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Farley</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Farley</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0760"/>
          </w:cols>
          <w:pgMar w:left="900" w:top="337"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Robert J. Gould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13880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313880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-116205</wp:posOffset>
            </wp:positionV>
            <wp:extent cx="313880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ectPr>
          <w:pgSz w:w="11900" w:h="16838" w:orient="portrait"/>
          <w:cols w:equalWidth="0" w:num="2">
            <w:col w:w="5540" w:space="280"/>
            <w:col w:w="4940"/>
          </w:cols>
          <w:pgMar w:left="900" w:top="337" w:right="239" w:bottom="1440" w:gutter="0" w:footer="0" w:header="0"/>
          <w:type w:val="continuous"/>
        </w:sectPr>
      </w:pPr>
    </w:p>
    <w:bookmarkStart w:id="557" w:name="page558"/>
    <w:bookmarkEnd w:id="5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Annual Fixed Rent for the 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Initial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Extension Option: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Lease Commencement 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Landlord Delivery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Rent Commencement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 Allowance: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Total Rentable Area of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Parking Privileges:</w:t>
      </w:r>
    </w:p>
    <w:p>
      <w:pPr>
        <w:spacing w:after="0" w:line="20" w:lineRule="exact"/>
        <w:rPr>
          <w:sz w:val="20"/>
          <w:szCs w:val="20"/>
          <w:color w:val="auto"/>
        </w:rPr>
      </w:pPr>
      <w:r>
        <w:rPr>
          <w:sz w:val="20"/>
          <w:szCs w:val="20"/>
          <w:color w:val="auto"/>
        </w:rPr>
        <w:br w:type="column"/>
      </w:r>
    </w:p>
    <w:p>
      <w:pPr>
        <w:jc w:val="center"/>
        <w:ind w:right="47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LEASE TERMS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26 Landsdowne Street, Cambridge, MA</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Premises shall be comprised of approximately 28,731 rentable square feet as follows:</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Floor 5: 21,736 rsf</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Floor 4: 6,995 rsf</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$76.00 per RSF as adjusted per the terms of Section 3.1 hereof.</w:t>
      </w:r>
    </w:p>
    <w:p>
      <w:pPr>
        <w:spacing w:after="0" w:line="225" w:lineRule="exact"/>
        <w:rPr>
          <w:sz w:val="20"/>
          <w:szCs w:val="20"/>
          <w:color w:val="auto"/>
        </w:rPr>
      </w:pPr>
    </w:p>
    <w:p>
      <w:pPr>
        <w:ind w:left="100" w:right="140"/>
        <w:spacing w:after="0" w:line="238" w:lineRule="auto"/>
        <w:rPr>
          <w:sz w:val="20"/>
          <w:szCs w:val="20"/>
          <w:color w:val="auto"/>
        </w:rPr>
      </w:pPr>
      <w:r>
        <w:rPr>
          <w:rFonts w:ascii="Arial" w:cs="Arial" w:eastAsia="Arial" w:hAnsi="Arial"/>
          <w:sz w:val="18"/>
          <w:szCs w:val="18"/>
          <w:color w:val="auto"/>
        </w:rPr>
        <w:t>Approximately ten (10) years and six (6) months, commencing at the Lease Commencement Date and expiring on the last day of the month in which the tenth (10</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Rent Commencement Date occurs, as set forth and in accordance with the terms of Section 2.5 hereof.</w:t>
      </w:r>
    </w:p>
    <w:p>
      <w:pPr>
        <w:spacing w:after="0" w:line="202" w:lineRule="exact"/>
        <w:rPr>
          <w:sz w:val="20"/>
          <w:szCs w:val="20"/>
          <w:color w:val="auto"/>
        </w:rPr>
      </w:pPr>
    </w:p>
    <w:p>
      <w:pPr>
        <w:ind w:left="100" w:right="340"/>
        <w:spacing w:after="0" w:line="277" w:lineRule="auto"/>
        <w:rPr>
          <w:sz w:val="20"/>
          <w:szCs w:val="20"/>
          <w:color w:val="auto"/>
        </w:rPr>
      </w:pPr>
      <w:r>
        <w:rPr>
          <w:rFonts w:ascii="Arial" w:cs="Arial" w:eastAsia="Arial" w:hAnsi="Arial"/>
          <w:sz w:val="18"/>
          <w:szCs w:val="18"/>
          <w:color w:val="auto"/>
        </w:rPr>
        <w:t>Tenant shall have one (1) option to extend the term of this Lease for an additional five (5) years, as described in Section 2.6 of the Lease.</w:t>
      </w:r>
    </w:p>
    <w:p>
      <w:pPr>
        <w:spacing w:after="0" w:line="170" w:lineRule="exact"/>
        <w:rPr>
          <w:sz w:val="20"/>
          <w:szCs w:val="20"/>
          <w:color w:val="auto"/>
        </w:rPr>
      </w:pPr>
    </w:p>
    <w:p>
      <w:pPr>
        <w:ind w:left="100" w:right="100"/>
        <w:spacing w:after="0" w:line="277" w:lineRule="auto"/>
        <w:rPr>
          <w:sz w:val="20"/>
          <w:szCs w:val="20"/>
          <w:color w:val="auto"/>
        </w:rPr>
      </w:pPr>
      <w:r>
        <w:rPr>
          <w:rFonts w:ascii="Arial" w:cs="Arial" w:eastAsia="Arial" w:hAnsi="Arial"/>
          <w:sz w:val="18"/>
          <w:szCs w:val="18"/>
          <w:color w:val="auto"/>
        </w:rPr>
        <w:t>As defined in Section 2.5 Anticipated to be the earlier of (i) December 1, 2017, or (ii) the date which is ten (10) days following notice from Landlord.</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date determined in accordance with Section 2.5. Anticipated to be the earlier of</w:t>
      </w:r>
    </w:p>
    <w:p>
      <w:pPr>
        <w:spacing w:after="0" w:line="35" w:lineRule="exact"/>
        <w:rPr>
          <w:sz w:val="20"/>
          <w:szCs w:val="20"/>
          <w:color w:val="auto"/>
        </w:rPr>
      </w:pPr>
    </w:p>
    <w:p>
      <w:pPr>
        <w:ind w:left="100" w:right="620" w:hanging="10"/>
        <w:spacing w:after="0" w:line="261" w:lineRule="auto"/>
        <w:tabs>
          <w:tab w:leader="none" w:pos="315" w:val="left"/>
        </w:tabs>
        <w:numPr>
          <w:ilvl w:val="0"/>
          <w:numId w:val="408"/>
        </w:numPr>
        <w:rPr>
          <w:rFonts w:ascii="Arial" w:cs="Arial" w:eastAsia="Arial" w:hAnsi="Arial"/>
          <w:sz w:val="18"/>
          <w:szCs w:val="18"/>
          <w:color w:val="auto"/>
        </w:rPr>
      </w:pPr>
      <w:r>
        <w:rPr>
          <w:rFonts w:ascii="Arial" w:cs="Arial" w:eastAsia="Arial" w:hAnsi="Arial"/>
          <w:sz w:val="18"/>
          <w:szCs w:val="18"/>
          <w:color w:val="auto"/>
        </w:rPr>
        <w:t>December 1, 2017, or (ii) the date which is ten (10) days following notice from Landlord.</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date determined in accordance with Section 2.5.</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$170.00 per rentable square foot or $4,884,270.00</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102,876 rentable square feet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$1,091,778, to be provided pursuant to the terms of Article 11.</w:t>
      </w:r>
    </w:p>
    <w:p>
      <w:pPr>
        <w:spacing w:after="0" w:line="225" w:lineRule="exact"/>
        <w:rPr>
          <w:sz w:val="20"/>
          <w:szCs w:val="20"/>
          <w:color w:val="auto"/>
        </w:rPr>
      </w:pPr>
    </w:p>
    <w:p>
      <w:pPr>
        <w:ind w:left="100"/>
        <w:spacing w:after="0" w:line="297" w:lineRule="auto"/>
        <w:rPr>
          <w:sz w:val="20"/>
          <w:szCs w:val="20"/>
          <w:color w:val="auto"/>
        </w:rPr>
      </w:pPr>
      <w:r>
        <w:rPr>
          <w:rFonts w:ascii="Arial" w:cs="Arial" w:eastAsia="Arial" w:hAnsi="Arial"/>
          <w:sz w:val="16"/>
          <w:szCs w:val="16"/>
          <w:color w:val="auto"/>
        </w:rPr>
        <w:t>Commencing on the Rent Commencement Date and continuing through the Term, Tenant shall be entitled to use and shall pay for 1.5 parking passes per 1,000 rsf (which shall initially be equal to forty-three (43) parking passes) in accordance with Section 2.4 of the Lease. Subject to availability, Tenant shall have the right to lease additional parking spaces from Landlord; such lease for additional parking spaces shall be on a month-to-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175895</wp:posOffset>
            </wp:positionV>
            <wp:extent cx="7267575"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060" w:space="720"/>
            <w:col w:w="6620"/>
          </w:cols>
          <w:pgMar w:left="240" w:top="337" w:right="259" w:bottom="1440" w:gutter="0" w:footer="0" w:header="0"/>
        </w:sectPr>
      </w:pPr>
    </w:p>
    <w:bookmarkStart w:id="558" w:name="page559"/>
    <w:bookmarkEnd w:id="558"/>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month basis at the then-prevailing fair market value for such parking passes.</w:t>
            </w: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Permitted Uses:</w:t>
            </w:r>
          </w:p>
        </w:tc>
        <w:tc>
          <w:tcPr>
            <w:tcW w:w="7860" w:type="dxa"/>
            <w:vAlign w:val="bottom"/>
          </w:tcPr>
          <w:p>
            <w:pPr>
              <w:ind w:left="1280"/>
              <w:spacing w:after="0"/>
              <w:rPr>
                <w:sz w:val="20"/>
                <w:szCs w:val="20"/>
                <w:color w:val="auto"/>
              </w:rPr>
            </w:pPr>
            <w:r>
              <w:rPr>
                <w:rFonts w:ascii="Arial" w:cs="Arial" w:eastAsia="Arial" w:hAnsi="Arial"/>
                <w:sz w:val="18"/>
                <w:szCs w:val="18"/>
                <w:color w:val="auto"/>
                <w:w w:val="94"/>
              </w:rPr>
              <w:t>Office and/or research and development, laboratory, and vivarium uses, and customary</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accessory uses supporting the foregoing.</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Tenant’s Address for Notices:</w:t>
            </w:r>
          </w:p>
        </w:tc>
        <w:tc>
          <w:tcPr>
            <w:tcW w:w="7860" w:type="dxa"/>
            <w:vAlign w:val="bottom"/>
          </w:tcPr>
          <w:p>
            <w:pPr>
              <w:ind w:left="1280"/>
              <w:spacing w:after="0"/>
              <w:rPr>
                <w:sz w:val="20"/>
                <w:szCs w:val="20"/>
                <w:color w:val="auto"/>
              </w:rPr>
            </w:pPr>
            <w:r>
              <w:rPr>
                <w:rFonts w:ascii="Arial" w:cs="Arial" w:eastAsia="Arial" w:hAnsi="Arial"/>
                <w:sz w:val="18"/>
                <w:szCs w:val="18"/>
                <w:color w:val="auto"/>
              </w:rPr>
              <w:t>Before the Rent Commencement Date:</w:t>
            </w:r>
          </w:p>
        </w:tc>
      </w:tr>
      <w:tr>
        <w:trPr>
          <w:trHeight w:val="418"/>
        </w:trPr>
        <w:tc>
          <w:tcPr>
            <w:tcW w:w="3600" w:type="dxa"/>
            <w:vAlign w:val="bottom"/>
          </w:tcPr>
          <w:p>
            <w:pPr>
              <w:spacing w:after="0"/>
              <w:rPr>
                <w:sz w:val="24"/>
                <w:szCs w:val="24"/>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Fulcrum Therapeutics, Inc.</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One Kendall Square</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Building 700, B7102</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Cambridge, Massachusetts 02139</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Attention: Chief Executive Officer</w:t>
            </w:r>
          </w:p>
        </w:tc>
      </w:tr>
      <w:tr>
        <w:trPr>
          <w:trHeight w:val="432"/>
        </w:trPr>
        <w:tc>
          <w:tcPr>
            <w:tcW w:w="3600" w:type="dxa"/>
            <w:vAlign w:val="bottom"/>
          </w:tcPr>
          <w:p>
            <w:pPr>
              <w:spacing w:after="0"/>
              <w:rPr>
                <w:sz w:val="24"/>
                <w:szCs w:val="24"/>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After the Rent Commencement Date:</w:t>
            </w:r>
          </w:p>
        </w:tc>
      </w:tr>
      <w:tr>
        <w:trPr>
          <w:trHeight w:val="418"/>
        </w:trPr>
        <w:tc>
          <w:tcPr>
            <w:tcW w:w="3600" w:type="dxa"/>
            <w:vAlign w:val="bottom"/>
          </w:tcPr>
          <w:p>
            <w:pPr>
              <w:spacing w:after="0"/>
              <w:rPr>
                <w:sz w:val="24"/>
                <w:szCs w:val="24"/>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Fulcrum Therapeutics, Inc.</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26 Landsdowne Street</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Cambridge, Massachusetts 02139</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Attention: Chief Executive Officer</w:t>
            </w:r>
          </w:p>
        </w:tc>
      </w:tr>
      <w:tr>
        <w:trPr>
          <w:trHeight w:val="418"/>
        </w:trPr>
        <w:tc>
          <w:tcPr>
            <w:tcW w:w="3600" w:type="dxa"/>
            <w:vAlign w:val="bottom"/>
          </w:tcPr>
          <w:p>
            <w:pPr>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tc>
        <w:tc>
          <w:tcPr>
            <w:tcW w:w="7860" w:type="dxa"/>
            <w:vAlign w:val="bottom"/>
          </w:tcPr>
          <w:p>
            <w:pPr>
              <w:ind w:left="1280"/>
              <w:spacing w:after="0"/>
              <w:rPr>
                <w:sz w:val="20"/>
                <w:szCs w:val="20"/>
                <w:color w:val="auto"/>
              </w:rPr>
            </w:pPr>
            <w:r>
              <w:rPr>
                <w:rFonts w:ascii="Arial" w:cs="Arial" w:eastAsia="Arial" w:hAnsi="Arial"/>
                <w:sz w:val="18"/>
                <w:szCs w:val="18"/>
                <w:color w:val="auto"/>
              </w:rPr>
              <w:t>Wilmer Cutler Pickering Hale and Dorr LLP</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60 State Street</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Boston, Massachusetts 02109</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Attention: Lia Der Marderosian, Esq.</w:t>
            </w: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Landlord’s Original Address:</w:t>
            </w:r>
          </w:p>
        </w:tc>
        <w:tc>
          <w:tcPr>
            <w:tcW w:w="7860" w:type="dxa"/>
            <w:vAlign w:val="bottom"/>
          </w:tcPr>
          <w:p>
            <w:pPr>
              <w:ind w:left="1280"/>
              <w:spacing w:after="0"/>
              <w:rPr>
                <w:sz w:val="20"/>
                <w:szCs w:val="20"/>
                <w:color w:val="auto"/>
              </w:rPr>
            </w:pPr>
            <w:r>
              <w:rPr>
                <w:rFonts w:ascii="Arial" w:cs="Arial" w:eastAsia="Arial" w:hAnsi="Arial"/>
                <w:sz w:val="18"/>
                <w:szCs w:val="18"/>
                <w:color w:val="auto"/>
              </w:rPr>
              <w:t>UP 26 Landsdowne, LLC</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1100 Terminal Tower</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50 Public Square</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Cleveland, Ohio 44130</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Attention: General Counsel</w:t>
            </w: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Landlord’s Address for Notices:</w:t>
            </w:r>
          </w:p>
        </w:tc>
        <w:tc>
          <w:tcPr>
            <w:tcW w:w="7860" w:type="dxa"/>
            <w:vAlign w:val="bottom"/>
          </w:tcPr>
          <w:p>
            <w:pPr>
              <w:ind w:left="1280"/>
              <w:spacing w:after="0"/>
              <w:rPr>
                <w:sz w:val="20"/>
                <w:szCs w:val="20"/>
                <w:color w:val="auto"/>
              </w:rPr>
            </w:pPr>
            <w:r>
              <w:rPr>
                <w:rFonts w:ascii="Arial" w:cs="Arial" w:eastAsia="Arial" w:hAnsi="Arial"/>
                <w:sz w:val="18"/>
                <w:szCs w:val="18"/>
                <w:color w:val="auto"/>
              </w:rPr>
              <w:t>UP 26 Landsdowne, LLC</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c/o Forest City Commercial Group, LLC</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38 Sidney Street, Suite 180</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Cambridge, Massachusetts 02139-4234</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Attention: Asset Manager</w:t>
            </w:r>
          </w:p>
        </w:tc>
      </w:tr>
      <w:tr>
        <w:trPr>
          <w:trHeight w:val="348"/>
        </w:trPr>
        <w:tc>
          <w:tcPr>
            <w:tcW w:w="3600" w:type="dxa"/>
            <w:vAlign w:val="bottom"/>
            <w:tcBorders>
              <w:bottom w:val="single" w:sz="8" w:color="808080"/>
            </w:tcBorders>
          </w:tcPr>
          <w:p>
            <w:pPr>
              <w:spacing w:after="0"/>
              <w:rPr>
                <w:sz w:val="24"/>
                <w:szCs w:val="24"/>
                <w:color w:val="auto"/>
              </w:rPr>
            </w:pPr>
          </w:p>
        </w:tc>
        <w:tc>
          <w:tcPr>
            <w:tcW w:w="7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59" w:name="page560"/>
    <w:bookmarkEnd w:id="559"/>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154305</wp:posOffset>
            </wp:positionV>
            <wp:extent cx="1809750" cy="44577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8097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June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J. Gould,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Offer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Robert:</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Fulcrum Therapeutics, Inc. (the “Company”) is pleased to confirm its offer to employ you as President and Chief Executive Officer. As President and Chief Executive Officer you will be a member of the Board and report to the Company’s Board of Directors (the “Board”). Your start date will be no later than June 20, 2016 pending completion of all meetings with team members and signing of the new agreed upon Agreement with Epizyme.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 are expected to include, but may not limited to, the following:</w:t>
      </w:r>
    </w:p>
    <w:p>
      <w:pPr>
        <w:spacing w:after="0" w:line="225" w:lineRule="exact"/>
        <w:rPr>
          <w:sz w:val="20"/>
          <w:szCs w:val="20"/>
          <w:color w:val="auto"/>
        </w:rPr>
      </w:pPr>
    </w:p>
    <w:p>
      <w:pPr>
        <w:ind w:left="740" w:right="460" w:hanging="327"/>
        <w:spacing w:after="0" w:line="308" w:lineRule="auto"/>
        <w:tabs>
          <w:tab w:leader="none" w:pos="704" w:val="left"/>
        </w:tabs>
        <w:numPr>
          <w:ilvl w:val="0"/>
          <w:numId w:val="409"/>
        </w:numPr>
        <w:rPr>
          <w:rFonts w:ascii="Arial" w:cs="Arial" w:eastAsia="Arial" w:hAnsi="Arial"/>
          <w:sz w:val="17"/>
          <w:szCs w:val="17"/>
          <w:color w:val="auto"/>
        </w:rPr>
      </w:pPr>
      <w:r>
        <w:rPr>
          <w:rFonts w:ascii="Arial" w:cs="Arial" w:eastAsia="Arial" w:hAnsi="Arial"/>
          <w:sz w:val="17"/>
          <w:szCs w:val="17"/>
          <w:color w:val="auto"/>
        </w:rPr>
        <w:t>Oversee and integrate all company activities to ensure Fulcrum meets its research, development, and business milestones by focusing on value creation for our founders, employees, partners, investors and most importantly, making a difference in patients’ lives</w:t>
      </w:r>
    </w:p>
    <w:p>
      <w:pPr>
        <w:spacing w:after="0" w:line="146" w:lineRule="exact"/>
        <w:rPr>
          <w:rFonts w:ascii="Arial" w:cs="Arial" w:eastAsia="Arial" w:hAnsi="Arial"/>
          <w:sz w:val="17"/>
          <w:szCs w:val="17"/>
          <w:color w:val="auto"/>
        </w:rPr>
      </w:pPr>
    </w:p>
    <w:p>
      <w:pPr>
        <w:ind w:left="740" w:right="100" w:hanging="327"/>
        <w:spacing w:after="0" w:line="264" w:lineRule="auto"/>
        <w:tabs>
          <w:tab w:leader="none" w:pos="70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Work with the Board and senior management to develop and communicate a compelling vision, strategic direction and company business plan; continually evaluate alternative strategies; identify competitive issues; capitalize on the product engine and develop and implement operating plans to achieve objectives</w:t>
      </w:r>
    </w:p>
    <w:p>
      <w:pPr>
        <w:spacing w:after="0" w:line="181" w:lineRule="exact"/>
        <w:rPr>
          <w:rFonts w:ascii="Arial" w:cs="Arial" w:eastAsia="Arial" w:hAnsi="Arial"/>
          <w:sz w:val="18"/>
          <w:szCs w:val="18"/>
          <w:color w:val="auto"/>
        </w:rPr>
      </w:pPr>
    </w:p>
    <w:p>
      <w:pPr>
        <w:ind w:left="740" w:right="100" w:hanging="327"/>
        <w:spacing w:after="0" w:line="264" w:lineRule="auto"/>
        <w:tabs>
          <w:tab w:leader="none" w:pos="70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Build a robust organization by ensuring that qualified research &amp; development and business talent are recruited hired and retained. Work with the Board and the senior management team to manage uncertainty while maintaining an entrepreneurial environment; manage performance of team by providing feedback, teaching and development opportunities</w:t>
      </w:r>
    </w:p>
    <w:p>
      <w:pPr>
        <w:spacing w:after="0" w:line="181" w:lineRule="exact"/>
        <w:rPr>
          <w:rFonts w:ascii="Arial" w:cs="Arial" w:eastAsia="Arial" w:hAnsi="Arial"/>
          <w:sz w:val="18"/>
          <w:szCs w:val="18"/>
          <w:color w:val="auto"/>
        </w:rPr>
      </w:pPr>
    </w:p>
    <w:p>
      <w:pPr>
        <w:ind w:left="740" w:right="200" w:hanging="327"/>
        <w:spacing w:after="0" w:line="277" w:lineRule="auto"/>
        <w:tabs>
          <w:tab w:leader="none" w:pos="70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Foster an internal atmosphere that supports individual accountability, transparency, open communication and respect to enable employees to focus on the Company’s culture and mission</w:t>
      </w:r>
    </w:p>
    <w:p>
      <w:pPr>
        <w:spacing w:after="0" w:line="170" w:lineRule="exact"/>
        <w:rPr>
          <w:rFonts w:ascii="Arial" w:cs="Arial" w:eastAsia="Arial" w:hAnsi="Arial"/>
          <w:sz w:val="18"/>
          <w:szCs w:val="18"/>
          <w:color w:val="auto"/>
        </w:rPr>
      </w:pPr>
    </w:p>
    <w:p>
      <w:pPr>
        <w:ind w:left="740" w:right="260" w:hanging="327"/>
        <w:spacing w:after="0" w:line="342" w:lineRule="auto"/>
        <w:tabs>
          <w:tab w:leader="none" w:pos="704" w:val="left"/>
        </w:tabs>
        <w:numPr>
          <w:ilvl w:val="0"/>
          <w:numId w:val="409"/>
        </w:numPr>
        <w:rPr>
          <w:rFonts w:ascii="Arial" w:cs="Arial" w:eastAsia="Arial" w:hAnsi="Arial"/>
          <w:sz w:val="16"/>
          <w:szCs w:val="16"/>
          <w:color w:val="auto"/>
        </w:rPr>
      </w:pPr>
      <w:r>
        <w:rPr>
          <w:rFonts w:ascii="Arial" w:cs="Arial" w:eastAsia="Arial" w:hAnsi="Arial"/>
          <w:sz w:val="16"/>
          <w:szCs w:val="16"/>
          <w:color w:val="auto"/>
        </w:rPr>
        <w:t>Build and maintain a “Group Genius” environment for our founders, employees, advisors, key opinion leaders, partners and investors where everyone expresses their ideas and opinions and where we ultimately integrate these ideas to achieve the best plans and solutions for our patients</w:t>
      </w:r>
    </w:p>
    <w:p>
      <w:pPr>
        <w:spacing w:after="0" w:line="123" w:lineRule="exact"/>
        <w:rPr>
          <w:rFonts w:ascii="Arial" w:cs="Arial" w:eastAsia="Arial" w:hAnsi="Arial"/>
          <w:sz w:val="16"/>
          <w:szCs w:val="16"/>
          <w:color w:val="auto"/>
        </w:rPr>
      </w:pPr>
    </w:p>
    <w:p>
      <w:pPr>
        <w:ind w:left="740" w:right="660" w:hanging="327"/>
        <w:spacing w:after="0" w:line="277" w:lineRule="auto"/>
        <w:tabs>
          <w:tab w:leader="none" w:pos="70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Develop, build and lead strategic partnerships with external companies to complement Fulcrum’s capability, to raise dollars for building the company and to bring important products to the patients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560" w:name="page561"/>
    <w:bookmarkEnd w:id="560"/>
    <w:p>
      <w:pPr>
        <w:ind w:left="740" w:right="400" w:hanging="327"/>
        <w:spacing w:after="0" w:line="277" w:lineRule="auto"/>
        <w:tabs>
          <w:tab w:leader="none" w:pos="70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Serve as the primary spokesperson for company, establishing and communicating the company’s vision and image, and enhancing its visibility among potential partners</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Your compensation for this position will be at the rate of $420,000 a year, payable in accordance with the Company’s normal pay schedule, which the Company currently expects will be bi-weekly. All payments are subject to legally required tax withholdings. It is expected that, when an annual bonus program is approved by the Board of Directors, you will be eligible for a target bonus at 35% of your annual compensation, based upon the achievement of corporate and individual goals, as agreed by the Board of Directors. You will be eligible to participate each year in any annual bonus plan adopted by the Company and the Company, subject to financial, business, and other circumstances and factors.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After Series A funding, you will be issued restricted stock grant for 3,000,000 shares of Fulcrum Therapeutics, Inc. common stock (the “Shares”), subject to approval of the Company’s Board of Directors, at an exercise or purchase price equal to the fair market value of the Company’s common stock on the date of grant or issuance, subject to the standard terms and conditions of Fulcrum Therapeutics, Inc. Stock Incentive Plan and form of stock option or restricted stock agreement, including vesting, subject to continued employment. The Shares shall vest over four years at the rate of 25% on the first anniversary of the commencement date of your employment and an additional 6.25% per quarter for the next twelve successive quarters of employment when, after four full years of employment, the Shares will be fully vested. The Share grant will be brought to the Board of Directors for approval soon after you begin employment with the Company.</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will offer a comprehensive benefits program and you will be eligible to participate in the program to the extent that the company establishes them soon after the completion of the Series A financing. You will accrue 15 paid vacation days each year for the first 5 years of service and receive all paid holidays annually in accordance with the company holiday schedule.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It is understood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 other than as provided below.</w:t>
      </w:r>
    </w:p>
    <w:p>
      <w:pPr>
        <w:spacing w:after="0" w:line="181" w:lineRule="exact"/>
        <w:rPr>
          <w:sz w:val="20"/>
          <w:szCs w:val="20"/>
          <w:color w:val="auto"/>
        </w:rPr>
      </w:pPr>
    </w:p>
    <w:p>
      <w:pPr>
        <w:ind w:right="20" w:firstLine="8"/>
        <w:spacing w:after="0" w:line="277" w:lineRule="auto"/>
        <w:tabs>
          <w:tab w:leader="none" w:pos="29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Company may terminate your employment for “Cause” (as defined below) upon written notice to you effectively immediately, in which case you will not be entitled to receive any form of payment other than your earned compensation through your date of separation;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61" w:name="page562"/>
    <w:bookmarkEnd w:id="561"/>
    <w:p>
      <w:pPr>
        <w:ind w:right="240" w:firstLine="8"/>
        <w:spacing w:after="0" w:line="264" w:lineRule="auto"/>
        <w:tabs>
          <w:tab w:leader="none" w:pos="3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you may terminate your employment voluntarily other than for “Good Reason” (as defined below) upon at least thirty (30) days’ prior written notice to the Company, in which case you will not be entitled to receive any form of payment other than your earned compensation through your date of separation; and</w:t>
      </w:r>
    </w:p>
    <w:p>
      <w:pPr>
        <w:spacing w:after="0" w:line="181" w:lineRule="exact"/>
        <w:rPr>
          <w:rFonts w:ascii="Arial" w:cs="Arial" w:eastAsia="Arial" w:hAnsi="Arial"/>
          <w:sz w:val="18"/>
          <w:szCs w:val="18"/>
          <w:color w:val="auto"/>
        </w:rPr>
      </w:pPr>
    </w:p>
    <w:p>
      <w:pPr>
        <w:ind w:right="20" w:firstLine="8"/>
        <w:spacing w:after="0" w:line="291" w:lineRule="auto"/>
        <w:tabs>
          <w:tab w:leader="none" w:pos="245" w:val="left"/>
        </w:tabs>
        <w:numPr>
          <w:ilvl w:val="0"/>
          <w:numId w:val="412"/>
        </w:numPr>
        <w:rPr>
          <w:rFonts w:ascii="Arial" w:cs="Arial" w:eastAsia="Arial" w:hAnsi="Arial"/>
          <w:sz w:val="16"/>
          <w:szCs w:val="16"/>
          <w:color w:val="auto"/>
        </w:rPr>
      </w:pPr>
      <w:r>
        <w:rPr>
          <w:rFonts w:ascii="Arial" w:cs="Arial" w:eastAsia="Arial" w:hAnsi="Arial"/>
          <w:sz w:val="16"/>
          <w:szCs w:val="16"/>
          <w:color w:val="auto"/>
        </w:rPr>
        <w:t>Notwithstanding the foregoing, in the event that the Company terminates your employment without Cause, then, subject to you entering into and complying with a separation agreement and general release in a form provided by the Company, you will be entitled to a severance pay in an amount equal to:</w:t>
      </w:r>
    </w:p>
    <w:p>
      <w:pPr>
        <w:ind w:firstLine="8"/>
        <w:spacing w:after="0" w:line="271" w:lineRule="auto"/>
        <w:tabs>
          <w:tab w:leader="none" w:pos="215"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twelve months of your then base salary as of the date of termination, such amount to be paid in equal installments over a twelve (12) month period after the date of your termination in accordance with the Company’s usual payroll practices and periods, subject to applicable taxes and withholding, (ii) payment for twelve (12) months of monthly COBRA premiums at the same rate as the Company pays for active employees for you and your eligible dependents, subject to applicable COBRA terms and in compliance with applicable non-discrimination or other requirements under the Internal Revenue Code (the “Code”), the Patient Protection and Affordable Care Act, or the Health Care and Education Reconciliation Act.</w:t>
      </w:r>
    </w:p>
    <w:p>
      <w:pPr>
        <w:spacing w:after="0" w:line="178" w:lineRule="exact"/>
        <w:rPr>
          <w:rFonts w:ascii="Arial" w:cs="Arial" w:eastAsia="Arial" w:hAnsi="Arial"/>
          <w:sz w:val="17"/>
          <w:szCs w:val="17"/>
          <w:color w:val="auto"/>
        </w:rPr>
      </w:pPr>
    </w:p>
    <w:p>
      <w:pPr>
        <w:ind w:left="260" w:hanging="252"/>
        <w:spacing w:after="0"/>
        <w:tabs>
          <w:tab w:leader="none" w:pos="2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For purposes of this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“Cause” means: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of (A) a felony or (B) any misdemeanor involving moral turpitude, deceit, dishonesty or fraud; (iii) your failure to perform your assigned duties and responsibilities to the reasonable satisfaction of the Company which failure continues, in the reasonable judgment of the Company, for thirty (30) days after written notice given to you by the Company describing such failure in reasonable detail; (iv) your gross negligence, willful misconduct or insubordination with respect to the Company that results in or is reasonably anticipated to result in material harm to the Company; or (v) your material violation of any provision of any agreement(s) between you and the Company relating to noncompetition, nonsolicitation, nondisclosure and/or assignment of inventions.</w:t>
      </w:r>
    </w:p>
    <w:p>
      <w:pPr>
        <w:spacing w:after="0" w:line="192" w:lineRule="exact"/>
        <w:rPr>
          <w:sz w:val="20"/>
          <w:szCs w:val="20"/>
          <w:color w:val="auto"/>
        </w:rPr>
      </w:pPr>
    </w:p>
    <w:p>
      <w:pPr>
        <w:ind w:right="80" w:firstLine="8"/>
        <w:spacing w:after="0" w:line="255" w:lineRule="auto"/>
        <w:tabs>
          <w:tab w:leader="none" w:pos="24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For purposes of this letter, “Good Reason” means, in the context of your resignation from your employment position with the Company, a resignation that occurs within thirty (30) days following: (i) a change in the principal location at which you provide services to the Company beyond fifty (50) miles from Cambridge, MA; (ii) a material reduction in your compensation or a material reduction in your benefits, except such a reduction in connection with a general reduction in compensation or other benefits of all senior executives of the Company; (iii) a material breach of this letter by the Company that has not been cured within ten (10) days after written notice thereof by you to the Company; or (iv) a failure by the Company to obtain the assumption of this letter by any successor to the Company.</w:t>
      </w:r>
    </w:p>
    <w:p>
      <w:pPr>
        <w:spacing w:after="0" w:line="193" w:lineRule="exact"/>
        <w:rPr>
          <w:rFonts w:ascii="Arial" w:cs="Arial" w:eastAsia="Arial" w:hAnsi="Arial"/>
          <w:sz w:val="18"/>
          <w:szCs w:val="18"/>
          <w:color w:val="auto"/>
        </w:rPr>
      </w:pPr>
    </w:p>
    <w:p>
      <w:pPr>
        <w:ind w:right="160" w:firstLine="8"/>
        <w:spacing w:after="0" w:line="342" w:lineRule="auto"/>
        <w:tabs>
          <w:tab w:leader="none" w:pos="222" w:val="left"/>
        </w:tabs>
        <w:numPr>
          <w:ilvl w:val="0"/>
          <w:numId w:val="415"/>
        </w:numPr>
        <w:rPr>
          <w:rFonts w:ascii="Arial" w:cs="Arial" w:eastAsia="Arial" w:hAnsi="Arial"/>
          <w:sz w:val="16"/>
          <w:szCs w:val="16"/>
          <w:color w:val="auto"/>
        </w:rPr>
      </w:pPr>
      <w:r>
        <w:rPr>
          <w:rFonts w:ascii="Arial" w:cs="Arial" w:eastAsia="Arial" w:hAnsi="Arial"/>
          <w:sz w:val="16"/>
          <w:szCs w:val="16"/>
          <w:color w:val="auto"/>
        </w:rPr>
        <w:t>The time for payment, or schedule for payment, of any severance payments due hereunder may not be accelerated, except as provided for in the Treasury Regulations promulgated under Section 409A of the Internal Revenue Code of 1986 (the “Code11), or any law replacing or superseding such Section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2" w:name="page563"/>
    <w:bookmarkEnd w:id="562"/>
    <w:p>
      <w:pPr>
        <w:ind w:right="300"/>
        <w:spacing w:after="0" w:line="291" w:lineRule="auto"/>
        <w:rPr>
          <w:sz w:val="20"/>
          <w:szCs w:val="20"/>
          <w:color w:val="auto"/>
        </w:rPr>
      </w:pPr>
      <w:r>
        <w:rPr>
          <w:rFonts w:ascii="Arial" w:cs="Arial" w:eastAsia="Arial" w:hAnsi="Arial"/>
          <w:sz w:val="16"/>
          <w:szCs w:val="16"/>
          <w:color w:val="auto"/>
        </w:rPr>
        <w:t>regulations. Notwithstanding the preceding provisions of this Section 6(d), in the case that the Company becomes a publicly traded company and you are deemed a “specified employee” (as defined in Section 409A(2)(B)(i) of the Code), no severance payment may be made earlier than the date which is six</w:t>
      </w:r>
    </w:p>
    <w:p>
      <w:pPr>
        <w:ind w:firstLine="8"/>
        <w:spacing w:after="0" w:line="261" w:lineRule="auto"/>
        <w:tabs>
          <w:tab w:leader="none" w:pos="25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months after the termination of employment hereunder (or, if earlier, the date of the death of the Executive) if and to the extent required by applicable law or other rules of any stock exchange upon which any of shares of the Company’s capital stock are then traded</w:t>
      </w:r>
      <w:r>
        <w:rPr>
          <w:rFonts w:ascii="Arial" w:cs="Arial" w:eastAsia="Arial" w:hAnsi="Arial"/>
          <w:sz w:val="17"/>
          <w:szCs w:val="17"/>
          <w:color w:val="auto"/>
        </w:rPr>
        <w:t>.</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Enclosed is a “Non-Solicitation, Non-Competition, Confidentiality and Assignment Agreement” (the “Employee Agreement”). This offer of employment is conditioned on your willingness to enter into and abide by the terms of the Employee Agreement, the terms of which are incorporated into this offer letter.</w:t>
      </w:r>
    </w:p>
    <w:p>
      <w:pPr>
        <w:spacing w:after="0" w:line="12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Immigration Reform and Control Act requires employers to verify the employment eligibility and identity of new employees. You will be required to complete a Form I-9 which will be provided to you before the Start Date. Please bring the appropriate documents listed on that form with you when you report for work. We will not be able to employ you if you fail to comply with this requirement.</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offer letter and the Employee Agreement and Equity Documents referenced above constitute the complete agreement between you and the Company, contain all of the terms of your employment with the Company and supersede any prior agreements, representations or understandings (whether written, oral or implied) between you and the Company. Neither this offer letter nor the Employee Agreement may be amended or modified, except by an express written agreement signed by both you and a duly authorized officer of the Company, although, consistent with your at-will employment, your job duties, title, reporting relationship, compensation and benefits may change from time to time, at the Company’s option.</w:t>
      </w:r>
    </w:p>
    <w:p>
      <w:pPr>
        <w:spacing w:after="0" w:line="17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Please indicate your acceptance of this offer by signing and returning the enclosed copy of this letter and the Employee Agreement no later than “-” based on when he is scheduled to come back to meet the rest of the team. You may indicate your acceptance of this offer by signing on the appropriate space below and returning a signed, scanned copy of this letter and the Employee Agreement to Chris Robinson, [**] and Susan O’Connor at [**].</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63" w:name="page564"/>
    <w:bookmarkEnd w:id="563"/>
    <w:p>
      <w:pPr>
        <w:spacing w:after="0"/>
        <w:rPr>
          <w:sz w:val="20"/>
          <w:szCs w:val="20"/>
          <w:color w:val="auto"/>
        </w:rPr>
      </w:pPr>
      <w:r>
        <w:rPr>
          <w:rFonts w:ascii="Arial" w:cs="Arial" w:eastAsia="Arial" w:hAnsi="Arial"/>
          <w:sz w:val="16"/>
          <w:szCs w:val="16"/>
          <w:color w:val="auto"/>
        </w:rPr>
        <w:t>We look forward to your joining the Company and are pleased that you will be working with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Mark Levin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Robert J. Gould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J. Gould,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13 June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564" w:name="page565"/>
    <w:bookmarkEnd w:id="564"/>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154940</wp:posOffset>
            </wp:positionV>
            <wp:extent cx="5788660" cy="116649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78866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Bryan Stuart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Offer of Employment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Bryan,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Fulcrum Therapeutics, Inc. (the “Company”) is pleased to confirm its offer to employ you as a Chief Operating Officer reporting to Robert Gould, President &amp; CEO. As the COO you will be a key business partner with the CEO in building the company, setting and driving corporate strategy and long-range planning, and helping to lead and maintain strong relationships with the financial and business community. You will partner with the CEO and the leadership team to develop Fulcrum’s long-term business strategy and assure continuous integration across Corporate Development, Scientific and Financial strategies. In this role, the COO is a key strategic partner focusing on future value creation for Fulcrum. This includes oversight for portfolio strategy including project planning and management, business development, operations, and patient advocacy.</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Your effective date of hire as an employee will be a date agreed to by you and the Company. For purposes of this offer letter, the actual first day of your employment shall be referred to as the “Start Date”. Your start date will be no later than December 17, 2018. Your normal place of work will be at the Company’s offices in Cambridge, MA.</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Your annual compensation for this position will be at the rate of $400,000 per year, payable in accordance with the Company’s normal pay schedule, which currently is semi-monthly (“Base Salary”). All payments are subject to legally required tax withholdings. In addition to your Base Salary, you will be eligible to earn an annual target bonus of up to 35% of your Base Salary. The actual amount of such bonus, if any, will be determined by the Company’s Board of Directors (the “Board”) and your manager in their good faith discretion, based upon achievement of corporate and individual goals. The bonus, if any, shall be paid at a time and in a manner as determined by the Company in its sole discretion. You must be employed by Fulcrum at the time of any such bonus payment to be eligible for any such payment. Because your start date is after October 1, 2018, you will not be eligible to participate in our 2018-year end compensation program (base salary/bonus/equity); you will be eligible to begin participating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988060</wp:posOffset>
            </wp:positionV>
            <wp:extent cx="7267575"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115570</wp:posOffset>
            </wp:positionV>
            <wp:extent cx="6080125" cy="6686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080125" cy="668655"/>
                    </a:xfrm>
                    <a:prstGeom prst="rect">
                      <a:avLst/>
                    </a:prstGeom>
                    <a:noFill/>
                  </pic:spPr>
                </pic:pic>
              </a:graphicData>
            </a:graphic>
          </wp:anchor>
        </w:drawing>
      </w:r>
    </w:p>
    <w:p>
      <w:pPr>
        <w:sectPr>
          <w:pgSz w:w="11900" w:h="16838" w:orient="portrait"/>
          <w:cols w:equalWidth="0" w:num="1">
            <w:col w:w="11080"/>
          </w:cols>
          <w:pgMar w:left="580" w:top="364" w:right="239" w:bottom="1440" w:gutter="0" w:footer="0" w:header="0"/>
        </w:sectPr>
      </w:pPr>
    </w:p>
    <w:bookmarkStart w:id="565" w:name="page566"/>
    <w:bookmarkEnd w:id="565"/>
    <w:p>
      <w:pPr>
        <w:ind w:right="120"/>
        <w:spacing w:after="0" w:line="272" w:lineRule="auto"/>
        <w:rPr>
          <w:sz w:val="20"/>
          <w:szCs w:val="20"/>
          <w:color w:val="auto"/>
        </w:rPr>
      </w:pPr>
      <w:r>
        <w:rPr>
          <w:rFonts w:ascii="Arial" w:cs="Arial" w:eastAsia="Arial" w:hAnsi="Arial"/>
          <w:sz w:val="17"/>
          <w:szCs w:val="17"/>
          <w:color w:val="auto"/>
        </w:rPr>
        <w:t>You will be issued a stock option grant for 2,125,000 shares of Fulcrum Therapeutics, Inc. stock (the “Options”), subject to approval of the Company’s Board of Directors, at an exercise price equal to the fair market value of the Company’s common stock on the date of grant or issuance, subject to the standard terms and conditions of Fulcrum Therapeutics, Inc. Stock Incentive Plan and form of stock option agreement, including vesting, subject to continued employment. Subject to the terms of the stock option agreement and your continued employment, the Options shall vest over four years at the rate of 25% on the first anniversary of the commencement date of your employment and an additional 6.25% per quarter for the next twelve successive quarters of employment when, after four full years of employment, the Options will be fully vested. The Options grant will be brought to the Board of Directors for approval soon after you begin employment with the Company.</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will be eligible to participate in the Company’s health insurance programs as well as the life, AD&amp;D, short and long-term disability plans, along with the Company’s 401k plan, subject to the terms of those plans. As of January 1, 2019, Fulcrum now offers employees a discretionary vacation time off program. In addition, you will receive paid holidays in accordance with the annual company holiday schedule. Current Benefits Summary is attached. Benefits are subject to change at any time in the Company’s sole discretion.</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It is understood and agreed that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 other than as provided below:</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Notwithstanding the foregoing, in the event that the Company terminates your employment without Cause (as defined below), and for the avoidance of doubt, not due to death or disability, then, subject to you entering into and complying with a separation agreement and general release in a form provided by the Company no later than sixty (60) days following termination of employment, you will be entitled to severance pay in an amount equal to:</w:t>
      </w:r>
    </w:p>
    <w:p>
      <w:pPr>
        <w:spacing w:after="0" w:line="147" w:lineRule="exact"/>
        <w:rPr>
          <w:sz w:val="20"/>
          <w:szCs w:val="20"/>
          <w:color w:val="auto"/>
        </w:rPr>
      </w:pPr>
    </w:p>
    <w:p>
      <w:pPr>
        <w:ind w:left="640" w:right="160" w:hanging="324"/>
        <w:spacing w:after="0" w:line="279" w:lineRule="auto"/>
        <w:tabs>
          <w:tab w:leader="none" w:pos="604" w:val="left"/>
        </w:tabs>
        <w:numPr>
          <w:ilvl w:val="0"/>
          <w:numId w:val="417"/>
        </w:numPr>
        <w:rPr>
          <w:rFonts w:ascii="Arial" w:cs="Arial" w:eastAsia="Arial" w:hAnsi="Arial"/>
          <w:sz w:val="17"/>
          <w:szCs w:val="17"/>
          <w:color w:val="auto"/>
        </w:rPr>
      </w:pPr>
      <w:r>
        <w:rPr>
          <w:rFonts w:ascii="Arial" w:cs="Arial" w:eastAsia="Arial" w:hAnsi="Arial"/>
          <w:sz w:val="17"/>
          <w:szCs w:val="17"/>
          <w:color w:val="auto"/>
        </w:rPr>
        <w:t>Six (6) months of your then current Base Salary, less lawful deductions, paid in equal installments in accordance with the Company’s standard payroll practice over the six-month period immediately following your termination of employment (the “Severance Payments”); provided, that the first installment payment of the Severance Payments shall be made on the sixtieth (60th) day after the date of you termination, and will include payment of any installment payments that were otherwise due prior thereto; plus</w:t>
      </w:r>
    </w:p>
    <w:p>
      <w:pPr>
        <w:spacing w:after="0" w:line="171" w:lineRule="exact"/>
        <w:rPr>
          <w:rFonts w:ascii="Arial" w:cs="Arial" w:eastAsia="Arial" w:hAnsi="Arial"/>
          <w:sz w:val="17"/>
          <w:szCs w:val="17"/>
          <w:color w:val="auto"/>
        </w:rPr>
      </w:pPr>
    </w:p>
    <w:p>
      <w:pPr>
        <w:jc w:val="both"/>
        <w:ind w:left="640" w:right="20" w:hanging="324"/>
        <w:spacing w:after="0" w:line="264" w:lineRule="auto"/>
        <w:tabs>
          <w:tab w:leader="none" w:pos="60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subject to (i) your timely election of continuation coverage under COBRA, and (ii) your continued copayment of premiums at the same level and cost to you as if you were an employee of the Company (excluding, for purposes of calculating cost, an employee’s ability to pay premiums with pre-tax dollars), continued payment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190500</wp:posOffset>
            </wp:positionV>
            <wp:extent cx="726757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580" w:top="341" w:right="239" w:bottom="1440" w:gutter="0" w:footer="0" w:header="0"/>
        </w:sectPr>
      </w:pPr>
    </w:p>
    <w:bookmarkStart w:id="566" w:name="page567"/>
    <w:bookmarkEnd w:id="566"/>
    <w:p>
      <w:pPr>
        <w:ind w:left="648" w:right="180"/>
        <w:spacing w:after="0" w:line="259" w:lineRule="auto"/>
        <w:rPr>
          <w:sz w:val="20"/>
          <w:szCs w:val="20"/>
          <w:color w:val="auto"/>
        </w:rPr>
      </w:pPr>
      <w:r>
        <w:rPr>
          <w:rFonts w:ascii="Arial" w:cs="Arial" w:eastAsia="Arial" w:hAnsi="Arial"/>
          <w:sz w:val="18"/>
          <w:szCs w:val="18"/>
          <w:color w:val="auto"/>
        </w:rPr>
        <w:t>Company of your (and your dependents, if applicable) health, insurance coverage during the six (6) month period following the date of termination to the same extent that the Company paid for such coverage immediately prior to the date of termination, in a manner intended to avoid any excise tax under Section 4980D of the Internal Revenue Code of 1986, as amended, subject to the eligibility requirements and other terms and conditions of such insurance coverage.</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purposes of this letter agreement:</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“Cause” means:</w:t>
      </w:r>
    </w:p>
    <w:p>
      <w:pPr>
        <w:spacing w:after="0" w:line="225" w:lineRule="exact"/>
        <w:rPr>
          <w:sz w:val="20"/>
          <w:szCs w:val="20"/>
          <w:color w:val="auto"/>
        </w:rPr>
      </w:pPr>
    </w:p>
    <w:p>
      <w:pPr>
        <w:ind w:left="8" w:right="120" w:hanging="8"/>
        <w:spacing w:after="0" w:line="291" w:lineRule="auto"/>
        <w:tabs>
          <w:tab w:leader="none" w:pos="216" w:val="left"/>
        </w:tabs>
        <w:numPr>
          <w:ilvl w:val="0"/>
          <w:numId w:val="418"/>
        </w:numPr>
        <w:rPr>
          <w:rFonts w:ascii="Arial" w:cs="Arial" w:eastAsia="Arial" w:hAnsi="Arial"/>
          <w:sz w:val="16"/>
          <w:szCs w:val="16"/>
          <w:color w:val="auto"/>
        </w:rPr>
      </w:pPr>
      <w:r>
        <w:rPr>
          <w:rFonts w:ascii="Arial" w:cs="Arial" w:eastAsia="Arial" w:hAnsi="Arial"/>
          <w:sz w:val="16"/>
          <w:szCs w:val="16"/>
          <w:color w:val="auto"/>
        </w:rPr>
        <w:t>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ind w:left="8" w:right="300" w:hanging="8"/>
        <w:spacing w:after="0" w:line="281" w:lineRule="auto"/>
        <w:tabs>
          <w:tab w:leader="none" w:pos="273" w:val="left"/>
        </w:tabs>
        <w:numPr>
          <w:ilvl w:val="0"/>
          <w:numId w:val="418"/>
        </w:numPr>
        <w:rPr>
          <w:rFonts w:ascii="Arial" w:cs="Arial" w:eastAsia="Arial" w:hAnsi="Arial"/>
          <w:sz w:val="16"/>
          <w:szCs w:val="16"/>
          <w:color w:val="auto"/>
        </w:rPr>
      </w:pPr>
      <w:r>
        <w:rPr>
          <w:rFonts w:ascii="Arial" w:cs="Arial" w:eastAsia="Arial" w:hAnsi="Arial"/>
          <w:sz w:val="16"/>
          <w:szCs w:val="16"/>
          <w:color w:val="auto"/>
        </w:rPr>
        <w:t>your conviction of (A) a felony or (B) any misdemeanor involving moral turpitude, deceit, dishonesty or fraud; (iii) your gross negligence, willful misconduct or insubordination with respect to the Company that results in or is reasonably anticipated to result in material harm to the Company; or</w:t>
      </w:r>
    </w:p>
    <w:p>
      <w:pPr>
        <w:spacing w:after="0" w:line="1" w:lineRule="exact"/>
        <w:rPr>
          <w:rFonts w:ascii="Arial" w:cs="Arial" w:eastAsia="Arial" w:hAnsi="Arial"/>
          <w:sz w:val="16"/>
          <w:szCs w:val="16"/>
          <w:color w:val="auto"/>
        </w:rPr>
      </w:pPr>
    </w:p>
    <w:p>
      <w:pPr>
        <w:ind w:left="8" w:right="640" w:hanging="8"/>
        <w:spacing w:after="0" w:line="261" w:lineRule="auto"/>
        <w:tabs>
          <w:tab w:leader="none" w:pos="313" w:val="left"/>
        </w:tabs>
        <w:numPr>
          <w:ilvl w:val="0"/>
          <w:numId w:val="419"/>
        </w:numPr>
        <w:rPr>
          <w:rFonts w:ascii="Arial" w:cs="Arial" w:eastAsia="Arial" w:hAnsi="Arial"/>
          <w:sz w:val="18"/>
          <w:szCs w:val="18"/>
          <w:color w:val="auto"/>
        </w:rPr>
      </w:pPr>
      <w:r>
        <w:rPr>
          <w:rFonts w:ascii="Arial" w:cs="Arial" w:eastAsia="Arial" w:hAnsi="Arial"/>
          <w:sz w:val="18"/>
          <w:szCs w:val="18"/>
          <w:color w:val="auto"/>
        </w:rPr>
        <w:t>your material violation of any provision of any agreement(s) between you and the Company relating to nonsolicitation, nondisclosure and/or assignment of inventions.</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Section 409A.</w:t>
      </w:r>
    </w:p>
    <w:p>
      <w:pPr>
        <w:spacing w:after="0" w:line="225" w:lineRule="exact"/>
        <w:rPr>
          <w:sz w:val="20"/>
          <w:szCs w:val="20"/>
          <w:color w:val="auto"/>
        </w:rPr>
      </w:pPr>
    </w:p>
    <w:p>
      <w:pPr>
        <w:ind w:left="8" w:right="80"/>
        <w:spacing w:after="0" w:line="255" w:lineRule="auto"/>
        <w:rPr>
          <w:sz w:val="20"/>
          <w:szCs w:val="20"/>
          <w:color w:val="auto"/>
        </w:rPr>
      </w:pPr>
      <w:r>
        <w:rPr>
          <w:rFonts w:ascii="Arial" w:cs="Arial" w:eastAsia="Arial" w:hAnsi="Arial"/>
          <w:sz w:val="18"/>
          <w:szCs w:val="18"/>
          <w:color w:val="auto"/>
        </w:rPr>
        <w:t>Although the Company does not guarantee the tax treatment of any payments under this letter agreement, the intent of the Company is that the payments and benefits under this letter agreement be exempt from, or comply with, Section 409A of the Internal Revenue Code of 1986, as amended, and all Treasury Regulations and guidance promulgated thereunder (“Code Section 409A”) and to the maximum extent permitted the Agreement shall be limited, construed and interpreted in accordance with such intent. In no event whatsoever shall the Company or its affiliates or their respective officers, directors, employees or agents be liable for any additional tax, interest or penalties that may be imposed on you by Code Section 409A or damages for failing to comply with Code Section 409A.</w:t>
      </w:r>
    </w:p>
    <w:p>
      <w:pPr>
        <w:spacing w:after="0" w:line="193" w:lineRule="exact"/>
        <w:rPr>
          <w:sz w:val="20"/>
          <w:szCs w:val="20"/>
          <w:color w:val="auto"/>
        </w:rPr>
      </w:pPr>
    </w:p>
    <w:p>
      <w:pPr>
        <w:ind w:left="8"/>
        <w:spacing w:after="0" w:line="279" w:lineRule="auto"/>
        <w:rPr>
          <w:sz w:val="20"/>
          <w:szCs w:val="20"/>
          <w:color w:val="auto"/>
        </w:rPr>
      </w:pPr>
      <w:r>
        <w:rPr>
          <w:rFonts w:ascii="Arial" w:cs="Arial" w:eastAsia="Arial" w:hAnsi="Arial"/>
          <w:sz w:val="17"/>
          <w:szCs w:val="17"/>
          <w:color w:val="auto"/>
        </w:rPr>
        <w:t>Notwithstanding any other provision of this letter agreement to the contrary, to the extent that any reimbursement of expenses constitutes “deferred compensation” under Code Section 409A, such reimbursement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184785</wp:posOffset>
            </wp:positionV>
            <wp:extent cx="7267575"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8"/>
          </w:cols>
          <w:pgMar w:left="572" w:top="341" w:right="259" w:bottom="1440" w:gutter="0" w:footer="0" w:header="0"/>
        </w:sectPr>
      </w:pPr>
    </w:p>
    <w:bookmarkStart w:id="567" w:name="page568"/>
    <w:bookmarkEnd w:id="567"/>
    <w:p>
      <w:pPr>
        <w:ind w:right="160"/>
        <w:spacing w:after="0" w:line="264" w:lineRule="auto"/>
        <w:rPr>
          <w:sz w:val="20"/>
          <w:szCs w:val="20"/>
          <w:color w:val="auto"/>
        </w:rPr>
      </w:pPr>
      <w:r>
        <w:rPr>
          <w:rFonts w:ascii="Arial" w:cs="Arial" w:eastAsia="Arial" w:hAnsi="Arial"/>
          <w:sz w:val="18"/>
          <w:szCs w:val="18"/>
          <w:color w:val="auto"/>
        </w:rPr>
        <w:t>For purposes of Code Section 409A (including, without limitation, for purposes of Treasury Regulation Section l.409A-2(b)(2)(iii)), the right to receive payments in the form of installment payments shall be treated as a right to receive a series of separate payments and, accordingly, each installment payment shall at all times be considered a separate and distinct payment.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any other provision of this letter agreement to the contrary, if at the time of your separation from service (as defined in Code</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409A), you are a “Specified Employee”, then the Company will defer the payment or commencement of any nonqualified deferred compensation subject to Code Section 409A payable upon separation from service (without any reduction in such payments or benefits ultimately paid or provided to you) until the date that is six (6) months following separation from service or, if earlier, the earliest other date as is permitted under Code Section 409A (and any amounts that otherwise would have been paid during this deferral period will be paid in a lump sum on the day after the expiration of the six (6) month period or such shorter period, if applicable).</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offer of employment is contingent upon you’re signing the Employee Confidentiality and Assignment Agreement (the “Employee Agreement”) and receipt of a satisfactory outcome of pre-employment screening activities including favorable reference checks of former employment, verification of your ability to work in the United States, education and criminal history check. 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Immigration Reform and Control Act requires employers to verify the employment eligibility and identity of new employees. You will be required to complete a Form I-9 which will be provided to you before the Start Date. Please bring the appropriate documents listed on that form with you when you report for work. We will not be able to employ you if you fail to comply with this requirement.</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offer letter and the Employee Agreement and Equity Documents referenced above constitute the complete agreement between you and the Company, contain all the terms of your employment with the Company and supersede any prior agreements, representations or understandings (whether written, oral or implied) between you and the Company. Neither this offer letter nor the Employee Agreement may be amended or modified, except by an express written agreement signed by both you and a duly authorized officer of the Company, although, consistent with your at-will employment, your job duties, title, reporting relationship, compensation and benefits may change from time to time, at the Company’s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185420</wp:posOffset>
            </wp:positionV>
            <wp:extent cx="7267575"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580" w:top="340" w:right="259" w:bottom="1440" w:gutter="0" w:footer="0" w:header="0"/>
        </w:sectPr>
      </w:pPr>
    </w:p>
    <w:bookmarkStart w:id="568" w:name="page569"/>
    <w:bookmarkEnd w:id="568"/>
    <w:p>
      <w:pPr>
        <w:ind w:left="340" w:right="360"/>
        <w:spacing w:after="0" w:line="342" w:lineRule="auto"/>
        <w:rPr>
          <w:sz w:val="20"/>
          <w:szCs w:val="20"/>
          <w:color w:val="auto"/>
        </w:rPr>
      </w:pPr>
      <w:r>
        <w:rPr>
          <w:rFonts w:ascii="Arial" w:cs="Arial" w:eastAsia="Arial" w:hAnsi="Arial"/>
          <w:sz w:val="16"/>
          <w:szCs w:val="16"/>
          <w:color w:val="auto"/>
        </w:rPr>
        <w:t>Please indicate your acceptance of this offer by signing and returning the enclosed copy of this letter and the Employee Agreement. You may indicate your acceptance of this offer by signing on the appropriate space below and returning a signed, scanned copy of this letter to Kim Hazen at [**].</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your joining Fulcrum and are pleased that you will be working with 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Robert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48170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Robert Gould, Ph.D.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President &amp; CEO</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Accepted and Agreed:</w:t>
            </w:r>
          </w:p>
        </w:tc>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/s/ Bryan Stuart</w:t>
            </w:r>
          </w:p>
        </w:tc>
        <w:tc>
          <w:tcPr>
            <w:tcW w:w="5180" w:type="dxa"/>
            <w:vAlign w:val="bottom"/>
          </w:tcPr>
          <w:p>
            <w:pPr>
              <w:spacing w:after="0"/>
              <w:rPr>
                <w:sz w:val="20"/>
                <w:szCs w:val="20"/>
                <w:color w:val="auto"/>
              </w:rPr>
            </w:pPr>
            <w:r>
              <w:rPr>
                <w:rFonts w:ascii="Arial" w:cs="Arial" w:eastAsia="Arial" w:hAnsi="Arial"/>
                <w:sz w:val="18"/>
                <w:szCs w:val="18"/>
                <w:color w:val="auto"/>
              </w:rPr>
              <w:t>12/6/18</w:t>
            </w:r>
          </w:p>
        </w:tc>
        <w:tc>
          <w:tcPr>
            <w:tcW w:w="18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Bryan Stuart</w:t>
            </w:r>
          </w:p>
        </w:tc>
        <w:tc>
          <w:tcPr>
            <w:tcW w:w="38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19"/>
                <w:szCs w:val="19"/>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69" w:name="page570"/>
    <w:bookmarkEnd w:id="569"/>
    <w:p>
      <w:pPr>
        <w:jc w:val="right"/>
        <w:spacing w:after="0"/>
        <w:rPr>
          <w:sz w:val="20"/>
          <w:szCs w:val="20"/>
          <w:color w:val="auto"/>
        </w:rPr>
      </w:pPr>
      <w:r>
        <w:rPr>
          <w:rFonts w:ascii="Arial" w:cs="Arial" w:eastAsia="Arial" w:hAnsi="Arial"/>
          <w:sz w:val="18"/>
          <w:szCs w:val="18"/>
          <w:b w:val="1"/>
          <w:bCs w:val="1"/>
          <w:color w:val="auto"/>
        </w:rPr>
        <w:t>Exhibit 10.14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Diego Cadavid,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Offer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Diego,</w:t>
      </w:r>
    </w:p>
    <w:p>
      <w:pPr>
        <w:spacing w:after="0" w:line="22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Fulcrum Therapeutics, Inc. (the “Company’’) is pleased to confirm its offer to employ you as Vice President, Clinical Development. As Vice President, clinical development, you will report into Robert Gould, PhD, President and Chief Executive Officer. Your effective date of hire as a regular, full-time employee (the ‘‘Start Date”) will be September 6, 2016. Your normal place of work will be at the Company’s offices in Cambridge, MA.</w:t>
      </w:r>
    </w:p>
    <w:p>
      <w:pPr>
        <w:spacing w:after="0" w:line="14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Your compensation for this position will be at the rate of $330,000 a year, payable in accordance with the Company’s normal pay schedule, which the Company currently expects will be bi-weekly. All payments are subject to legally required tax withholdings. It is expected that, when an annual bonus program is approved by the Board of Directors, you will be eligible for a target bonus at 25% of your annual compensation, based upon the achievement of corporate and individual goals, as agreed by the Board of Directors. You will be eligible to participate each year in any annual bonus plan adopted by the Company and the Company, subject to financial business, and other circumstances and factors.</w:t>
      </w:r>
    </w:p>
    <w:p>
      <w:pPr>
        <w:spacing w:after="0" w:line="17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the Company will provide you with a one-time sign-on bonus of $150,000 which will be paid to you in two installments. You will receive the first payment of $125,000 during your first month of employment and it will be subject to customary deductions and withholdings as required by law. You will receive the second payment of $25,000 upon the first anniversary of your Start Date with the Company. Should you voluntarily leave the Company, other than for death or disability, within 12 months of receiving either payment, you will be obligated to return the gross amount of the payment to the company within 30 Days of your departure date.</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After Series A funding, you will be issued either a stock option or restricted stock grant for 400,000 shares of Fulcrum Therapeutics, Inc. common stock (the “Shares”), subject to approval of the Company’s Board of Directors, at an exercise or purchase price equal to the fair market value of the Company’s common stock on the date of grant or issuance, subject to the standard terms and conditions of Fulcrum Therapeutics, Inc. Stock Incentive Plan and form of stock option or restricted stock agreement, including vesting, subject to continued employment. The Shares shall vest over four years at the rate of 25% on the first anniversary of the commencement date of your employment and an additional 6.25% per quarter for the next twelve successive quarters of employment when, after four full years of employment, the Shares will be fully vested. The Share grant will be brought to the Board of Directors for approval soon after you begin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70" w:name="page571"/>
    <w:bookmarkEnd w:id="570"/>
    <w:p>
      <w:pPr>
        <w:ind w:right="40"/>
        <w:spacing w:after="0" w:line="264" w:lineRule="auto"/>
        <w:rPr>
          <w:sz w:val="20"/>
          <w:szCs w:val="20"/>
          <w:color w:val="auto"/>
        </w:rPr>
      </w:pPr>
      <w:r>
        <w:rPr>
          <w:rFonts w:ascii="Arial" w:cs="Arial" w:eastAsia="Arial" w:hAnsi="Arial"/>
          <w:sz w:val="18"/>
          <w:szCs w:val="18"/>
          <w:color w:val="auto"/>
        </w:rPr>
        <w:t>The Company will offer a comprehensive benefits program and you will be eligible to participate in the program to the extent that the company establishes them soon after the completion of the Series A financing. You will accrue 15 paid vacation days each year for the first 5 years of service and receive 12 paid holidays annually in accordance with the company holiday schedule.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It is understood and agreed that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 except for your salary through the last day of your employment plus any then accrued but unused vacation.</w:t>
      </w:r>
    </w:p>
    <w:p>
      <w:pPr>
        <w:spacing w:after="0" w:line="1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Enclosed is a ‘‘Non-Solicitation, Non-Competition, Confidentiality and Assignment Agreement” (the ‘‘Employee Agreement”). This offer of employment is conditioned on your willingness to enter into and abide by the terms of the Employee Agreement, the terms of which are incorporated into this offer letter.</w:t>
      </w:r>
    </w:p>
    <w:p>
      <w:pPr>
        <w:spacing w:after="0" w:line="12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Immigration Reform and Control Act requires employers to verify the employment eligibility and identity of new employees. You will be required to complete a Form I-9 which will be provided to you before the Start Date. Please bring the appropriate documents listed on that form with you when you report for work. We will not be able to employ you if you fail to comply with this requirement.</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offer letter and the Employee Agreement and Equity Documents referenced above constitute the complete agreement between you and the Company, contain all of the terms of your employment with the Company and supersede any prior agreements, representations or understandings (whether written, oral or implied) between you and the Company. Neither this offer letter nor the Employee Agreement may be amended or modified, except by an express written agreement signed by both you and a duly authorized officer of the Company, although, consistent with your at-will employment, your job duties, title, reporting relationship, compensation and benefits may change from time to time, at the Company’s option.</w:t>
      </w:r>
    </w:p>
    <w:p>
      <w:pPr>
        <w:spacing w:after="0" w:line="1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Please indicate your acceptance of this offer by signing and returning the enclosed copy of this letter and the Employee Agreement no later than August 10, 2016. You may indicate your acceptance of this offer by signing on the appropriate space below and returning a signed, scanned copy of this letter and the Employee Agreement to Susan O’Connor at [**]</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71" w:name="page572"/>
    <w:bookmarkEnd w:id="571"/>
    <w:p>
      <w:pPr>
        <w:spacing w:after="0"/>
        <w:rPr>
          <w:sz w:val="20"/>
          <w:szCs w:val="20"/>
          <w:color w:val="auto"/>
        </w:rPr>
      </w:pPr>
      <w:r>
        <w:rPr>
          <w:rFonts w:ascii="Arial" w:cs="Arial" w:eastAsia="Arial" w:hAnsi="Arial"/>
          <w:sz w:val="16"/>
          <w:szCs w:val="16"/>
          <w:color w:val="auto"/>
        </w:rPr>
        <w:t>We look forward to your joining the Company and are pleased that you will be working with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Robert Gould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Gould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Diego Cadavid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Diego Cadavid,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10 August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0" w:right="1440" w:bottom="1440" w:gutter="0" w:footer="0" w:header="0"/>
        </w:sectPr>
      </w:pPr>
    </w:p>
    <w:bookmarkStart w:id="572" w:name="page573"/>
    <w:bookmarkEnd w:id="572"/>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229"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color w:val="auto"/>
        </w:rPr>
        <w:t>This Indemnification Agreement (“Agreement”) is made as of [</w:t>
      </w:r>
      <w:r>
        <w:rPr>
          <w:sz w:val="20"/>
          <w:szCs w:val="20"/>
          <w:color w:val="auto"/>
        </w:rPr>
        <w:tab/>
      </w:r>
      <w:r>
        <w:rPr>
          <w:rFonts w:ascii="Arial" w:cs="Arial" w:eastAsia="Arial" w:hAnsi="Arial"/>
          <w:sz w:val="16"/>
          <w:szCs w:val="16"/>
          <w:color w:val="auto"/>
        </w:rPr>
        <w:t>], 20[ ] by and between Fulcrum Therapeutics, Inc., a Delaware corporation</w:t>
      </w:r>
    </w:p>
    <w:p>
      <w:pPr>
        <w:spacing w:after="0" w:line="2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(the “Company”), and [ ] (“Indemnitee”) [[</w:t>
      </w:r>
      <w:r>
        <w:rPr>
          <w:rFonts w:ascii="Arial" w:cs="Arial" w:eastAsia="Arial" w:hAnsi="Arial"/>
          <w:sz w:val="18"/>
          <w:szCs w:val="18"/>
          <w:i w:val="1"/>
          <w:iCs w:val="1"/>
          <w:color w:val="auto"/>
        </w:rPr>
        <w:t>Solely with respect to officers and directors that execute this form of indemnification agreement on or</w:t>
      </w:r>
      <w:r>
        <w:rPr>
          <w:rFonts w:ascii="Arial" w:cs="Arial" w:eastAsia="Arial" w:hAnsi="Arial"/>
          <w:sz w:val="18"/>
          <w:szCs w:val="18"/>
          <w:color w:val="auto"/>
        </w:rPr>
        <w:t xml:space="preserve"> </w:t>
      </w:r>
      <w:r>
        <w:rPr>
          <w:rFonts w:ascii="Arial" w:cs="Arial" w:eastAsia="Arial" w:hAnsi="Arial"/>
          <w:sz w:val="18"/>
          <w:szCs w:val="18"/>
          <w:i w:val="1"/>
          <w:iCs w:val="1"/>
          <w:color w:val="auto"/>
        </w:rPr>
        <w:t>prior to the Company’s initial public offering:</w:t>
      </w:r>
      <w:r>
        <w:rPr>
          <w:rFonts w:ascii="Arial" w:cs="Arial" w:eastAsia="Arial" w:hAnsi="Arial"/>
          <w:sz w:val="18"/>
          <w:szCs w:val="18"/>
          <w:color w:val="auto"/>
        </w:rPr>
        <w:t>] and shall be effective as of the effectiveness of a Registration Statement on Form S-1 relating to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under the Securities Act of 1933, as amended, of shares of the Company’s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WHEREAS, highly competent persons have become more reluctant to serve publicly-held corporations as directors or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WHEREAS, the Board of Directors of the Company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Certificate of Incorporation of the Company (as the same may be amended from time to time, the “Certificate of Incorporation”) requires indemnification of the officers and directors of the Company. Indemnitee may also be entitled to indemnification pursuant to the General Corporation Law of the State of Delaware (the “DGCL”). The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uncertainties relating to such insurance and to indemnification have increased the difficulty of attracting and retaining such persons;</w:t>
      </w:r>
    </w:p>
    <w:p>
      <w:pPr>
        <w:spacing w:after="0" w:line="248"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this Agreement is a supplement to and in furtherance of the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573" w:name="page574"/>
    <w:bookmarkEnd w:id="573"/>
    <w:p>
      <w:pPr>
        <w:spacing w:after="0" w:line="277" w:lineRule="auto"/>
        <w:rPr>
          <w:sz w:val="20"/>
          <w:szCs w:val="20"/>
          <w:color w:val="auto"/>
        </w:rPr>
      </w:pPr>
      <w:r>
        <w:rPr>
          <w:rFonts w:ascii="Arial" w:cs="Arial" w:eastAsia="Arial" w:hAnsi="Arial"/>
          <w:sz w:val="18"/>
          <w:szCs w:val="18"/>
          <w:color w:val="auto"/>
        </w:rPr>
        <w:t>Incorporation and any resolutions adopted pursuant thereto, and shall not be deemed a substitute therefor, nor to diminish or abrogate any rights of Indemnitee thereunder; and</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[WHEREAS, Indemnitee is a representative of [·] [and its affiliated investment funds] (the “Fund”), and has certain rights to indemnification and/or insurance provided by the Fund which Indemnitee and the Fund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8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WHEREAS, Indemnitee does not regard the protection available under the Certificate of Incorporation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Services to the Company</w:t>
      </w:r>
      <w:r>
        <w:rPr>
          <w:rFonts w:ascii="Arial" w:cs="Arial" w:eastAsia="Arial" w:hAnsi="Arial"/>
          <w:sz w:val="17"/>
          <w:szCs w:val="17"/>
          <w:color w:val="auto"/>
        </w:rPr>
        <w:t>. Indemnitee agrees to serve as [a][an] [officer][director] of the Company.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Indemnitee’s employment with the Company (or any of its subsidiaries or any Enterprise), if any, is at will, and the Indemnitee may be discharged at any time for any reason, with or without cause, except as may be otherwise provided in any written employment contract between Indemnitee and the Company (or any of its subsidiaries or any Enterprise), other applicable formal severance policies duly adopted by the Board, or, with respect to service as a director or officer of the Company, by the Certificate of Incorporation, the Company’s Bylaws, and the DGCL. The foregoing notwithstanding, this Agreement shall continue in force after Indemnitee has ceased to serve as [a][an] [officer][director] of the Company, as provided in Section 16 hereof.</w:t>
      </w:r>
    </w:p>
    <w:p>
      <w:pPr>
        <w:spacing w:after="0" w:line="18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w:t>
      </w:r>
    </w:p>
    <w:p>
      <w:pPr>
        <w:spacing w:after="0" w:line="225" w:lineRule="exact"/>
        <w:rPr>
          <w:sz w:val="20"/>
          <w:szCs w:val="20"/>
          <w:color w:val="auto"/>
        </w:rPr>
      </w:pPr>
    </w:p>
    <w:p>
      <w:pPr>
        <w:ind w:right="40" w:firstLine="1305"/>
        <w:spacing w:after="0" w:line="259" w:lineRule="auto"/>
        <w:tabs>
          <w:tab w:leader="none" w:pos="1991" w:val="left"/>
        </w:tabs>
        <w:numPr>
          <w:ilvl w:val="0"/>
          <w:numId w:val="420"/>
        </w:numPr>
        <w:rPr>
          <w:rFonts w:ascii="Arial" w:cs="Arial" w:eastAsia="Arial" w:hAnsi="Arial"/>
          <w:sz w:val="18"/>
          <w:szCs w:val="18"/>
          <w:color w:val="auto"/>
        </w:rPr>
      </w:pPr>
      <w:r>
        <w:rPr>
          <w:rFonts w:ascii="Arial" w:cs="Arial" w:eastAsia="Arial" w:hAnsi="Arial"/>
          <w:sz w:val="18"/>
          <w:szCs w:val="18"/>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A “Change in Control” shall be deemed to occur upon the earliest to occur after the date of this Agreement of any of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events:</w:t>
      </w:r>
    </w:p>
    <w:p>
      <w:pPr>
        <w:spacing w:after="0" w:line="210" w:lineRule="exact"/>
        <w:rPr>
          <w:rFonts w:ascii="Arial" w:cs="Arial" w:eastAsia="Arial" w:hAnsi="Arial"/>
          <w:sz w:val="16"/>
          <w:szCs w:val="16"/>
          <w:color w:val="auto"/>
        </w:rPr>
      </w:pPr>
    </w:p>
    <w:p>
      <w:pPr>
        <w:ind w:right="340" w:firstLine="1953"/>
        <w:spacing w:after="0" w:line="277" w:lineRule="auto"/>
        <w:tabs>
          <w:tab w:leader="none" w:pos="267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Acquisition of Stock by Third Party. Any Person (as defined below) is or becomes the Beneficial Owner (as defined below), directly or indirectly, of securities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4" w:name="page575"/>
    <w:bookmarkEnd w:id="574"/>
    <w:p>
      <w:pPr>
        <w:jc w:val="both"/>
        <w:ind w:right="100"/>
        <w:spacing w:after="0" w:line="264" w:lineRule="auto"/>
        <w:rPr>
          <w:sz w:val="20"/>
          <w:szCs w:val="20"/>
          <w:color w:val="auto"/>
        </w:rPr>
      </w:pPr>
      <w:r>
        <w:rPr>
          <w:rFonts w:ascii="Arial" w:cs="Arial" w:eastAsia="Arial" w:hAnsi="Arial"/>
          <w:sz w:val="18"/>
          <w:szCs w:val="18"/>
          <w:color w:val="auto"/>
        </w:rPr>
        <w:t>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81" w:lineRule="exact"/>
        <w:rPr>
          <w:sz w:val="20"/>
          <w:szCs w:val="20"/>
          <w:color w:val="auto"/>
        </w:rPr>
      </w:pPr>
    </w:p>
    <w:p>
      <w:pPr>
        <w:ind w:firstLine="1953"/>
        <w:spacing w:after="0" w:line="255" w:lineRule="auto"/>
        <w:tabs>
          <w:tab w:leader="none" w:pos="267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93" w:lineRule="exact"/>
        <w:rPr>
          <w:rFonts w:ascii="Arial" w:cs="Arial" w:eastAsia="Arial" w:hAnsi="Arial"/>
          <w:sz w:val="18"/>
          <w:szCs w:val="18"/>
          <w:color w:val="auto"/>
        </w:rPr>
      </w:pPr>
    </w:p>
    <w:p>
      <w:pPr>
        <w:ind w:right="280" w:firstLine="1953"/>
        <w:spacing w:after="0" w:line="255" w:lineRule="auto"/>
        <w:tabs>
          <w:tab w:leader="none" w:pos="268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or its ultimate parent, as applicable) more than fifty-one percent (51%) of the combined voting power of the voting securities of the surviving entity or its ultimate parent, as applicable, outstanding immediately after such merger or consolidation and with the power to elect at least a majority of the board of directors or other governing body of such surviving entity or its ultimate parent, as applicable;</w:t>
      </w:r>
    </w:p>
    <w:p>
      <w:pPr>
        <w:spacing w:after="0" w:line="193" w:lineRule="exact"/>
        <w:rPr>
          <w:rFonts w:ascii="Arial" w:cs="Arial" w:eastAsia="Arial" w:hAnsi="Arial"/>
          <w:sz w:val="18"/>
          <w:szCs w:val="18"/>
          <w:color w:val="auto"/>
        </w:rPr>
      </w:pPr>
    </w:p>
    <w:p>
      <w:pPr>
        <w:ind w:right="540" w:firstLine="1953"/>
        <w:spacing w:after="0" w:line="308" w:lineRule="auto"/>
        <w:tabs>
          <w:tab w:leader="none" w:pos="2658" w:val="left"/>
        </w:tabs>
        <w:numPr>
          <w:ilvl w:val="0"/>
          <w:numId w:val="421"/>
        </w:numPr>
        <w:rPr>
          <w:rFonts w:ascii="Arial" w:cs="Arial" w:eastAsia="Arial" w:hAnsi="Arial"/>
          <w:sz w:val="17"/>
          <w:szCs w:val="17"/>
          <w:color w:val="auto"/>
        </w:rPr>
      </w:pPr>
      <w:r>
        <w:rPr>
          <w:rFonts w:ascii="Arial" w:cs="Arial" w:eastAsia="Arial" w:hAnsi="Arial"/>
          <w:sz w:val="17"/>
          <w:szCs w:val="17"/>
          <w:color w:val="auto"/>
        </w:rPr>
        <w:t>Liquidation or Sale of Assets. The approval by the stockholders of the Company of a complete liquidation of the Company or an agreement for the sale or disposition by the Company of all or substantially all of the Company’s assets; and</w:t>
      </w:r>
    </w:p>
    <w:p>
      <w:pPr>
        <w:spacing w:after="0" w:line="146" w:lineRule="exact"/>
        <w:rPr>
          <w:rFonts w:ascii="Arial" w:cs="Arial" w:eastAsia="Arial" w:hAnsi="Arial"/>
          <w:sz w:val="17"/>
          <w:szCs w:val="17"/>
          <w:color w:val="auto"/>
        </w:rPr>
      </w:pPr>
    </w:p>
    <w:p>
      <w:pPr>
        <w:ind w:right="60" w:firstLine="1953"/>
        <w:spacing w:after="0" w:line="264" w:lineRule="auto"/>
        <w:tabs>
          <w:tab w:leader="none" w:pos="2653" w:val="left"/>
        </w:tabs>
        <w:numPr>
          <w:ilvl w:val="0"/>
          <w:numId w:val="421"/>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2(b), the following terms shall have the following meanings:</w:t>
      </w:r>
    </w:p>
    <w:p>
      <w:pPr>
        <w:spacing w:after="0" w:line="225" w:lineRule="exact"/>
        <w:rPr>
          <w:sz w:val="20"/>
          <w:szCs w:val="20"/>
          <w:color w:val="auto"/>
        </w:rPr>
      </w:pPr>
    </w:p>
    <w:p>
      <w:pPr>
        <w:ind w:left="2660" w:hanging="707"/>
        <w:spacing w:after="0"/>
        <w:tabs>
          <w:tab w:leader="none" w:pos="26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from time to time.</w:t>
      </w:r>
    </w:p>
    <w:p>
      <w:pPr>
        <w:spacing w:after="0" w:line="225" w:lineRule="exact"/>
        <w:rPr>
          <w:rFonts w:ascii="Arial" w:cs="Arial" w:eastAsia="Arial" w:hAnsi="Arial"/>
          <w:sz w:val="18"/>
          <w:szCs w:val="18"/>
          <w:color w:val="auto"/>
        </w:rPr>
      </w:pPr>
    </w:p>
    <w:p>
      <w:pPr>
        <w:ind w:left="1300" w:right="40" w:firstLine="653"/>
        <w:spacing w:after="0" w:line="259" w:lineRule="auto"/>
        <w:tabs>
          <w:tab w:leader="none" w:pos="263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“Person” shall have the meaning as set forth in Sections 13(d) and 14(d) of the Exchange Act; provided, however,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86" w:lineRule="exact"/>
        <w:rPr>
          <w:rFonts w:ascii="Arial" w:cs="Arial" w:eastAsia="Arial" w:hAnsi="Arial"/>
          <w:sz w:val="18"/>
          <w:szCs w:val="18"/>
          <w:color w:val="auto"/>
        </w:rPr>
      </w:pPr>
    </w:p>
    <w:p>
      <w:pPr>
        <w:ind w:left="1300" w:right="600" w:firstLine="653"/>
        <w:spacing w:after="0" w:line="277" w:lineRule="auto"/>
        <w:tabs>
          <w:tab w:leader="none" w:pos="263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“Beneficial Owner” shall have the meaning given to such term in Rule 13d-3 under the Exchange Act; provided, however, that Beneficial Owner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75" w:name="page576"/>
    <w:bookmarkEnd w:id="575"/>
    <w:p>
      <w:pPr>
        <w:ind w:left="1260" w:right="80"/>
        <w:spacing w:after="0" w:line="277" w:lineRule="auto"/>
        <w:rPr>
          <w:sz w:val="20"/>
          <w:szCs w:val="20"/>
          <w:color w:val="auto"/>
        </w:rPr>
      </w:pPr>
      <w:r>
        <w:rPr>
          <w:rFonts w:ascii="Arial" w:cs="Arial" w:eastAsia="Arial" w:hAnsi="Arial"/>
          <w:sz w:val="18"/>
          <w:szCs w:val="18"/>
          <w:color w:val="auto"/>
        </w:rPr>
        <w:t>shall exclude any Person otherwise becoming a Beneficial Owner by reason of the stockholders of the Company approving a merger of the Company with another entity.</w:t>
      </w:r>
    </w:p>
    <w:p>
      <w:pPr>
        <w:spacing w:after="0" w:line="170" w:lineRule="exact"/>
        <w:rPr>
          <w:sz w:val="20"/>
          <w:szCs w:val="20"/>
          <w:color w:val="auto"/>
        </w:rPr>
      </w:pPr>
    </w:p>
    <w:p>
      <w:pPr>
        <w:ind w:left="-40" w:right="100" w:firstLine="1305"/>
        <w:spacing w:after="0" w:line="264" w:lineRule="auto"/>
        <w:tabs>
          <w:tab w:leader="none" w:pos="1951"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“Corporate Status” describes the status of a person who is or was a director, officer, employee or agent of the Company or of any other corporation, limited liability company, partnership or joint venture, trust or other enterprise which such person is or was serving at the request of the Company.</w:t>
      </w:r>
    </w:p>
    <w:p>
      <w:pPr>
        <w:spacing w:after="0" w:line="181" w:lineRule="exact"/>
        <w:rPr>
          <w:rFonts w:ascii="Arial" w:cs="Arial" w:eastAsia="Arial" w:hAnsi="Arial"/>
          <w:sz w:val="18"/>
          <w:szCs w:val="18"/>
          <w:color w:val="auto"/>
        </w:rPr>
      </w:pPr>
    </w:p>
    <w:p>
      <w:pPr>
        <w:ind w:left="-40" w:right="380" w:firstLine="1305"/>
        <w:spacing w:after="0" w:line="277" w:lineRule="auto"/>
        <w:tabs>
          <w:tab w:leader="none" w:pos="1961"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“Disinterested Director” shall mean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jc w:val="both"/>
        <w:ind w:left="-40" w:right="340" w:firstLine="1305"/>
        <w:spacing w:after="0" w:line="264" w:lineRule="auto"/>
        <w:tabs>
          <w:tab w:leader="none" w:pos="1951"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“Enterprise” shall mean the Company and any other corporation, limited liability company, partnership, joint venture, trust or other enterprise of which Indemnitee is or was serving at the request of the Company as a director, officer, trustee, partner, managing member, employee, agent or fiduciary.</w:t>
      </w:r>
    </w:p>
    <w:p>
      <w:pPr>
        <w:spacing w:after="0" w:line="181" w:lineRule="exact"/>
        <w:rPr>
          <w:rFonts w:ascii="Arial" w:cs="Arial" w:eastAsia="Arial" w:hAnsi="Arial"/>
          <w:sz w:val="18"/>
          <w:szCs w:val="18"/>
          <w:color w:val="auto"/>
        </w:rPr>
      </w:pPr>
    </w:p>
    <w:p>
      <w:pPr>
        <w:ind w:left="-40" w:right="20" w:firstLine="1305"/>
        <w:spacing w:after="0" w:line="287" w:lineRule="auto"/>
        <w:tabs>
          <w:tab w:leader="none" w:pos="1976" w:val="left"/>
        </w:tabs>
        <w:numPr>
          <w:ilvl w:val="0"/>
          <w:numId w:val="423"/>
        </w:numPr>
        <w:rPr>
          <w:rFonts w:ascii="Arial" w:cs="Arial" w:eastAsia="Arial" w:hAnsi="Arial"/>
          <w:sz w:val="16"/>
          <w:szCs w:val="16"/>
          <w:color w:val="auto"/>
        </w:rPr>
      </w:pPr>
      <w:r>
        <w:rPr>
          <w:rFonts w:ascii="Arial" w:cs="Arial" w:eastAsia="Arial" w:hAnsi="Arial"/>
          <w:sz w:val="16"/>
          <w:szCs w:val="16"/>
          <w:color w:val="auto"/>
        </w:rPr>
        <w:t>“Expenses” shall include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and (ii) for purposes of Section 14(d)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shall be presumed conclusively to be reasonable. Expenses, however, shall not include amounts paid in settlement by Indemnitee or the amount of judgments or fines against Indemnitee.</w:t>
      </w:r>
    </w:p>
    <w:p>
      <w:pPr>
        <w:spacing w:after="0" w:line="172" w:lineRule="exact"/>
        <w:rPr>
          <w:rFonts w:ascii="Arial" w:cs="Arial" w:eastAsia="Arial" w:hAnsi="Arial"/>
          <w:sz w:val="16"/>
          <w:szCs w:val="16"/>
          <w:color w:val="auto"/>
        </w:rPr>
      </w:pPr>
    </w:p>
    <w:p>
      <w:pPr>
        <w:ind w:left="-40" w:firstLine="1305"/>
        <w:spacing w:after="0" w:line="271" w:lineRule="auto"/>
        <w:tabs>
          <w:tab w:leader="none" w:pos="1961" w:val="left"/>
        </w:tabs>
        <w:numPr>
          <w:ilvl w:val="0"/>
          <w:numId w:val="423"/>
        </w:numPr>
        <w:rPr>
          <w:rFonts w:ascii="Arial" w:cs="Arial" w:eastAsia="Arial" w:hAnsi="Arial"/>
          <w:sz w:val="17"/>
          <w:szCs w:val="17"/>
          <w:color w:val="auto"/>
        </w:rPr>
      </w:pPr>
      <w:r>
        <w:rPr>
          <w:rFonts w:ascii="Arial" w:cs="Arial" w:eastAsia="Arial" w:hAnsi="Arial"/>
          <w:sz w:val="17"/>
          <w:szCs w:val="17"/>
          <w:color w:val="auto"/>
        </w:rPr>
        <w:t>“Independent Counsel” shall mean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41" w:right="279" w:bottom="1440" w:gutter="0" w:footer="0" w:header="0"/>
        </w:sectPr>
      </w:pPr>
    </w:p>
    <w:bookmarkStart w:id="576" w:name="page577"/>
    <w:bookmarkEnd w:id="576"/>
    <w:p>
      <w:pPr>
        <w:ind w:firstLine="1305"/>
        <w:spacing w:after="0" w:line="253" w:lineRule="auto"/>
        <w:tabs>
          <w:tab w:leader="none" w:pos="2001"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term “Proceeding” shall include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the fact that Indemnitee is or was a director or officer of the Company, by reason of any action taken by him (or a failure to take action by him) or of any action (or failure to act) on his part while acting pursuant to his Corporate Status,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197" w:lineRule="exact"/>
        <w:rPr>
          <w:rFonts w:ascii="Arial" w:cs="Arial" w:eastAsia="Arial" w:hAnsi="Arial"/>
          <w:sz w:val="18"/>
          <w:szCs w:val="18"/>
          <w:color w:val="auto"/>
        </w:rPr>
      </w:pPr>
    </w:p>
    <w:p>
      <w:pPr>
        <w:ind w:right="40" w:firstLine="1305"/>
        <w:spacing w:after="0" w:line="255" w:lineRule="auto"/>
        <w:tabs>
          <w:tab w:leader="none" w:pos="200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Reference to “other enterprise” shall include employee benefit plans; references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manner “not opposed to the best interests of the Company” as referred to in this Agreement.</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Indemnity in Third-Party Proceedings</w:t>
      </w:r>
      <w:r>
        <w:rPr>
          <w:rFonts w:ascii="Arial" w:cs="Arial" w:eastAsia="Arial" w:hAnsi="Arial"/>
          <w:sz w:val="18"/>
          <w:szCs w:val="18"/>
          <w:color w:val="auto"/>
        </w:rPr>
        <w:t>. 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its stockholders or disinterested directors or applicable law.</w:t>
      </w:r>
    </w:p>
    <w:p>
      <w:pPr>
        <w:spacing w:after="0" w:line="19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Indemnity in Proceedings by or in the Right of the Company</w:t>
      </w:r>
      <w:r>
        <w:rPr>
          <w:rFonts w:ascii="Arial" w:cs="Arial" w:eastAsia="Arial" w:hAnsi="Arial"/>
          <w:sz w:val="18"/>
          <w:szCs w:val="18"/>
          <w:color w:val="auto"/>
        </w:rPr>
        <w:t>. The Company shall indemnify Indemnitee in accordance with the 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for Expenses shall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7" w:name="page578"/>
    <w:bookmarkEnd w:id="577"/>
    <w:p>
      <w:pPr>
        <w:ind w:right="260"/>
        <w:spacing w:after="0" w:line="279" w:lineRule="auto"/>
        <w:rPr>
          <w:sz w:val="20"/>
          <w:szCs w:val="20"/>
          <w:color w:val="auto"/>
        </w:rPr>
      </w:pPr>
      <w:r>
        <w:rPr>
          <w:rFonts w:ascii="Arial" w:cs="Arial" w:eastAsia="Arial" w:hAnsi="Arial"/>
          <w:sz w:val="17"/>
          <w:szCs w:val="17"/>
          <w:color w:val="auto"/>
        </w:rPr>
        <w:t>made under this Section 4 in respect of any claim, issue or matter as to which Indemnitee shall have been finally adjudged by a court to be liable to the Company, unless and only to the extent that the Chancery Court of the State of Delaware (the “Delaware Court”)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or other court shall deem proper.</w:t>
      </w:r>
    </w:p>
    <w:p>
      <w:pPr>
        <w:spacing w:after="0" w:line="17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or related to each successfully resolved claim, issue or matter to the fullest extent permitted by law. For purposes of this Section and without limitation, the termination of any claim, issue or matter in such a Proceeding by dismissal, with or without prejudice, shall be deemed to be a successful result as to such claim, issue or matter.</w:t>
      </w:r>
    </w:p>
    <w:p>
      <w:pPr>
        <w:spacing w:after="0" w:line="179" w:lineRule="exact"/>
        <w:rPr>
          <w:sz w:val="20"/>
          <w:szCs w:val="20"/>
          <w:color w:val="auto"/>
        </w:rPr>
      </w:pPr>
    </w:p>
    <w:p>
      <w:pPr>
        <w:ind w:right="540" w:firstLine="648"/>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Notwithstanding any other provision of this Agreement, to the fullest extent permitted by applicable law and to the extent that Indemnitee is, by reason of his Corporate Status, a witness or otherwise asked to participate in any Proceeding to which Indemnitee is not a party, he shall be indemnified against all Expenses actually and reasonably incurred by him or on his behalf in connection therewith.</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8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Additional Indemnification</w:t>
      </w:r>
      <w:r>
        <w:rPr>
          <w:rFonts w:ascii="Arial" w:cs="Arial" w:eastAsia="Arial" w:hAnsi="Arial"/>
          <w:sz w:val="17"/>
          <w:szCs w:val="17"/>
          <w:color w:val="auto"/>
        </w:rPr>
        <w:t>.</w:t>
      </w:r>
    </w:p>
    <w:p>
      <w:pPr>
        <w:spacing w:after="0" w:line="225" w:lineRule="exact"/>
        <w:rPr>
          <w:sz w:val="20"/>
          <w:szCs w:val="20"/>
          <w:color w:val="auto"/>
        </w:rPr>
      </w:pPr>
    </w:p>
    <w:p>
      <w:pPr>
        <w:ind w:right="180" w:firstLine="1305"/>
        <w:spacing w:after="0" w:line="257" w:lineRule="auto"/>
        <w:tabs>
          <w:tab w:leader="none" w:pos="1991" w:val="left"/>
        </w:tabs>
        <w:numPr>
          <w:ilvl w:val="0"/>
          <w:numId w:val="425"/>
        </w:numPr>
        <w:rPr>
          <w:rFonts w:ascii="Arial" w:cs="Arial" w:eastAsia="Arial" w:hAnsi="Arial"/>
          <w:sz w:val="18"/>
          <w:szCs w:val="18"/>
          <w:color w:val="auto"/>
        </w:rPr>
      </w:pPr>
      <w:r>
        <w:rPr>
          <w:rFonts w:ascii="Arial" w:cs="Arial" w:eastAsia="Arial" w:hAnsi="Arial"/>
          <w:sz w:val="18"/>
          <w:szCs w:val="18"/>
          <w:color w:val="auto"/>
        </w:rPr>
        <w:t>Notwithstanding any limitation in Sections 3, 4, or 5, the Company shall indemnify Indemnitee to the fullest extent permitted by applicable law if Indemnitee is a party to or threatened to be made a party to any Proceeding (including a Proceeding by or in the right of the Company to procure a judgment in its favor)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in connection with the Proceeding.</w:t>
      </w:r>
    </w:p>
    <w:p>
      <w:pPr>
        <w:spacing w:after="0" w:line="188" w:lineRule="exact"/>
        <w:rPr>
          <w:rFonts w:ascii="Arial" w:cs="Arial" w:eastAsia="Arial" w:hAnsi="Arial"/>
          <w:sz w:val="18"/>
          <w:szCs w:val="18"/>
          <w:color w:val="auto"/>
        </w:rPr>
      </w:pPr>
    </w:p>
    <w:p>
      <w:pPr>
        <w:ind w:left="2000" w:hanging="695"/>
        <w:spacing w:after="0"/>
        <w:tabs>
          <w:tab w:leader="none" w:pos="200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For purposes of Section 8(a), the meaning of the phrase “to the fullest extent permitted by applicable law” shall include, but not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limited to:</w:t>
      </w:r>
    </w:p>
    <w:p>
      <w:pPr>
        <w:spacing w:after="0" w:line="210" w:lineRule="exact"/>
        <w:rPr>
          <w:rFonts w:ascii="Arial" w:cs="Arial" w:eastAsia="Arial" w:hAnsi="Arial"/>
          <w:sz w:val="16"/>
          <w:szCs w:val="16"/>
          <w:color w:val="auto"/>
        </w:rPr>
      </w:pPr>
    </w:p>
    <w:p>
      <w:pPr>
        <w:ind w:right="180" w:firstLine="1953"/>
        <w:spacing w:after="0" w:line="277" w:lineRule="auto"/>
        <w:tabs>
          <w:tab w:leader="none" w:pos="267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to the fullest extent permitted by the provision of the DGCL that authorizes or contemplates additional indemnification by agreement, or the corresponding provision of any amendment to or replacement of the DGCL,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8" w:name="page579"/>
    <w:bookmarkEnd w:id="578"/>
    <w:p>
      <w:pPr>
        <w:ind w:right="160" w:firstLine="1953"/>
        <w:spacing w:after="0" w:line="277" w:lineRule="auto"/>
        <w:tabs>
          <w:tab w:leader="none" w:pos="267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any provision in this Agreement, the Company shall not be obligated under this Agreement to make any indemnification payment in connection with any claim made against Indemnitee:</w:t>
      </w:r>
    </w:p>
    <w:p>
      <w:pPr>
        <w:spacing w:after="0" w:line="170" w:lineRule="exact"/>
        <w:rPr>
          <w:sz w:val="20"/>
          <w:szCs w:val="20"/>
          <w:color w:val="auto"/>
        </w:rPr>
      </w:pPr>
    </w:p>
    <w:p>
      <w:pPr>
        <w:ind w:right="40" w:firstLine="1305"/>
        <w:spacing w:after="0" w:line="277" w:lineRule="auto"/>
        <w:tabs>
          <w:tab w:leader="none" w:pos="1991" w:val="left"/>
        </w:tabs>
        <w:numPr>
          <w:ilvl w:val="0"/>
          <w:numId w:val="427"/>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70" w:lineRule="exact"/>
        <w:rPr>
          <w:rFonts w:ascii="Arial" w:cs="Arial" w:eastAsia="Arial" w:hAnsi="Arial"/>
          <w:sz w:val="18"/>
          <w:szCs w:val="18"/>
          <w:color w:val="auto"/>
        </w:rPr>
      </w:pPr>
    </w:p>
    <w:p>
      <w:pPr>
        <w:ind w:right="60" w:firstLine="1305"/>
        <w:spacing w:after="0" w:line="293" w:lineRule="auto"/>
        <w:tabs>
          <w:tab w:leader="none" w:pos="2001" w:val="left"/>
        </w:tabs>
        <w:numPr>
          <w:ilvl w:val="0"/>
          <w:numId w:val="427"/>
        </w:numPr>
        <w:rPr>
          <w:rFonts w:ascii="Arial" w:cs="Arial" w:eastAsia="Arial" w:hAnsi="Arial"/>
          <w:sz w:val="16"/>
          <w:szCs w:val="16"/>
          <w:color w:val="auto"/>
        </w:rPr>
      </w:pPr>
      <w:r>
        <w:rPr>
          <w:rFonts w:ascii="Arial" w:cs="Arial" w:eastAsia="Arial" w:hAnsi="Arial"/>
          <w:sz w:val="16"/>
          <w:szCs w:val="16"/>
          <w:color w:val="auto"/>
        </w:rPr>
        <w:t>for (i) an accounting of profits made from the purchase and sale (or sale and purchase) by Indemnitee of securities of the Company within the meaning of Section 16(b) of the Exchange Act (as defined in Section 2(b) hereof) or similar provisions of state statutory law or common law,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w:t>
      </w:r>
    </w:p>
    <w:p>
      <w:pPr>
        <w:spacing w:after="0" w:line="164" w:lineRule="exact"/>
        <w:rPr>
          <w:rFonts w:ascii="Arial" w:cs="Arial" w:eastAsia="Arial" w:hAnsi="Arial"/>
          <w:sz w:val="16"/>
          <w:szCs w:val="16"/>
          <w:color w:val="auto"/>
        </w:rPr>
      </w:pPr>
    </w:p>
    <w:p>
      <w:pPr>
        <w:ind w:right="420" w:firstLine="1305"/>
        <w:spacing w:after="0" w:line="302" w:lineRule="auto"/>
        <w:tabs>
          <w:tab w:leader="none" w:pos="1991" w:val="left"/>
        </w:tabs>
        <w:numPr>
          <w:ilvl w:val="0"/>
          <w:numId w:val="427"/>
        </w:numPr>
        <w:rPr>
          <w:rFonts w:ascii="Arial" w:cs="Arial" w:eastAsia="Arial" w:hAnsi="Arial"/>
          <w:sz w:val="16"/>
          <w:szCs w:val="16"/>
          <w:color w:val="auto"/>
        </w:rPr>
      </w:pPr>
      <w:r>
        <w:rPr>
          <w:rFonts w:ascii="Arial" w:cs="Arial" w:eastAsia="Arial" w:hAnsi="Arial"/>
          <w:sz w:val="16"/>
          <w:szCs w:val="16"/>
          <w:color w:val="auto"/>
        </w:rPr>
        <w:t>except as provided in Section 14(d)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5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Advances of Expenses</w:t>
      </w:r>
      <w:r>
        <w:rPr>
          <w:rFonts w:ascii="Arial" w:cs="Arial" w:eastAsia="Arial" w:hAnsi="Arial"/>
          <w:sz w:val="16"/>
          <w:szCs w:val="16"/>
          <w:color w:val="auto"/>
        </w:rPr>
        <w:t>. Notwithstanding any provision of this Agreement to the contrary (other than Section 14(d)), the Company shall advance, to the extent not prohibited by law, the Expenses incurred by Indemnitee in connection with any Proceeding (or any part of any Proceeding) not initiated by Indemnitee, and such advancement shall be made within thirty (30)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 accordance with Section 14(d),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amounts advanced (without interest) to the extent that it is ultimately determined that Indemnitee is not entitled to be indemnified by the Company. No other form of undertaking shall be required other than the execution of this Agreement. This Section 10 shall not apply to any claim made by Indemnitee for which indemnity is excluded pursuant to Section 9.</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9" w:name="page580"/>
    <w:bookmarkEnd w:id="579"/>
    <w:p>
      <w:pPr>
        <w:ind w:left="660"/>
        <w:spacing w:after="0"/>
        <w:tabs>
          <w:tab w:leader="none" w:pos="19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Procedure for Notification and Defense of Claim</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0" w:lineRule="auto"/>
        <w:tabs>
          <w:tab w:leader="none" w:pos="1991" w:val="left"/>
        </w:tabs>
        <w:numPr>
          <w:ilvl w:val="0"/>
          <w:numId w:val="428"/>
        </w:numPr>
        <w:rPr>
          <w:rFonts w:ascii="Arial" w:cs="Arial" w:eastAsia="Arial" w:hAnsi="Arial"/>
          <w:sz w:val="17"/>
          <w:szCs w:val="17"/>
          <w:color w:val="auto"/>
        </w:rPr>
      </w:pPr>
      <w:r>
        <w:rPr>
          <w:rFonts w:ascii="Arial" w:cs="Arial" w:eastAsia="Arial" w:hAnsi="Arial"/>
          <w:sz w:val="17"/>
          <w:szCs w:val="17"/>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omission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181" w:lineRule="exact"/>
        <w:rPr>
          <w:rFonts w:ascii="Arial" w:cs="Arial" w:eastAsia="Arial" w:hAnsi="Arial"/>
          <w:sz w:val="17"/>
          <w:szCs w:val="17"/>
          <w:color w:val="auto"/>
        </w:rPr>
      </w:pPr>
    </w:p>
    <w:p>
      <w:pPr>
        <w:ind w:left="2000" w:hanging="695"/>
        <w:spacing w:after="0"/>
        <w:tabs>
          <w:tab w:leader="none" w:pos="20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Procedure Upon Application for 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4" w:lineRule="auto"/>
        <w:tabs>
          <w:tab w:leader="none" w:pos="1991" w:val="left"/>
        </w:tabs>
        <w:numPr>
          <w:ilvl w:val="1"/>
          <w:numId w:val="429"/>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11(a), a determination, if required by applicable law, with respect to Indemnitee’s entitlement thereto shall be made in the specific case: (i) if a Change in Control shall have occurred, by Independent Counsel in a written opinion to the Board, a copy of which shall be delivered to Indemnitee; or (ii) 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and, if it is so determined that Indemnitee is entitled to indemnification, payment to Indemnitee shall be made within ten</w:t>
      </w:r>
    </w:p>
    <w:p>
      <w:pPr>
        <w:spacing w:after="0" w:line="2" w:lineRule="exact"/>
        <w:rPr>
          <w:rFonts w:ascii="Arial" w:cs="Arial" w:eastAsia="Arial" w:hAnsi="Arial"/>
          <w:sz w:val="16"/>
          <w:szCs w:val="16"/>
          <w:color w:val="auto"/>
        </w:rPr>
      </w:pPr>
    </w:p>
    <w:p>
      <w:pPr>
        <w:ind w:right="40" w:firstLine="8"/>
        <w:spacing w:after="0" w:line="252" w:lineRule="auto"/>
        <w:tabs>
          <w:tab w:leader="none" w:pos="34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The Company promptly will advise Indemnitee in writing with respect to any determination that Indemnitee is or is not entitled to indemnification, including a description of any reason or basis for which indemnification has been denied.</w:t>
      </w:r>
    </w:p>
    <w:p>
      <w:pPr>
        <w:spacing w:after="0" w:line="191" w:lineRule="exact"/>
        <w:rPr>
          <w:rFonts w:ascii="Arial" w:cs="Arial" w:eastAsia="Arial" w:hAnsi="Arial"/>
          <w:sz w:val="18"/>
          <w:szCs w:val="18"/>
          <w:color w:val="auto"/>
        </w:rPr>
      </w:pPr>
    </w:p>
    <w:p>
      <w:pPr>
        <w:ind w:left="2000" w:hanging="695"/>
        <w:spacing w:after="0"/>
        <w:tabs>
          <w:tab w:leader="none" w:pos="20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In the event the determination of entitlement to indemnification is to be made by Independent Counsel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12(a) hereof, the Independent Counsel shall be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0" w:name="page581"/>
    <w:bookmarkEnd w:id="580"/>
    <w:p>
      <w:pPr>
        <w:spacing w:after="0" w:line="285" w:lineRule="auto"/>
        <w:rPr>
          <w:sz w:val="20"/>
          <w:szCs w:val="20"/>
          <w:color w:val="auto"/>
        </w:rPr>
      </w:pPr>
      <w:r>
        <w:rPr>
          <w:rFonts w:ascii="Arial" w:cs="Arial" w:eastAsia="Arial" w:hAnsi="Arial"/>
          <w:sz w:val="16"/>
          <w:szCs w:val="16"/>
          <w:color w:val="auto"/>
        </w:rPr>
        <w:t xml:space="preserve">selected as provided in this Section 12(b). If a Change in Control shall not have occurred, the Independent Counsel shall be selected by the Board, and the Company shall give written notice to Indemnitee advising him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submission by Indemnitee of a written request for indemnification pursuant to Section 11(a) hereof and the final disposition of the Proceeding,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7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Presumptions and Effect of Certain Proceedings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90" w:lineRule="auto"/>
        <w:tabs>
          <w:tab w:leader="none" w:pos="1991" w:val="left"/>
        </w:tabs>
        <w:numPr>
          <w:ilvl w:val="0"/>
          <w:numId w:val="431"/>
        </w:numPr>
        <w:rPr>
          <w:rFonts w:ascii="Arial" w:cs="Arial" w:eastAsia="Arial" w:hAnsi="Arial"/>
          <w:sz w:val="16"/>
          <w:szCs w:val="16"/>
          <w:color w:val="auto"/>
        </w:rPr>
      </w:pPr>
      <w:r>
        <w:rPr>
          <w:rFonts w:ascii="Arial" w:cs="Arial" w:eastAsia="Arial" w:hAnsi="Arial"/>
          <w:sz w:val="16"/>
          <w:szCs w:val="16"/>
          <w:color w:val="auto"/>
        </w:rPr>
        <w:t>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11(a)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66" w:lineRule="exact"/>
        <w:rPr>
          <w:rFonts w:ascii="Arial" w:cs="Arial" w:eastAsia="Arial" w:hAnsi="Arial"/>
          <w:sz w:val="16"/>
          <w:szCs w:val="16"/>
          <w:color w:val="auto"/>
        </w:rPr>
      </w:pPr>
    </w:p>
    <w:p>
      <w:pPr>
        <w:ind w:right="120" w:firstLine="1305"/>
        <w:spacing w:after="0" w:line="264" w:lineRule="auto"/>
        <w:tabs>
          <w:tab w:leader="none" w:pos="2001" w:val="left"/>
        </w:tabs>
        <w:numPr>
          <w:ilvl w:val="0"/>
          <w:numId w:val="431"/>
        </w:numPr>
        <w:rPr>
          <w:rFonts w:ascii="Arial" w:cs="Arial" w:eastAsia="Arial" w:hAnsi="Arial"/>
          <w:sz w:val="18"/>
          <w:szCs w:val="18"/>
          <w:color w:val="auto"/>
        </w:rPr>
      </w:pPr>
      <w:r>
        <w:rPr>
          <w:rFonts w:ascii="Arial" w:cs="Arial" w:eastAsia="Arial" w:hAnsi="Arial"/>
          <w:sz w:val="18"/>
          <w:szCs w:val="18"/>
          <w:color w:val="auto"/>
        </w:rPr>
        <w:t>Subject to Section 14(e), if the person, persons or entity empowered or selected under Section 12 of this Agreement to determine whether Indemnitee is entitled to indemnification shall not have made a determination within sixty (60) days after receipt by the Company of the request therefor, the requisite determination of entitlement to indemnification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1" w:name="page582"/>
    <w:bookmarkEnd w:id="581"/>
    <w:p>
      <w:pPr>
        <w:ind w:right="80"/>
        <w:spacing w:after="0" w:line="269" w:lineRule="auto"/>
        <w:rPr>
          <w:sz w:val="20"/>
          <w:szCs w:val="20"/>
          <w:color w:val="auto"/>
        </w:rPr>
      </w:pPr>
      <w:r>
        <w:rPr>
          <w:rFonts w:ascii="Arial" w:cs="Arial" w:eastAsia="Arial" w:hAnsi="Arial"/>
          <w:sz w:val="17"/>
          <w:szCs w:val="17"/>
          <w:color w:val="auto"/>
        </w:rPr>
        <w:t>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13(b) shall not apply (i) if the determination of entitlement to indemnification is to be made by the stockholders pursuant to Section 12(a)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12(a) of this Agreement.</w:t>
      </w:r>
    </w:p>
    <w:p>
      <w:pPr>
        <w:spacing w:after="0" w:line="180" w:lineRule="exact"/>
        <w:rPr>
          <w:sz w:val="20"/>
          <w:szCs w:val="20"/>
          <w:color w:val="auto"/>
        </w:rPr>
      </w:pPr>
    </w:p>
    <w:p>
      <w:pPr>
        <w:jc w:val="both"/>
        <w:ind w:firstLine="1305"/>
        <w:spacing w:after="0" w:line="302" w:lineRule="auto"/>
        <w:tabs>
          <w:tab w:leader="none" w:pos="1991" w:val="left"/>
        </w:tabs>
        <w:numPr>
          <w:ilvl w:val="0"/>
          <w:numId w:val="432"/>
        </w:numPr>
        <w:rPr>
          <w:rFonts w:ascii="Arial" w:cs="Arial" w:eastAsia="Arial" w:hAnsi="Arial"/>
          <w:sz w:val="16"/>
          <w:szCs w:val="16"/>
          <w:color w:val="auto"/>
        </w:rPr>
      </w:pPr>
      <w:r>
        <w:rPr>
          <w:rFonts w:ascii="Arial" w:cs="Arial" w:eastAsia="Arial" w:hAnsi="Arial"/>
          <w:sz w:val="16"/>
          <w:szCs w:val="16"/>
          <w:color w:val="auto"/>
        </w:rPr>
        <w:t xml:space="preserve">The termination of any Proceeding or of any claim, issue or matter therein, by judgment, order, settlement or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54" w:lineRule="exact"/>
        <w:rPr>
          <w:rFonts w:ascii="Arial" w:cs="Arial" w:eastAsia="Arial" w:hAnsi="Arial"/>
          <w:sz w:val="16"/>
          <w:szCs w:val="16"/>
          <w:color w:val="auto"/>
        </w:rPr>
      </w:pPr>
    </w:p>
    <w:p>
      <w:pPr>
        <w:ind w:right="40" w:firstLine="1305"/>
        <w:spacing w:after="0" w:line="273" w:lineRule="auto"/>
        <w:tabs>
          <w:tab w:leader="none" w:pos="2001" w:val="left"/>
        </w:tabs>
        <w:numPr>
          <w:ilvl w:val="0"/>
          <w:numId w:val="432"/>
        </w:numPr>
        <w:rPr>
          <w:rFonts w:ascii="Arial" w:cs="Arial" w:eastAsia="Arial" w:hAnsi="Arial"/>
          <w:sz w:val="17"/>
          <w:szCs w:val="17"/>
          <w:color w:val="auto"/>
        </w:rPr>
      </w:pPr>
      <w:r>
        <w:rPr>
          <w:rFonts w:ascii="Arial" w:cs="Arial" w:eastAsia="Arial" w:hAnsi="Arial"/>
          <w:sz w:val="17"/>
          <w:szCs w:val="17"/>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Section 13(d) shall not be deemed to be exclusive or to limit in any way the other circumstances in which the Indemnitee may be deemed to have met the applicable standard of conduct set forth in this Agreement.</w:t>
      </w:r>
    </w:p>
    <w:p>
      <w:pPr>
        <w:spacing w:after="0" w:line="178" w:lineRule="exact"/>
        <w:rPr>
          <w:rFonts w:ascii="Arial" w:cs="Arial" w:eastAsia="Arial" w:hAnsi="Arial"/>
          <w:sz w:val="17"/>
          <w:szCs w:val="17"/>
          <w:color w:val="auto"/>
        </w:rPr>
      </w:pPr>
    </w:p>
    <w:p>
      <w:pPr>
        <w:ind w:right="360" w:firstLine="1305"/>
        <w:spacing w:after="0" w:line="342" w:lineRule="auto"/>
        <w:tabs>
          <w:tab w:leader="none" w:pos="1991"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director, officer, trustee, partner, managing member, fiduciary, agent or employee of the Enterprise shall not be imputed to Indemnitee for purposes of determining the right to indemnification under this Agreement.</w:t>
      </w:r>
    </w:p>
    <w:p>
      <w:pPr>
        <w:spacing w:after="0" w:line="12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Remedies of Indemnitee</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308" w:lineRule="auto"/>
        <w:tabs>
          <w:tab w:leader="none" w:pos="1991" w:val="left"/>
        </w:tabs>
        <w:numPr>
          <w:ilvl w:val="0"/>
          <w:numId w:val="433"/>
        </w:numPr>
        <w:rPr>
          <w:rFonts w:ascii="Arial" w:cs="Arial" w:eastAsia="Arial" w:hAnsi="Arial"/>
          <w:sz w:val="17"/>
          <w:szCs w:val="17"/>
          <w:color w:val="auto"/>
        </w:rPr>
      </w:pPr>
      <w:r>
        <w:rPr>
          <w:rFonts w:ascii="Arial" w:cs="Arial" w:eastAsia="Arial" w:hAnsi="Arial"/>
          <w:sz w:val="17"/>
          <w:szCs w:val="17"/>
          <w:color w:val="auto"/>
        </w:rPr>
        <w:t>Subject to Section 14(e), in the event that (i) a determination is made pursuant to Section 12 of this Agreement that Indemnitee is not entitled to indemnification under this Agreement, (ii) advancement of Expenses is not timely made pursuant to Section 10 of this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Agreement, (iii) no determination of entitlement to indemnification shall have been made pursuant to Section 12(a) of this Agreement within ninety (90) days after receipt by the Company of the request for indemnification, (iv) payment of indemnification is not made pursuant to Section 5, 6 or 7 or the last sentence of Section 12(a) of this Agreement within ten (10) days after receipt by the Company of a written request therefor, (v) payment of indemnification pursuant to Section 3, 4 or 8 of this Agreement is not made within ten (10) days after a determination has been made that Indemnitee is entitled to indemnification, or</w:t>
      </w:r>
    </w:p>
    <w:p>
      <w:pPr>
        <w:spacing w:after="0" w:line="2" w:lineRule="exact"/>
        <w:rPr>
          <w:sz w:val="20"/>
          <w:szCs w:val="20"/>
          <w:color w:val="auto"/>
        </w:rPr>
      </w:pPr>
    </w:p>
    <w:p>
      <w:pPr>
        <w:ind w:right="120" w:firstLine="8"/>
        <w:spacing w:after="0" w:line="268" w:lineRule="auto"/>
        <w:tabs>
          <w:tab w:leader="none" w:pos="305"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14(a);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clause shall not apply in respect of a proceeding brought by Indemnitee to enforce his rights under Section 5 of this Agreement. The Company shall not oppose Indemnitee’s right to seek any such adjudication or award in arbitration.</w:t>
      </w:r>
    </w:p>
    <w:p>
      <w:pPr>
        <w:spacing w:after="0" w:line="184" w:lineRule="exact"/>
        <w:rPr>
          <w:rFonts w:ascii="Arial" w:cs="Arial" w:eastAsia="Arial" w:hAnsi="Arial"/>
          <w:sz w:val="17"/>
          <w:szCs w:val="17"/>
          <w:color w:val="auto"/>
        </w:rPr>
      </w:pPr>
    </w:p>
    <w:p>
      <w:pPr>
        <w:ind w:right="140" w:firstLine="1305"/>
        <w:spacing w:after="0" w:line="257" w:lineRule="auto"/>
        <w:tabs>
          <w:tab w:leader="none" w:pos="1952" w:val="left"/>
        </w:tabs>
        <w:numPr>
          <w:ilvl w:val="1"/>
          <w:numId w:val="434"/>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Section 12(a) of this Agreement that Indemnitee is not entitled to indemnification, any judicial proceeding or arbitration commenced pursuant to this Section 14 shall be conducted in all respects as a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trial, or arbitration, on the merits and Indemnitee shall not be prejudiced by reason of that adverse determination. In any judicial proceeding or arbitration commenced pursuant to this Section 14 the Company shall have the burden of proving Indemnitee is not entitled to indemnification or advancement of Expenses, as the case may be.</w:t>
      </w:r>
    </w:p>
    <w:p>
      <w:pPr>
        <w:spacing w:after="0" w:line="188" w:lineRule="exact"/>
        <w:rPr>
          <w:rFonts w:ascii="Arial" w:cs="Arial" w:eastAsia="Arial" w:hAnsi="Arial"/>
          <w:sz w:val="18"/>
          <w:szCs w:val="18"/>
          <w:color w:val="auto"/>
        </w:rPr>
      </w:pPr>
    </w:p>
    <w:p>
      <w:pPr>
        <w:jc w:val="both"/>
        <w:ind w:right="40" w:firstLine="1305"/>
        <w:spacing w:after="0" w:line="279" w:lineRule="auto"/>
        <w:tabs>
          <w:tab w:leader="none" w:pos="1955" w:val="left"/>
        </w:tabs>
        <w:numPr>
          <w:ilvl w:val="1"/>
          <w:numId w:val="434"/>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1" w:lineRule="exact"/>
        <w:rPr>
          <w:rFonts w:ascii="Arial" w:cs="Arial" w:eastAsia="Arial" w:hAnsi="Arial"/>
          <w:sz w:val="17"/>
          <w:szCs w:val="17"/>
          <w:color w:val="auto"/>
        </w:rPr>
      </w:pPr>
    </w:p>
    <w:p>
      <w:pPr>
        <w:ind w:right="40" w:firstLine="1305"/>
        <w:spacing w:after="0" w:line="253" w:lineRule="auto"/>
        <w:tabs>
          <w:tab w:leader="none" w:pos="1952"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Company shall, to the fullest extent not prohibited by law,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 permitted by law, indemnify Indemnitee against any and all Expenses and, if requested by Indemnitee, shall (within ten (10) days after receipt by the Company of a written request therefor) advance, to the extent not prohibited by law, such Expenses to Indemnitee, which are incurred by Indemnitee in connection with any action brought by Indemnitee for indemnification or advance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59" w:gutter="0" w:footer="0" w:header="0"/>
        </w:sectPr>
      </w:pPr>
    </w:p>
    <w:bookmarkStart w:id="582" w:name="page583"/>
    <w:bookmarkEnd w:id="582"/>
    <w:p>
      <w:pPr>
        <w:ind w:right="20"/>
        <w:spacing w:after="0" w:line="312" w:lineRule="auto"/>
        <w:rPr>
          <w:sz w:val="20"/>
          <w:szCs w:val="20"/>
          <w:color w:val="auto"/>
        </w:rPr>
      </w:pPr>
      <w:r>
        <w:rPr>
          <w:rFonts w:ascii="Arial" w:cs="Arial" w:eastAsia="Arial" w:hAnsi="Arial"/>
          <w:sz w:val="16"/>
          <w:szCs w:val="16"/>
          <w:color w:val="auto"/>
        </w:rPr>
        <w:t>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147" w:lineRule="exact"/>
        <w:rPr>
          <w:sz w:val="20"/>
          <w:szCs w:val="20"/>
          <w:color w:val="auto"/>
        </w:rPr>
      </w:pPr>
    </w:p>
    <w:p>
      <w:pPr>
        <w:ind w:right="160" w:firstLine="1305"/>
        <w:spacing w:after="0" w:line="277" w:lineRule="auto"/>
        <w:tabs>
          <w:tab w:leader="none" w:pos="195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Non-exclusivity; Survival of Rights; Insurance; Subrogation</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0" w:lineRule="auto"/>
        <w:tabs>
          <w:tab w:leader="none" w:pos="1942" w:val="left"/>
        </w:tabs>
        <w:numPr>
          <w:ilvl w:val="0"/>
          <w:numId w:val="436"/>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of Expenses as provided by this Agreement shall not be deemed exclusive of any other rights to which Indemnitee may at any time be entitled under applicable law, the Certificate of Incorporation,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Delaware law, whether by statute or judicial decision, permits greater indemnification or advancement of Expenses than would be afforded currently under the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7" w:lineRule="exact"/>
        <w:rPr>
          <w:rFonts w:ascii="Arial" w:cs="Arial" w:eastAsia="Arial" w:hAnsi="Arial"/>
          <w:sz w:val="17"/>
          <w:szCs w:val="17"/>
          <w:color w:val="auto"/>
        </w:rPr>
      </w:pPr>
    </w:p>
    <w:p>
      <w:pPr>
        <w:ind w:firstLine="1305"/>
        <w:spacing w:after="0" w:line="255" w:lineRule="auto"/>
        <w:tabs>
          <w:tab w:leader="none" w:pos="195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To the extent that the Company maintains an insurance policy or policies providing liability insurance for directors, officers, employees, or agents of the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89" w:lineRule="exact"/>
        <w:rPr>
          <w:rFonts w:ascii="Arial" w:cs="Arial" w:eastAsia="Arial" w:hAnsi="Arial"/>
          <w:sz w:val="18"/>
          <w:szCs w:val="18"/>
          <w:color w:val="auto"/>
        </w:rPr>
      </w:pPr>
    </w:p>
    <w:p>
      <w:pPr>
        <w:ind w:right="260" w:firstLine="1305"/>
        <w:spacing w:after="0" w:line="264" w:lineRule="auto"/>
        <w:tabs>
          <w:tab w:leader="none" w:pos="195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1"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of amounts otherwise indemnifiable (or for which advancement is provided hereunder)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83" w:name="page584"/>
    <w:bookmarkEnd w:id="583"/>
    <w:p>
      <w:pPr>
        <w:spacing w:after="0"/>
        <w:rPr>
          <w:sz w:val="20"/>
          <w:szCs w:val="20"/>
          <w:color w:val="auto"/>
        </w:rPr>
      </w:pPr>
      <w:r>
        <w:rPr>
          <w:rFonts w:ascii="Arial" w:cs="Arial" w:eastAsia="Arial" w:hAnsi="Arial"/>
          <w:sz w:val="16"/>
          <w:szCs w:val="16"/>
          <w:color w:val="auto"/>
        </w:rPr>
        <w:t>hereunder if and to the extent that Indemnitee has otherwise actually received such payment under any insurance policy, contract, agreement or otherwise.</w:t>
      </w:r>
    </w:p>
    <w:p>
      <w:pPr>
        <w:spacing w:after="0" w:line="248" w:lineRule="exact"/>
        <w:rPr>
          <w:sz w:val="20"/>
          <w:szCs w:val="20"/>
          <w:color w:val="auto"/>
        </w:rPr>
      </w:pPr>
    </w:p>
    <w:p>
      <w:pPr>
        <w:ind w:firstLine="1305"/>
        <w:spacing w:after="0" w:line="302" w:lineRule="auto"/>
        <w:tabs>
          <w:tab w:leader="none" w:pos="1955" w:val="left"/>
        </w:tabs>
        <w:numPr>
          <w:ilvl w:val="0"/>
          <w:numId w:val="437"/>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who is or was serving at the request of the Company as a director, officer, trustee, partner, managing member, fiduciary,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or other enterprise.</w:t>
      </w:r>
    </w:p>
    <w:p>
      <w:pPr>
        <w:spacing w:after="0" w:line="15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Duration of Agreement</w:t>
      </w:r>
      <w:r>
        <w:rPr>
          <w:rFonts w:ascii="Arial" w:cs="Arial" w:eastAsia="Arial" w:hAnsi="Arial"/>
          <w:sz w:val="16"/>
          <w:szCs w:val="16"/>
          <w:color w:val="auto"/>
        </w:rPr>
        <w:t>. This Agreement shall continue until and terminate upon the later of: (a) ten (10) years after the date that Indemnitee shall have ceased to serve as [a][an] [officer][director] of the Company or (b) one (1) year after the final termination of any Proceeding then pending in respect of which Indemnitee is granted rights of indemnification or advancement of Expenses hereunder and of any proceeding commenced by Indemnitee pursuant to Section 14 of this Agreement relating thereto. The indemnification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and shall inure to the benefit of Indemnitee and his or her spouse, assigns, heirs, devisees, executors and administrators and other legal representatives.</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Enforcement</w:t>
      </w:r>
      <w:r>
        <w:rPr>
          <w:rFonts w:ascii="Arial" w:cs="Arial" w:eastAsia="Arial" w:hAnsi="Arial"/>
          <w:sz w:val="16"/>
          <w:szCs w:val="16"/>
          <w:color w:val="auto"/>
        </w:rPr>
        <w:t>.</w:t>
      </w:r>
    </w:p>
    <w:p>
      <w:pPr>
        <w:spacing w:after="0" w:line="225" w:lineRule="exact"/>
        <w:rPr>
          <w:sz w:val="20"/>
          <w:szCs w:val="20"/>
          <w:color w:val="auto"/>
        </w:rPr>
      </w:pPr>
    </w:p>
    <w:p>
      <w:pPr>
        <w:jc w:val="both"/>
        <w:ind w:right="260" w:firstLine="1305"/>
        <w:spacing w:after="0" w:line="264" w:lineRule="auto"/>
        <w:tabs>
          <w:tab w:leader="none" w:pos="194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81" w:lineRule="exact"/>
        <w:rPr>
          <w:rFonts w:ascii="Arial" w:cs="Arial" w:eastAsia="Arial" w:hAnsi="Arial"/>
          <w:sz w:val="18"/>
          <w:szCs w:val="18"/>
          <w:color w:val="auto"/>
        </w:rPr>
      </w:pPr>
    </w:p>
    <w:p>
      <w:pPr>
        <w:ind w:right="780" w:firstLine="1305"/>
        <w:spacing w:after="0" w:line="342" w:lineRule="auto"/>
        <w:tabs>
          <w:tab w:leader="none" w:pos="1952"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and replaces all prior agreements and understandings, oral, written and implied, between the parties hereto with respect to the subject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4" w:name="page585"/>
    <w:bookmarkEnd w:id="584"/>
    <w:p>
      <w:pPr>
        <w:jc w:val="both"/>
        <w:ind w:right="340"/>
        <w:spacing w:after="0" w:line="264" w:lineRule="auto"/>
        <w:rPr>
          <w:sz w:val="20"/>
          <w:szCs w:val="20"/>
          <w:color w:val="auto"/>
        </w:rPr>
      </w:pPr>
      <w:r>
        <w:rPr>
          <w:rFonts w:ascii="Arial" w:cs="Arial" w:eastAsia="Arial" w:hAnsi="Arial"/>
          <w:sz w:val="18"/>
          <w:szCs w:val="18"/>
          <w:color w:val="auto"/>
        </w:rPr>
        <w:t>matter hereof, including any indemnification agreement previously entered into between the Company and the Indemnitee; provided, however, that this Agreement is a supplement to and in furtherance of the Certificate of Incorporation, the Bylaws and applicable law, and shall not be deemed a substitute therefor, nor to diminish or abrogate any rights of Indemnitee thereunder.</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w:t>
      </w:r>
    </w:p>
    <w:p>
      <w:pPr>
        <w:spacing w:after="0" w:line="187"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if (a) delivered by hand and receipted for by the party to whom said notice or other communication shall have been directed,</w:t>
      </w:r>
    </w:p>
    <w:p>
      <w:pPr>
        <w:ind w:right="120" w:firstLine="8"/>
        <w:spacing w:after="0" w:line="255" w:lineRule="auto"/>
        <w:tabs>
          <w:tab w:leader="none" w:pos="25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190" w:lineRule="exact"/>
        <w:rPr>
          <w:rFonts w:ascii="Arial" w:cs="Arial" w:eastAsia="Arial" w:hAnsi="Arial"/>
          <w:sz w:val="18"/>
          <w:szCs w:val="18"/>
          <w:color w:val="auto"/>
        </w:rPr>
      </w:pPr>
    </w:p>
    <w:p>
      <w:pPr>
        <w:ind w:left="1940" w:hanging="635"/>
        <w:spacing w:after="0"/>
        <w:tabs>
          <w:tab w:leader="none" w:pos="1940" w:val="left"/>
        </w:tabs>
        <w:numPr>
          <w:ilvl w:val="1"/>
          <w:numId w:val="439"/>
        </w:numPr>
        <w:rPr>
          <w:rFonts w:ascii="Arial" w:cs="Arial" w:eastAsia="Arial" w:hAnsi="Arial"/>
          <w:sz w:val="16"/>
          <w:szCs w:val="16"/>
          <w:color w:val="auto"/>
        </w:rPr>
      </w:pPr>
      <w:r>
        <w:rPr>
          <w:rFonts w:ascii="Arial" w:cs="Arial" w:eastAsia="Arial" w:hAnsi="Arial"/>
          <w:sz w:val="16"/>
          <w:szCs w:val="16"/>
          <w:color w:val="auto"/>
        </w:rPr>
        <w:t>If to Indemnitee, at the address indicated on the signature page of this Agreement, or such other address as Indemnitee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provide to the Company.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Fulcrum Therapeutics, Inc.</w:t>
      </w:r>
    </w:p>
    <w:p>
      <w:pPr>
        <w:spacing w:after="0" w:line="23" w:lineRule="exact"/>
        <w:rPr>
          <w:rFonts w:ascii="Arial" w:cs="Arial" w:eastAsia="Arial" w:hAnsi="Arial"/>
          <w:sz w:val="18"/>
          <w:szCs w:val="18"/>
          <w:color w:val="auto"/>
        </w:rPr>
      </w:pPr>
    </w:p>
    <w:p>
      <w:pPr>
        <w:ind w:left="1960" w:right="7200"/>
        <w:spacing w:after="0" w:line="277" w:lineRule="auto"/>
        <w:rPr>
          <w:rFonts w:ascii="Arial" w:cs="Arial" w:eastAsia="Arial" w:hAnsi="Arial"/>
          <w:sz w:val="18"/>
          <w:szCs w:val="18"/>
          <w:color w:val="auto"/>
        </w:rPr>
      </w:pPr>
      <w:r>
        <w:rPr>
          <w:rFonts w:ascii="Arial" w:cs="Arial" w:eastAsia="Arial" w:hAnsi="Arial"/>
          <w:sz w:val="17"/>
          <w:szCs w:val="17"/>
          <w:color w:val="auto"/>
        </w:rPr>
        <w:t>26 Landsdowne Street Cambridge, MA 02139 Attn: Chief Executive Officer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on the one hand, and Indemnitee, on the other hand, as a result of the event(s) and/or transaction(s) giving cause to such Proceeding; and/or (ii) the relative fault of the Company (and its other directors, officers, employees and agents), on the one hand, and Indemnitee, on the other hand, in connection with such event(s) and/or transaction(s).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585" w:name="page586"/>
    <w:bookmarkEnd w:id="585"/>
    <w:p>
      <w:pPr>
        <w:ind w:right="140" w:firstLine="648"/>
        <w:spacing w:after="0" w:line="288"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w:t>
      </w:r>
    </w:p>
    <w:p>
      <w:pPr>
        <w:ind w:right="160" w:firstLine="8"/>
        <w:spacing w:after="0" w:line="253" w:lineRule="auto"/>
        <w:tabs>
          <w:tab w:leader="none" w:pos="21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9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this Agreement are inserted for convenience only and shall not be deemed to constitute part of this Agreement or to affect the construction thereof.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586" w:name="page587"/>
    <w:bookmarkEnd w:id="586"/>
    <w:p>
      <w:pPr>
        <w:ind w:left="660"/>
        <w:spacing w:after="0"/>
        <w:rPr>
          <w:sz w:val="20"/>
          <w:szCs w:val="20"/>
          <w:color w:val="auto"/>
        </w:rPr>
      </w:pPr>
      <w:r>
        <w:rPr>
          <w:rFonts w:ascii="Arial" w:cs="Arial" w:eastAsia="Arial" w:hAnsi="Arial"/>
          <w:sz w:val="18"/>
          <w:szCs w:val="18"/>
          <w:color w:val="auto"/>
        </w:rPr>
        <w:t>IN WITNESS WHEREOF, the parties have caused this Agreement to be signed as of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FULCRUM THERAPEUTICS, INC.</w:t>
            </w:r>
          </w:p>
        </w:tc>
        <w:tc>
          <w:tcPr>
            <w:tcW w:w="248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INDEMNITEE</w:t>
            </w:r>
          </w:p>
        </w:tc>
        <w:tc>
          <w:tcPr>
            <w:tcW w:w="320" w:type="dxa"/>
            <w:vAlign w:val="bottom"/>
          </w:tcPr>
          <w:p>
            <w:pPr>
              <w:spacing w:after="0"/>
              <w:rPr>
                <w:sz w:val="20"/>
                <w:szCs w:val="20"/>
                <w:color w:val="auto"/>
              </w:rPr>
            </w:pP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rPr>
              <w:t>By:</w:t>
            </w:r>
          </w:p>
        </w:tc>
        <w:tc>
          <w:tcPr>
            <w:tcW w:w="2480" w:type="dxa"/>
            <w:vAlign w:val="bottom"/>
          </w:tcPr>
          <w:p>
            <w:pPr>
              <w:spacing w:after="0"/>
              <w:rPr>
                <w:sz w:val="24"/>
                <w:szCs w:val="24"/>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2080" w:type="dxa"/>
            <w:vAlign w:val="bottom"/>
            <w:tcBorders>
              <w:top w:val="single" w:sz="8" w:color="auto"/>
              <w:bottom w:val="single" w:sz="8" w:color="auto"/>
            </w:tcBorders>
          </w:tcPr>
          <w:p>
            <w:pPr>
              <w:spacing w:after="0"/>
              <w:rPr>
                <w:sz w:val="17"/>
                <w:szCs w:val="17"/>
                <w:color w:val="auto"/>
              </w:rPr>
            </w:pPr>
          </w:p>
        </w:tc>
        <w:tc>
          <w:tcPr>
            <w:tcW w:w="2480" w:type="dxa"/>
            <w:vAlign w:val="bottom"/>
            <w:tcBorders>
              <w:top w:val="single" w:sz="8" w:color="auto"/>
              <w:bottom w:val="single" w:sz="8" w:color="auto"/>
            </w:tcBorders>
          </w:tcPr>
          <w:p>
            <w:pPr>
              <w:spacing w:after="0"/>
              <w:rPr>
                <w:sz w:val="17"/>
                <w:szCs w:val="17"/>
                <w:color w:val="auto"/>
              </w:rPr>
            </w:pPr>
          </w:p>
        </w:tc>
        <w:tc>
          <w:tcPr>
            <w:tcW w:w="1140" w:type="dxa"/>
            <w:vAlign w:val="bottom"/>
          </w:tcPr>
          <w:p>
            <w:pPr>
              <w:ind w:left="280"/>
              <w:spacing w:after="0" w:line="196"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20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140" w:type="dxa"/>
            <w:vAlign w:val="bottom"/>
          </w:tcPr>
          <w:p>
            <w:pPr>
              <w:ind w:left="280"/>
              <w:spacing w:after="0" w:line="196" w:lineRule="exact"/>
              <w:rPr>
                <w:sz w:val="20"/>
                <w:szCs w:val="20"/>
                <w:color w:val="auto"/>
              </w:rPr>
            </w:pPr>
            <w:r>
              <w:rPr>
                <w:rFonts w:ascii="Arial" w:cs="Arial" w:eastAsia="Arial" w:hAnsi="Arial"/>
                <w:sz w:val="18"/>
                <w:szCs w:val="18"/>
                <w:color w:val="auto"/>
              </w:rPr>
              <w:t>Address:</w:t>
            </w:r>
          </w:p>
        </w:tc>
        <w:tc>
          <w:tcPr>
            <w:tcW w:w="4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10"/>
        </w:trPr>
        <w:tc>
          <w:tcPr>
            <w:tcW w:w="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426"/>
        </w:trPr>
        <w:tc>
          <w:tcPr>
            <w:tcW w:w="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180" w:type="dxa"/>
            <w:vAlign w:val="bottom"/>
            <w:gridSpan w:val="3"/>
          </w:tcPr>
          <w:p>
            <w:pPr>
              <w:ind w:left="280"/>
              <w:spacing w:after="0"/>
              <w:rPr>
                <w:sz w:val="20"/>
                <w:szCs w:val="20"/>
                <w:color w:val="auto"/>
              </w:rPr>
            </w:pPr>
            <w:r>
              <w:rPr>
                <w:rFonts w:ascii="Arial" w:cs="Arial" w:eastAsia="Arial" w:hAnsi="Arial"/>
                <w:sz w:val="18"/>
                <w:szCs w:val="18"/>
                <w:i w:val="1"/>
                <w:iCs w:val="1"/>
                <w:color w:val="auto"/>
              </w:rPr>
              <w:t>Signature Page to Fulcrum Therapeutics Indemnification Agreement</w:t>
            </w:r>
          </w:p>
        </w:tc>
        <w:tc>
          <w:tcPr>
            <w:tcW w:w="320" w:type="dxa"/>
            <w:vAlign w:val="bottom"/>
          </w:tcPr>
          <w:p>
            <w:pPr>
              <w:spacing w:after="0"/>
              <w:rPr>
                <w:sz w:val="24"/>
                <w:szCs w:val="24"/>
                <w:color w:val="auto"/>
              </w:rPr>
            </w:pPr>
          </w:p>
        </w:tc>
      </w:tr>
      <w:tr>
        <w:trPr>
          <w:trHeight w:val="348"/>
        </w:trPr>
        <w:tc>
          <w:tcPr>
            <w:tcW w:w="88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87" w:name="page588"/>
    <w:bookmarkEnd w:id="587"/>
    <w:p>
      <w:pPr>
        <w:ind w:left="10480"/>
        <w:spacing w:after="0"/>
        <w:rPr>
          <w:sz w:val="20"/>
          <w:szCs w:val="20"/>
          <w:color w:val="auto"/>
        </w:rPr>
      </w:pPr>
      <w:r>
        <w:rPr>
          <w:rFonts w:ascii="Arial" w:cs="Arial" w:eastAsia="Arial" w:hAnsi="Arial"/>
          <w:sz w:val="17"/>
          <w:szCs w:val="17"/>
          <w:b w:val="1"/>
          <w:bCs w:val="1"/>
          <w:color w:val="auto"/>
        </w:rPr>
        <w:t>Exhibit 21.1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7520" w:type="dxa"/>
            <w:vAlign w:val="bottom"/>
            <w:gridSpan w:val="5"/>
          </w:tcPr>
          <w:p>
            <w:pPr>
              <w:ind w:left="1120"/>
              <w:spacing w:after="0"/>
              <w:rPr>
                <w:sz w:val="20"/>
                <w:szCs w:val="20"/>
                <w:color w:val="auto"/>
              </w:rPr>
            </w:pPr>
            <w:r>
              <w:rPr>
                <w:rFonts w:ascii="Arial" w:cs="Arial" w:eastAsia="Arial" w:hAnsi="Arial"/>
                <w:sz w:val="18"/>
                <w:szCs w:val="18"/>
                <w:color w:val="auto"/>
              </w:rPr>
              <w:t>List of Subsidiaries</w:t>
            </w:r>
          </w:p>
        </w:tc>
        <w:tc>
          <w:tcPr>
            <w:tcW w:w="40" w:type="dxa"/>
            <w:vAlign w:val="bottom"/>
          </w:tcPr>
          <w:p>
            <w:pPr>
              <w:spacing w:after="0"/>
              <w:rPr>
                <w:sz w:val="17"/>
                <w:szCs w:val="17"/>
                <w:color w:val="auto"/>
              </w:rPr>
            </w:pPr>
          </w:p>
        </w:tc>
      </w:tr>
      <w:tr>
        <w:trPr>
          <w:trHeight w:val="38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500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Jurisdiction of Incorporation</w:t>
            </w:r>
          </w:p>
        </w:tc>
        <w:tc>
          <w:tcPr>
            <w:tcW w:w="40" w:type="dxa"/>
            <w:vAlign w:val="bottom"/>
          </w:tcPr>
          <w:p>
            <w:pPr>
              <w:spacing w:after="0"/>
              <w:rPr>
                <w:sz w:val="24"/>
                <w:szCs w:val="2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Fulcrum Therapeutics Securities Corp.</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40" w:type="dxa"/>
            <w:vAlign w:val="bottom"/>
          </w:tcPr>
          <w:p>
            <w:pPr>
              <w:spacing w:after="0"/>
              <w:rPr>
                <w:sz w:val="18"/>
                <w:szCs w:val="18"/>
                <w:color w:val="auto"/>
              </w:rPr>
            </w:pPr>
          </w:p>
        </w:tc>
      </w:tr>
      <w:tr>
        <w:trPr>
          <w:trHeight w:val="348"/>
        </w:trPr>
        <w:tc>
          <w:tcPr>
            <w:tcW w:w="39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588" w:name="page589"/>
    <w:bookmarkEnd w:id="58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May 1, 2019, in the Registration Statement (Form S-1) and related Prospectus of Fulcrum Therapeutics, Inc. dated June 21,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9" w:name="page590"/>
    <w:bookmarkEnd w:id="5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212B8C"/>
    <w:multiLevelType w:val="hybridMultilevel"/>
    <w:lvl w:ilvl="0">
      <w:lvlJc w:val="left"/>
      <w:lvlText w:val="(%1)"/>
      <w:numFmt w:val="decimal"/>
      <w:start w:val="1"/>
    </w:lvl>
  </w:abstractNum>
  <w:abstractNum w:abstractNumId="1">
    <w:nsid w:val="5C17530C"/>
    <w:multiLevelType w:val="hybridMultilevel"/>
    <w:lvl w:ilvl="0">
      <w:lvlJc w:val="left"/>
      <w:lvlText w:val="(%1)"/>
      <w:numFmt w:val="decimal"/>
      <w:start w:val="1"/>
    </w:lvl>
  </w:abstractNum>
  <w:abstractNum w:abstractNumId="2">
    <w:nsid w:val="19A52566"/>
    <w:multiLevelType w:val="hybridMultilevel"/>
    <w:lvl w:ilvl="0">
      <w:lvlJc w:val="left"/>
      <w:lvlText w:val="•"/>
      <w:numFmt w:val="bullet"/>
      <w:start w:val="1"/>
    </w:lvl>
  </w:abstractNum>
  <w:abstractNum w:abstractNumId="3">
    <w:nsid w:val="335A1DF1"/>
    <w:multiLevelType w:val="hybridMultilevel"/>
    <w:lvl w:ilvl="0">
      <w:lvlJc w:val="left"/>
      <w:lvlText w:val="•"/>
      <w:numFmt w:val="bullet"/>
      <w:start w:val="1"/>
    </w:lvl>
  </w:abstractNum>
  <w:abstractNum w:abstractNumId="4">
    <w:nsid w:val="28677B7C"/>
    <w:multiLevelType w:val="hybridMultilevel"/>
    <w:lvl w:ilvl="0">
      <w:lvlJc w:val="left"/>
      <w:lvlText w:val="•"/>
      <w:numFmt w:val="bullet"/>
      <w:start w:val="1"/>
    </w:lvl>
  </w:abstractNum>
  <w:abstractNum w:abstractNumId="5">
    <w:nsid w:val="378D97C0"/>
    <w:multiLevelType w:val="hybridMultilevel"/>
    <w:lvl w:ilvl="0">
      <w:lvlJc w:val="left"/>
      <w:lvlText w:val="•"/>
      <w:numFmt w:val="bullet"/>
      <w:start w:val="1"/>
    </w:lvl>
  </w:abstractNum>
  <w:abstractNum w:abstractNumId="6">
    <w:nsid w:val="1D91467C"/>
    <w:multiLevelType w:val="hybridMultilevel"/>
    <w:lvl w:ilvl="0">
      <w:lvlJc w:val="left"/>
      <w:lvlText w:val="•"/>
      <w:numFmt w:val="bullet"/>
      <w:start w:val="1"/>
    </w:lvl>
  </w:abstractNum>
  <w:abstractNum w:abstractNumId="7">
    <w:nsid w:val="316032BB"/>
    <w:multiLevelType w:val="hybridMultilevel"/>
    <w:lvl w:ilvl="0">
      <w:lvlJc w:val="left"/>
      <w:lvlText w:val="(%1)"/>
      <w:numFmt w:val="decimal"/>
      <w:start w:val="1"/>
    </w:lvl>
  </w:abstractNum>
  <w:abstractNum w:abstractNumId="8">
    <w:nsid w:val="44344C22"/>
    <w:multiLevelType w:val="hybridMultilevel"/>
    <w:lvl w:ilvl="0">
      <w:lvlJc w:val="left"/>
      <w:lvlText w:val="(%1)"/>
      <w:numFmt w:val="decimal"/>
      <w:start w:val="1"/>
    </w:lvl>
  </w:abstractNum>
  <w:abstractNum w:abstractNumId="9">
    <w:nsid w:val="13CDFCFC"/>
    <w:multiLevelType w:val="hybridMultilevel"/>
    <w:lvl w:ilvl="0">
      <w:lvlJc w:val="left"/>
      <w:lvlText w:val="•"/>
      <w:numFmt w:val="bullet"/>
      <w:start w:val="1"/>
    </w:lvl>
  </w:abstractNum>
  <w:abstractNum w:abstractNumId="10">
    <w:nsid w:val="471745E4"/>
    <w:multiLevelType w:val="hybridMultilevel"/>
    <w:lvl w:ilvl="0">
      <w:lvlJc w:val="left"/>
      <w:lvlText w:val="•"/>
      <w:numFmt w:val="bullet"/>
      <w:start w:val="1"/>
    </w:lvl>
  </w:abstractNum>
  <w:abstractNum w:abstractNumId="11">
    <w:nsid w:val="1DDBC66"/>
    <w:multiLevelType w:val="hybridMultilevel"/>
    <w:lvl w:ilvl="0">
      <w:lvlJc w:val="left"/>
      <w:lvlText w:val="•"/>
      <w:numFmt w:val="bullet"/>
      <w:start w:val="1"/>
    </w:lvl>
  </w:abstractNum>
  <w:abstractNum w:abstractNumId="12">
    <w:nsid w:val="30AADFDA"/>
    <w:multiLevelType w:val="hybridMultilevel"/>
    <w:lvl w:ilvl="0">
      <w:lvlJc w:val="left"/>
      <w:lvlText w:val="•"/>
      <w:numFmt w:val="bullet"/>
      <w:start w:val="1"/>
    </w:lvl>
  </w:abstractNum>
  <w:abstractNum w:abstractNumId="13">
    <w:nsid w:val="30EADA61"/>
    <w:multiLevelType w:val="hybridMultilevel"/>
    <w:lvl w:ilvl="0">
      <w:lvlJc w:val="left"/>
      <w:lvlText w:val="•"/>
      <w:numFmt w:val="bullet"/>
      <w:start w:val="1"/>
    </w:lvl>
  </w:abstractNum>
  <w:abstractNum w:abstractNumId="14">
    <w:nsid w:val="27179C0B"/>
    <w:multiLevelType w:val="hybridMultilevel"/>
    <w:lvl w:ilvl="0">
      <w:lvlJc w:val="left"/>
      <w:lvlText w:val="•"/>
      <w:numFmt w:val="bullet"/>
      <w:start w:val="1"/>
    </w:lvl>
  </w:abstractNum>
  <w:abstractNum w:abstractNumId="15">
    <w:nsid w:val="5E636063"/>
    <w:multiLevelType w:val="hybridMultilevel"/>
    <w:lvl w:ilvl="0">
      <w:lvlJc w:val="left"/>
      <w:lvlText w:val="•"/>
      <w:numFmt w:val="bullet"/>
      <w:start w:val="1"/>
    </w:lvl>
  </w:abstractNum>
  <w:abstractNum w:abstractNumId="16">
    <w:nsid w:val="215641AF"/>
    <w:multiLevelType w:val="hybridMultilevel"/>
    <w:lvl w:ilvl="0">
      <w:lvlJc w:val="left"/>
      <w:lvlText w:val="•"/>
      <w:numFmt w:val="bullet"/>
      <w:start w:val="1"/>
    </w:lvl>
  </w:abstractNum>
  <w:abstractNum w:abstractNumId="17">
    <w:nsid w:val="53280662"/>
    <w:multiLevelType w:val="hybridMultilevel"/>
    <w:lvl w:ilvl="0">
      <w:lvlJc w:val="left"/>
      <w:lvlText w:val="•"/>
      <w:numFmt w:val="bullet"/>
      <w:start w:val="1"/>
    </w:lvl>
  </w:abstractNum>
  <w:abstractNum w:abstractNumId="18">
    <w:nsid w:val="46B24DBC"/>
    <w:multiLevelType w:val="hybridMultilevel"/>
    <w:lvl w:ilvl="0">
      <w:lvlJc w:val="left"/>
      <w:lvlText w:val="•"/>
      <w:numFmt w:val="bullet"/>
      <w:start w:val="1"/>
    </w:lvl>
  </w:abstractNum>
  <w:abstractNum w:abstractNumId="19">
    <w:nsid w:val="75B52783"/>
    <w:multiLevelType w:val="hybridMultilevel"/>
    <w:lvl w:ilvl="0">
      <w:lvlJc w:val="left"/>
      <w:lvlText w:val="•"/>
      <w:numFmt w:val="bullet"/>
      <w:start w:val="1"/>
    </w:lvl>
  </w:abstractNum>
  <w:abstractNum w:abstractNumId="20">
    <w:nsid w:val="57CE66B4"/>
    <w:multiLevelType w:val="hybridMultilevel"/>
    <w:lvl w:ilvl="0">
      <w:lvlJc w:val="left"/>
      <w:lvlText w:val="•"/>
      <w:numFmt w:val="bullet"/>
      <w:start w:val="1"/>
    </w:lvl>
  </w:abstractNum>
  <w:abstractNum w:abstractNumId="21">
    <w:nsid w:val="67A70B69"/>
    <w:multiLevelType w:val="hybridMultilevel"/>
    <w:lvl w:ilvl="0">
      <w:lvlJc w:val="left"/>
      <w:lvlText w:val="•"/>
      <w:numFmt w:val="bullet"/>
      <w:start w:val="1"/>
    </w:lvl>
  </w:abstractNum>
  <w:abstractNum w:abstractNumId="22">
    <w:nsid w:val="5953172F"/>
    <w:multiLevelType w:val="hybridMultilevel"/>
    <w:lvl w:ilvl="0">
      <w:lvlJc w:val="left"/>
      <w:lvlText w:val="•"/>
      <w:numFmt w:val="bullet"/>
      <w:start w:val="1"/>
    </w:lvl>
  </w:abstractNum>
  <w:abstractNum w:abstractNumId="23">
    <w:nsid w:val="27EDFE3A"/>
    <w:multiLevelType w:val="hybridMultilevel"/>
    <w:lvl w:ilvl="0">
      <w:lvlJc w:val="left"/>
      <w:lvlText w:val="•"/>
      <w:numFmt w:val="bullet"/>
      <w:start w:val="1"/>
    </w:lvl>
  </w:abstractNum>
  <w:abstractNum w:abstractNumId="24">
    <w:nsid w:val="52AC7DFF"/>
    <w:multiLevelType w:val="hybridMultilevel"/>
    <w:lvl w:ilvl="0">
      <w:lvlJc w:val="left"/>
      <w:lvlText w:val="•"/>
      <w:numFmt w:val="bullet"/>
      <w:start w:val="1"/>
    </w:lvl>
  </w:abstractNum>
  <w:abstractNum w:abstractNumId="25">
    <w:nsid w:val="C4C3AF"/>
    <w:multiLevelType w:val="hybridMultilevel"/>
    <w:lvl w:ilvl="0">
      <w:lvlJc w:val="left"/>
      <w:lvlText w:val="•"/>
      <w:numFmt w:val="bullet"/>
      <w:start w:val="1"/>
    </w:lvl>
  </w:abstractNum>
  <w:abstractNum w:abstractNumId="26">
    <w:nsid w:val="44380727"/>
    <w:multiLevelType w:val="hybridMultilevel"/>
    <w:lvl w:ilvl="0">
      <w:lvlJc w:val="left"/>
      <w:lvlText w:val="•"/>
      <w:numFmt w:val="bullet"/>
      <w:start w:val="1"/>
    </w:lvl>
  </w:abstractNum>
  <w:abstractNum w:abstractNumId="27">
    <w:nsid w:val="6C053B16"/>
    <w:multiLevelType w:val="hybridMultilevel"/>
    <w:lvl w:ilvl="0">
      <w:lvlJc w:val="left"/>
      <w:lvlText w:val="•"/>
      <w:numFmt w:val="bullet"/>
      <w:start w:val="1"/>
    </w:lvl>
  </w:abstractNum>
  <w:abstractNum w:abstractNumId="28">
    <w:nsid w:val="4F294393"/>
    <w:multiLevelType w:val="hybridMultilevel"/>
    <w:lvl w:ilvl="0">
      <w:lvlJc w:val="left"/>
      <w:lvlText w:val="•"/>
      <w:numFmt w:val="bullet"/>
      <w:start w:val="1"/>
    </w:lvl>
  </w:abstractNum>
  <w:abstractNum w:abstractNumId="29">
    <w:nsid w:val="5243BFAC"/>
    <w:multiLevelType w:val="hybridMultilevel"/>
    <w:lvl w:ilvl="0">
      <w:lvlJc w:val="left"/>
      <w:lvlText w:val="•"/>
      <w:numFmt w:val="bullet"/>
      <w:start w:val="1"/>
    </w:lvl>
  </w:abstractNum>
  <w:abstractNum w:abstractNumId="30">
    <w:nsid w:val="425EB207"/>
    <w:multiLevelType w:val="hybridMultilevel"/>
    <w:lvl w:ilvl="0">
      <w:lvlJc w:val="left"/>
      <w:lvlText w:val="•"/>
      <w:numFmt w:val="bullet"/>
      <w:start w:val="1"/>
    </w:lvl>
  </w:abstractNum>
  <w:abstractNum w:abstractNumId="31">
    <w:nsid w:val="334A6F1F"/>
    <w:multiLevelType w:val="hybridMultilevel"/>
    <w:lvl w:ilvl="0">
      <w:lvlJc w:val="left"/>
      <w:lvlText w:val="•"/>
      <w:numFmt w:val="bullet"/>
      <w:start w:val="1"/>
    </w:lvl>
  </w:abstractNum>
  <w:abstractNum w:abstractNumId="32">
    <w:nsid w:val="2E5B12B8"/>
    <w:multiLevelType w:val="hybridMultilevel"/>
    <w:lvl w:ilvl="0">
      <w:lvlJc w:val="left"/>
      <w:lvlText w:val="•"/>
      <w:numFmt w:val="bullet"/>
      <w:start w:val="1"/>
    </w:lvl>
  </w:abstractNum>
  <w:abstractNum w:abstractNumId="33">
    <w:nsid w:val="5C03D76D"/>
    <w:multiLevelType w:val="hybridMultilevel"/>
    <w:lvl w:ilvl="0">
      <w:lvlJc w:val="left"/>
      <w:lvlText w:val="•"/>
      <w:numFmt w:val="bullet"/>
      <w:start w:val="1"/>
    </w:lvl>
  </w:abstractNum>
  <w:abstractNum w:abstractNumId="34">
    <w:nsid w:val="66A48D11"/>
    <w:multiLevelType w:val="hybridMultilevel"/>
    <w:lvl w:ilvl="0">
      <w:lvlJc w:val="left"/>
      <w:lvlText w:val="•"/>
      <w:numFmt w:val="bullet"/>
      <w:start w:val="1"/>
    </w:lvl>
  </w:abstractNum>
  <w:abstractNum w:abstractNumId="35">
    <w:nsid w:val="56C28E34"/>
    <w:multiLevelType w:val="hybridMultilevel"/>
    <w:lvl w:ilvl="0">
      <w:lvlJc w:val="left"/>
      <w:lvlText w:val="•"/>
      <w:numFmt w:val="bullet"/>
      <w:start w:val="1"/>
    </w:lvl>
  </w:abstractNum>
  <w:abstractNum w:abstractNumId="36">
    <w:nsid w:val="13916F2D"/>
    <w:multiLevelType w:val="hybridMultilevel"/>
    <w:lvl w:ilvl="0">
      <w:lvlJc w:val="left"/>
      <w:lvlText w:val="•"/>
      <w:numFmt w:val="bullet"/>
      <w:start w:val="1"/>
    </w:lvl>
  </w:abstractNum>
  <w:abstractNum w:abstractNumId="37">
    <w:nsid w:val="435D38D"/>
    <w:multiLevelType w:val="hybridMultilevel"/>
    <w:lvl w:ilvl="0">
      <w:lvlJc w:val="left"/>
      <w:lvlText w:val="•"/>
      <w:numFmt w:val="bullet"/>
      <w:start w:val="1"/>
    </w:lvl>
  </w:abstractNum>
  <w:abstractNum w:abstractNumId="38">
    <w:nsid w:val="822C0EF"/>
    <w:multiLevelType w:val="hybridMultilevel"/>
    <w:lvl w:ilvl="0">
      <w:lvlJc w:val="left"/>
      <w:lvlText w:val="•"/>
      <w:numFmt w:val="bullet"/>
      <w:start w:val="1"/>
    </w:lvl>
  </w:abstractNum>
  <w:abstractNum w:abstractNumId="39">
    <w:nsid w:val="57C5BB4F"/>
    <w:multiLevelType w:val="hybridMultilevel"/>
    <w:lvl w:ilvl="0">
      <w:lvlJc w:val="left"/>
      <w:lvlText w:val="•"/>
      <w:numFmt w:val="bullet"/>
      <w:start w:val="1"/>
    </w:lvl>
  </w:abstractNum>
  <w:abstractNum w:abstractNumId="40">
    <w:nsid w:val="1803D089"/>
    <w:multiLevelType w:val="hybridMultilevel"/>
    <w:lvl w:ilvl="0">
      <w:lvlJc w:val="left"/>
      <w:lvlText w:val="•"/>
      <w:numFmt w:val="bullet"/>
      <w:start w:val="1"/>
    </w:lvl>
  </w:abstractNum>
  <w:abstractNum w:abstractNumId="41">
    <w:nsid w:val="4F3A06D4"/>
    <w:multiLevelType w:val="hybridMultilevel"/>
    <w:lvl w:ilvl="0">
      <w:lvlJc w:val="left"/>
      <w:lvlText w:val="•"/>
      <w:numFmt w:val="bullet"/>
      <w:start w:val="1"/>
    </w:lvl>
  </w:abstractNum>
  <w:abstractNum w:abstractNumId="42">
    <w:nsid w:val="59A377B6"/>
    <w:multiLevelType w:val="hybridMultilevel"/>
    <w:lvl w:ilvl="0">
      <w:lvlJc w:val="left"/>
      <w:lvlText w:val="•"/>
      <w:numFmt w:val="bullet"/>
      <w:start w:val="1"/>
    </w:lvl>
  </w:abstractNum>
  <w:abstractNum w:abstractNumId="43">
    <w:nsid w:val="48AEB063"/>
    <w:multiLevelType w:val="hybridMultilevel"/>
    <w:lvl w:ilvl="0">
      <w:lvlJc w:val="left"/>
      <w:lvlText w:val="•"/>
      <w:numFmt w:val="bullet"/>
      <w:start w:val="1"/>
    </w:lvl>
  </w:abstractNum>
  <w:abstractNum w:abstractNumId="44">
    <w:nsid w:val="24E135"/>
    <w:multiLevelType w:val="hybridMultilevel"/>
    <w:lvl w:ilvl="0">
      <w:lvlJc w:val="left"/>
      <w:lvlText w:val="•"/>
      <w:numFmt w:val="bullet"/>
      <w:start w:val="1"/>
    </w:lvl>
  </w:abstractNum>
  <w:abstractNum w:abstractNumId="45">
    <w:nsid w:val="BB13C1"/>
    <w:multiLevelType w:val="hybridMultilevel"/>
    <w:lvl w:ilvl="0">
      <w:lvlJc w:val="left"/>
      <w:lvlText w:val="$"/>
      <w:numFmt w:val="bullet"/>
      <w:start w:val="1"/>
    </w:lvl>
  </w:abstractNum>
  <w:abstractNum w:abstractNumId="46">
    <w:nsid w:val="271210C7"/>
    <w:multiLevelType w:val="hybridMultilevel"/>
    <w:lvl w:ilvl="0">
      <w:lvlJc w:val="left"/>
      <w:lvlText w:val="•"/>
      <w:numFmt w:val="bullet"/>
      <w:start w:val="1"/>
    </w:lvl>
  </w:abstractNum>
  <w:abstractNum w:abstractNumId="47">
    <w:nsid w:val="217B22E4"/>
    <w:multiLevelType w:val="hybridMultilevel"/>
    <w:lvl w:ilvl="0">
      <w:lvlJc w:val="left"/>
      <w:lvlText w:val="(%1)"/>
      <w:numFmt w:val="decimal"/>
      <w:start w:val="1"/>
    </w:lvl>
  </w:abstractNum>
  <w:abstractNum w:abstractNumId="48">
    <w:nsid w:val="53E31A24"/>
    <w:multiLevelType w:val="hybridMultilevel"/>
    <w:lvl w:ilvl="0">
      <w:lvlJc w:val="left"/>
      <w:lvlText w:val="•"/>
      <w:numFmt w:val="bullet"/>
      <w:start w:val="1"/>
    </w:lvl>
  </w:abstractNum>
  <w:abstractNum w:abstractNumId="49">
    <w:nsid w:val="6DC45E83"/>
    <w:multiLevelType w:val="hybridMultilevel"/>
    <w:lvl w:ilvl="0">
      <w:lvlJc w:val="left"/>
      <w:lvlText w:val="•"/>
      <w:numFmt w:val="bullet"/>
      <w:start w:val="1"/>
    </w:lvl>
  </w:abstractNum>
  <w:abstractNum w:abstractNumId="50">
    <w:nsid w:val="17304A67"/>
    <w:multiLevelType w:val="hybridMultilevel"/>
    <w:lvl w:ilvl="0">
      <w:lvlJc w:val="left"/>
      <w:lvlText w:val="•"/>
      <w:numFmt w:val="bullet"/>
      <w:start w:val="1"/>
    </w:lvl>
  </w:abstractNum>
  <w:abstractNum w:abstractNumId="51">
    <w:nsid w:val="2BB180D8"/>
    <w:multiLevelType w:val="hybridMultilevel"/>
    <w:lvl w:ilvl="0">
      <w:lvlJc w:val="left"/>
      <w:lvlText w:val="•"/>
      <w:numFmt w:val="bullet"/>
      <w:start w:val="1"/>
    </w:lvl>
  </w:abstractNum>
  <w:abstractNum w:abstractNumId="52">
    <w:nsid w:val="556B69ED"/>
    <w:multiLevelType w:val="hybridMultilevel"/>
    <w:lvl w:ilvl="0">
      <w:lvlJc w:val="left"/>
      <w:lvlText w:val="•"/>
      <w:numFmt w:val="bullet"/>
      <w:start w:val="1"/>
    </w:lvl>
  </w:abstractNum>
  <w:abstractNum w:abstractNumId="53">
    <w:nsid w:val="70836196"/>
    <w:multiLevelType w:val="hybridMultilevel"/>
    <w:lvl w:ilvl="0">
      <w:lvlJc w:val="left"/>
      <w:lvlText w:val="•"/>
      <w:numFmt w:val="bullet"/>
      <w:start w:val="1"/>
    </w:lvl>
  </w:abstractNum>
  <w:abstractNum w:abstractNumId="54">
    <w:nsid w:val="539F7F12"/>
    <w:multiLevelType w:val="hybridMultilevel"/>
    <w:lvl w:ilvl="0">
      <w:lvlJc w:val="left"/>
      <w:lvlText w:val="•"/>
      <w:numFmt w:val="bullet"/>
      <w:start w:val="1"/>
    </w:lvl>
  </w:abstractNum>
  <w:abstractNum w:abstractNumId="55">
    <w:nsid w:val="2817E7EC"/>
    <w:multiLevelType w:val="hybridMultilevel"/>
    <w:lvl w:ilvl="0">
      <w:lvlJc w:val="left"/>
      <w:lvlText w:val="•"/>
      <w:numFmt w:val="bullet"/>
      <w:start w:val="1"/>
    </w:lvl>
  </w:abstractNum>
  <w:abstractNum w:abstractNumId="56">
    <w:nsid w:val="71482545"/>
    <w:multiLevelType w:val="hybridMultilevel"/>
    <w:lvl w:ilvl="0">
      <w:lvlJc w:val="left"/>
      <w:lvlText w:val="•"/>
      <w:numFmt w:val="bullet"/>
      <w:start w:val="1"/>
    </w:lvl>
  </w:abstractNum>
  <w:abstractNum w:abstractNumId="57">
    <w:nsid w:val="17D78639"/>
    <w:multiLevelType w:val="hybridMultilevel"/>
    <w:lvl w:ilvl="0">
      <w:lvlJc w:val="left"/>
      <w:lvlText w:val="•"/>
      <w:numFmt w:val="bullet"/>
      <w:start w:val="1"/>
    </w:lvl>
  </w:abstractNum>
  <w:abstractNum w:abstractNumId="58">
    <w:nsid w:val="141D2302"/>
    <w:multiLevelType w:val="hybridMultilevel"/>
    <w:lvl w:ilvl="0">
      <w:lvlJc w:val="left"/>
      <w:lvlText w:val="(%1)"/>
      <w:numFmt w:val="decimal"/>
      <w:start w:val="1"/>
    </w:lvl>
  </w:abstractNum>
  <w:abstractNum w:abstractNumId="59">
    <w:nsid w:val="407168D8"/>
    <w:multiLevelType w:val="hybridMultilevel"/>
    <w:lvl w:ilvl="0">
      <w:lvlJc w:val="left"/>
      <w:lvlText w:val="•"/>
      <w:numFmt w:val="bullet"/>
      <w:start w:val="1"/>
    </w:lvl>
  </w:abstractNum>
  <w:abstractNum w:abstractNumId="60">
    <w:nsid w:val="6A1B45E5"/>
    <w:multiLevelType w:val="hybridMultilevel"/>
    <w:lvl w:ilvl="0">
      <w:lvlJc w:val="left"/>
      <w:lvlText w:val="(%1)"/>
      <w:numFmt w:val="decimal"/>
      <w:start w:val="1"/>
    </w:lvl>
  </w:abstractNum>
  <w:abstractNum w:abstractNumId="61">
    <w:nsid w:val="567BD50A"/>
    <w:multiLevelType w:val="hybridMultilevel"/>
    <w:lvl w:ilvl="0">
      <w:lvlJc w:val="left"/>
      <w:lvlText w:val="•"/>
      <w:numFmt w:val="bullet"/>
      <w:start w:val="1"/>
    </w:lvl>
  </w:abstractNum>
  <w:abstractNum w:abstractNumId="62">
    <w:nsid w:val="73BBD7F8"/>
    <w:multiLevelType w:val="hybridMultilevel"/>
    <w:lvl w:ilvl="0">
      <w:lvlJc w:val="left"/>
      <w:lvlText w:val="•"/>
      <w:numFmt w:val="bullet"/>
      <w:start w:val="1"/>
    </w:lvl>
  </w:abstractNum>
  <w:abstractNum w:abstractNumId="63">
    <w:nsid w:val="1876589D"/>
    <w:multiLevelType w:val="hybridMultilevel"/>
    <w:lvl w:ilvl="0">
      <w:lvlJc w:val="left"/>
      <w:lvlText w:val="•"/>
      <w:numFmt w:val="bullet"/>
      <w:start w:val="1"/>
    </w:lvl>
  </w:abstractNum>
  <w:abstractNum w:abstractNumId="64">
    <w:nsid w:val="327FAC77"/>
    <w:multiLevelType w:val="hybridMultilevel"/>
    <w:lvl w:ilvl="0">
      <w:lvlJc w:val="left"/>
      <w:lvlText w:val="•"/>
      <w:numFmt w:val="bullet"/>
      <w:start w:val="1"/>
    </w:lvl>
  </w:abstractNum>
  <w:abstractNum w:abstractNumId="65">
    <w:nsid w:val="5A606509"/>
    <w:multiLevelType w:val="hybridMultilevel"/>
    <w:lvl w:ilvl="0">
      <w:lvlJc w:val="left"/>
      <w:lvlText w:val="•"/>
      <w:numFmt w:val="bullet"/>
      <w:start w:val="1"/>
    </w:lvl>
  </w:abstractNum>
  <w:abstractNum w:abstractNumId="66">
    <w:nsid w:val="6F38E6D1"/>
    <w:multiLevelType w:val="hybridMultilevel"/>
    <w:lvl w:ilvl="0">
      <w:lvlJc w:val="left"/>
      <w:lvlText w:val="•"/>
      <w:numFmt w:val="bullet"/>
      <w:start w:val="1"/>
    </w:lvl>
  </w:abstractNum>
  <w:abstractNum w:abstractNumId="67">
    <w:nsid w:val="46111BA5"/>
    <w:multiLevelType w:val="hybridMultilevel"/>
    <w:lvl w:ilvl="0">
      <w:lvlJc w:val="left"/>
      <w:lvlText w:val="•"/>
      <w:numFmt w:val="bullet"/>
      <w:start w:val="1"/>
    </w:lvl>
  </w:abstractNum>
  <w:abstractNum w:abstractNumId="68">
    <w:nsid w:val="5E963896"/>
    <w:multiLevelType w:val="hybridMultilevel"/>
    <w:lvl w:ilvl="0">
      <w:lvlJc w:val="left"/>
      <w:lvlText w:val="•"/>
      <w:numFmt w:val="bullet"/>
      <w:start w:val="1"/>
    </w:lvl>
  </w:abstractNum>
  <w:abstractNum w:abstractNumId="69">
    <w:nsid w:val="775BA7C1"/>
    <w:multiLevelType w:val="hybridMultilevel"/>
    <w:lvl w:ilvl="0">
      <w:lvlJc w:val="left"/>
      <w:lvlText w:val="•"/>
      <w:numFmt w:val="bullet"/>
      <w:start w:val="1"/>
    </w:lvl>
  </w:abstractNum>
  <w:abstractNum w:abstractNumId="70">
    <w:nsid w:val="1DD6D6F4"/>
    <w:multiLevelType w:val="hybridMultilevel"/>
    <w:lvl w:ilvl="0">
      <w:lvlJc w:val="left"/>
      <w:lvlText w:val="•"/>
      <w:numFmt w:val="bullet"/>
      <w:start w:val="1"/>
    </w:lvl>
  </w:abstractNum>
  <w:abstractNum w:abstractNumId="71">
    <w:nsid w:val="769A091F"/>
    <w:multiLevelType w:val="hybridMultilevel"/>
    <w:lvl w:ilvl="0">
      <w:lvlJc w:val="left"/>
      <w:lvlText w:val="•"/>
      <w:numFmt w:val="bullet"/>
      <w:start w:val="1"/>
    </w:lvl>
  </w:abstractNum>
  <w:abstractNum w:abstractNumId="72">
    <w:nsid w:val="4695AE95"/>
    <w:multiLevelType w:val="hybridMultilevel"/>
    <w:lvl w:ilvl="0">
      <w:lvlJc w:val="left"/>
      <w:lvlText w:val="•"/>
      <w:numFmt w:val="bullet"/>
      <w:start w:val="1"/>
    </w:lvl>
  </w:abstractNum>
  <w:abstractNum w:abstractNumId="73">
    <w:nsid w:val="777A4EAA"/>
    <w:multiLevelType w:val="hybridMultilevel"/>
    <w:lvl w:ilvl="0">
      <w:lvlJc w:val="left"/>
      <w:lvlText w:val="•"/>
      <w:numFmt w:val="bullet"/>
      <w:start w:val="1"/>
    </w:lvl>
  </w:abstractNum>
  <w:abstractNum w:abstractNumId="74">
    <w:nsid w:val="3F48B982"/>
    <w:multiLevelType w:val="hybridMultilevel"/>
    <w:lvl w:ilvl="0">
      <w:lvlJc w:val="left"/>
      <w:lvlText w:val="(%1)"/>
      <w:numFmt w:val="decimal"/>
      <w:start w:val="1"/>
    </w:lvl>
  </w:abstractNum>
  <w:abstractNum w:abstractNumId="75">
    <w:nsid w:val="46BA8FCA"/>
    <w:multiLevelType w:val="hybridMultilevel"/>
    <w:lvl w:ilvl="0">
      <w:lvlJc w:val="left"/>
      <w:lvlText w:val="•"/>
      <w:numFmt w:val="bullet"/>
      <w:start w:val="1"/>
    </w:lvl>
  </w:abstractNum>
  <w:abstractNum w:abstractNumId="76">
    <w:nsid w:val="7835626C"/>
    <w:multiLevelType w:val="hybridMultilevel"/>
    <w:lvl w:ilvl="0">
      <w:lvlJc w:val="left"/>
      <w:lvlText w:val="•"/>
      <w:numFmt w:val="bullet"/>
      <w:start w:val="1"/>
    </w:lvl>
  </w:abstractNum>
  <w:abstractNum w:abstractNumId="77">
    <w:nsid w:val="665ACA49"/>
    <w:multiLevelType w:val="hybridMultilevel"/>
    <w:lvl w:ilvl="0">
      <w:lvlJc w:val="left"/>
      <w:lvlText w:val="•"/>
      <w:numFmt w:val="bullet"/>
      <w:start w:val="1"/>
    </w:lvl>
  </w:abstractNum>
  <w:abstractNum w:abstractNumId="78">
    <w:nsid w:val="6835B2AE"/>
    <w:multiLevelType w:val="hybridMultilevel"/>
    <w:lvl w:ilvl="0">
      <w:lvlJc w:val="left"/>
      <w:lvlText w:val="•"/>
      <w:numFmt w:val="bullet"/>
      <w:start w:val="1"/>
    </w:lvl>
  </w:abstractNum>
  <w:abstractNum w:abstractNumId="79">
    <w:nsid w:val="4C187C90"/>
    <w:multiLevelType w:val="hybridMultilevel"/>
    <w:lvl w:ilvl="0">
      <w:lvlJc w:val="left"/>
      <w:lvlText w:val="(%1)"/>
      <w:numFmt w:val="decimal"/>
      <w:start w:val="1"/>
    </w:lvl>
  </w:abstractNum>
  <w:abstractNum w:abstractNumId="80">
    <w:nsid w:val="541F28CD"/>
    <w:multiLevelType w:val="hybridMultilevel"/>
    <w:lvl w:ilvl="0">
      <w:lvlJc w:val="left"/>
      <w:lvlText w:val="(%1)"/>
      <w:numFmt w:val="decimal"/>
      <w:start w:val="2"/>
    </w:lvl>
  </w:abstractNum>
  <w:abstractNum w:abstractNumId="81">
    <w:nsid w:val="7F65FD16"/>
    <w:multiLevelType w:val="hybridMultilevel"/>
    <w:lvl w:ilvl="0">
      <w:lvlJc w:val="left"/>
      <w:lvlText w:val="•"/>
      <w:numFmt w:val="bullet"/>
      <w:start w:val="1"/>
    </w:lvl>
  </w:abstractNum>
  <w:abstractNum w:abstractNumId="82">
    <w:nsid w:val="77C9FD68"/>
    <w:multiLevelType w:val="hybridMultilevel"/>
    <w:lvl w:ilvl="0">
      <w:lvlJc w:val="left"/>
      <w:lvlText w:val="•"/>
      <w:numFmt w:val="bullet"/>
      <w:start w:val="1"/>
    </w:lvl>
  </w:abstractNum>
  <w:abstractNum w:abstractNumId="83">
    <w:nsid w:val="298A92BA"/>
    <w:multiLevelType w:val="hybridMultilevel"/>
    <w:lvl w:ilvl="0">
      <w:lvlJc w:val="left"/>
      <w:lvlText w:val="•"/>
      <w:numFmt w:val="bullet"/>
      <w:start w:val="1"/>
    </w:lvl>
  </w:abstractNum>
  <w:abstractNum w:abstractNumId="84">
    <w:nsid w:val="6FE95EAC"/>
    <w:multiLevelType w:val="hybridMultilevel"/>
    <w:lvl w:ilvl="0">
      <w:lvlJc w:val="left"/>
      <w:lvlText w:val="•"/>
      <w:numFmt w:val="bullet"/>
      <w:start w:val="1"/>
    </w:lvl>
  </w:abstractNum>
  <w:abstractNum w:abstractNumId="85">
    <w:nsid w:val="4B697C7A"/>
    <w:multiLevelType w:val="hybridMultilevel"/>
    <w:lvl w:ilvl="0">
      <w:lvlJc w:val="left"/>
      <w:lvlText w:val="•"/>
      <w:numFmt w:val="bullet"/>
      <w:start w:val="1"/>
    </w:lvl>
  </w:abstractNum>
  <w:abstractNum w:abstractNumId="86">
    <w:nsid w:val="51A27AA6"/>
    <w:multiLevelType w:val="hybridMultilevel"/>
    <w:lvl w:ilvl="0">
      <w:lvlJc w:val="left"/>
      <w:lvlText w:val="•"/>
      <w:numFmt w:val="bullet"/>
      <w:start w:val="1"/>
    </w:lvl>
  </w:abstractNum>
  <w:abstractNum w:abstractNumId="87">
    <w:nsid w:val="613183F2"/>
    <w:multiLevelType w:val="hybridMultilevel"/>
    <w:lvl w:ilvl="0">
      <w:lvlJc w:val="left"/>
      <w:lvlText w:val="•"/>
      <w:numFmt w:val="bullet"/>
      <w:start w:val="1"/>
    </w:lvl>
  </w:abstractNum>
  <w:abstractNum w:abstractNumId="88">
    <w:nsid w:val="634102B4"/>
    <w:multiLevelType w:val="hybridMultilevel"/>
    <w:lvl w:ilvl="0">
      <w:lvlJc w:val="left"/>
      <w:lvlText w:val="•"/>
      <w:numFmt w:val="bullet"/>
      <w:start w:val="1"/>
    </w:lvl>
  </w:abstractNum>
  <w:abstractNum w:abstractNumId="89">
    <w:nsid w:val="65BF9DA8"/>
    <w:multiLevelType w:val="hybridMultilevel"/>
    <w:lvl w:ilvl="0">
      <w:lvlJc w:val="left"/>
      <w:lvlText w:val="•"/>
      <w:numFmt w:val="bullet"/>
      <w:start w:val="1"/>
    </w:lvl>
  </w:abstractNum>
  <w:abstractNum w:abstractNumId="90">
    <w:nsid w:val="21A2ECCA"/>
    <w:multiLevelType w:val="hybridMultilevel"/>
    <w:lvl w:ilvl="0">
      <w:lvlJc w:val="left"/>
      <w:lvlText w:val="•"/>
      <w:numFmt w:val="bullet"/>
      <w:start w:val="1"/>
    </w:lvl>
  </w:abstractNum>
  <w:abstractNum w:abstractNumId="91">
    <w:nsid w:val="4D5C4899"/>
    <w:multiLevelType w:val="hybridMultilevel"/>
    <w:lvl w:ilvl="0">
      <w:lvlJc w:val="left"/>
      <w:lvlText w:val="•"/>
      <w:numFmt w:val="bullet"/>
      <w:start w:val="1"/>
    </w:lvl>
  </w:abstractNum>
  <w:abstractNum w:abstractNumId="92">
    <w:nsid w:val="3C3B72B2"/>
    <w:multiLevelType w:val="hybridMultilevel"/>
    <w:lvl w:ilvl="0">
      <w:lvlJc w:val="left"/>
      <w:lvlText w:val="•"/>
      <w:numFmt w:val="bullet"/>
      <w:start w:val="1"/>
    </w:lvl>
  </w:abstractNum>
  <w:abstractNum w:abstractNumId="93">
    <w:nsid w:val="155EC4C2"/>
    <w:multiLevelType w:val="hybridMultilevel"/>
    <w:lvl w:ilvl="0">
      <w:lvlJc w:val="left"/>
      <w:lvlText w:val="•"/>
      <w:numFmt w:val="bullet"/>
      <w:start w:val="1"/>
    </w:lvl>
  </w:abstractNum>
  <w:abstractNum w:abstractNumId="94">
    <w:nsid w:val="65D2A137"/>
    <w:multiLevelType w:val="hybridMultilevel"/>
    <w:lvl w:ilvl="0">
      <w:lvlJc w:val="left"/>
      <w:lvlText w:val="(%1)"/>
      <w:numFmt w:val="decimal"/>
      <w:start w:val="1"/>
    </w:lvl>
  </w:abstractNum>
  <w:abstractNum w:abstractNumId="95">
    <w:nsid w:val="6EBB1F2A"/>
    <w:multiLevelType w:val="hybridMultilevel"/>
    <w:lvl w:ilvl="0">
      <w:lvlJc w:val="left"/>
      <w:lvlText w:val="(%1)"/>
      <w:numFmt w:val="decimal"/>
      <w:start w:val="3"/>
    </w:lvl>
  </w:abstractNum>
  <w:abstractNum w:abstractNumId="96">
    <w:nsid w:val="6FBF29CB"/>
    <w:multiLevelType w:val="hybridMultilevel"/>
    <w:lvl w:ilvl="0">
      <w:lvlJc w:val="left"/>
      <w:lvlText w:val="(%1)"/>
      <w:numFmt w:val="decimal"/>
      <w:start w:val="1"/>
    </w:lvl>
  </w:abstractNum>
  <w:abstractNum w:abstractNumId="97">
    <w:nsid w:val="550B8808"/>
    <w:multiLevelType w:val="hybridMultilevel"/>
    <w:lvl w:ilvl="0">
      <w:lvlJc w:val="left"/>
      <w:lvlText w:val="(%1)"/>
      <w:numFmt w:val="decimal"/>
      <w:start w:val="1"/>
    </w:lvl>
  </w:abstractNum>
  <w:abstractNum w:abstractNumId="98">
    <w:nsid w:val="34CC3ACF"/>
    <w:multiLevelType w:val="hybridMultilevel"/>
    <w:lvl w:ilvl="0">
      <w:lvlJc w:val="left"/>
      <w:lvlText w:val="•"/>
      <w:numFmt w:val="bullet"/>
      <w:start w:val="1"/>
    </w:lvl>
  </w:abstractNum>
  <w:abstractNum w:abstractNumId="99">
    <w:nsid w:val="4E556261"/>
    <w:multiLevelType w:val="hybridMultilevel"/>
    <w:lvl w:ilvl="0">
      <w:lvlJc w:val="left"/>
      <w:lvlText w:val="•"/>
      <w:numFmt w:val="bullet"/>
      <w:start w:val="1"/>
    </w:lvl>
  </w:abstractNum>
  <w:abstractNum w:abstractNumId="100">
    <w:nsid w:val="4C672FC9"/>
    <w:multiLevelType w:val="hybridMultilevel"/>
    <w:lvl w:ilvl="0">
      <w:lvlJc w:val="left"/>
      <w:lvlText w:val="•"/>
      <w:numFmt w:val="bullet"/>
      <w:start w:val="1"/>
    </w:lvl>
  </w:abstractNum>
  <w:abstractNum w:abstractNumId="101">
    <w:nsid w:val="52A311C3"/>
    <w:multiLevelType w:val="hybridMultilevel"/>
    <w:lvl w:ilvl="0">
      <w:lvlJc w:val="left"/>
      <w:lvlText w:val="•"/>
      <w:numFmt w:val="bullet"/>
      <w:start w:val="1"/>
    </w:lvl>
  </w:abstractNum>
  <w:abstractNum w:abstractNumId="102">
    <w:nsid w:val="44EF6B80"/>
    <w:multiLevelType w:val="hybridMultilevel"/>
    <w:lvl w:ilvl="0">
      <w:lvlJc w:val="left"/>
      <w:lvlText w:val="(%1)"/>
      <w:numFmt w:val="decimal"/>
      <w:start w:val="1"/>
    </w:lvl>
  </w:abstractNum>
  <w:abstractNum w:abstractNumId="103">
    <w:nsid w:val="12FCDE5E"/>
    <w:multiLevelType w:val="hybridMultilevel"/>
    <w:lvl w:ilvl="0">
      <w:lvlJc w:val="left"/>
      <w:lvlText w:val="•"/>
      <w:numFmt w:val="bullet"/>
      <w:start w:val="1"/>
    </w:lvl>
  </w:abstractNum>
  <w:abstractNum w:abstractNumId="104">
    <w:nsid w:val="4A1D606E"/>
    <w:multiLevelType w:val="hybridMultilevel"/>
    <w:lvl w:ilvl="0">
      <w:lvlJc w:val="left"/>
      <w:lvlText w:val="•"/>
      <w:numFmt w:val="bullet"/>
      <w:start w:val="1"/>
    </w:lvl>
  </w:abstractNum>
  <w:abstractNum w:abstractNumId="105">
    <w:nsid w:val="4382503"/>
    <w:multiLevelType w:val="hybridMultilevel"/>
    <w:lvl w:ilvl="0">
      <w:lvlJc w:val="left"/>
      <w:lvlText w:val="•"/>
      <w:numFmt w:val="bullet"/>
      <w:start w:val="1"/>
    </w:lvl>
  </w:abstractNum>
  <w:abstractNum w:abstractNumId="106">
    <w:nsid w:val="59B76E28"/>
    <w:multiLevelType w:val="hybridMultilevel"/>
    <w:lvl w:ilvl="0">
      <w:lvlJc w:val="left"/>
      <w:lvlText w:val="•"/>
      <w:numFmt w:val="bullet"/>
      <w:start w:val="1"/>
    </w:lvl>
  </w:abstractNum>
  <w:abstractNum w:abstractNumId="107">
    <w:nsid w:val="4252C2DA"/>
    <w:multiLevelType w:val="hybridMultilevel"/>
    <w:lvl w:ilvl="0">
      <w:lvlJc w:val="left"/>
      <w:lvlText w:val="•"/>
      <w:numFmt w:val="bullet"/>
      <w:start w:val="1"/>
    </w:lvl>
  </w:abstractNum>
  <w:abstractNum w:abstractNumId="108">
    <w:nsid w:val="6A92EF4C"/>
    <w:multiLevelType w:val="hybridMultilevel"/>
    <w:lvl w:ilvl="0">
      <w:lvlJc w:val="left"/>
      <w:lvlText w:val="•"/>
      <w:numFmt w:val="bullet"/>
      <w:start w:val="1"/>
    </w:lvl>
  </w:abstractNum>
  <w:abstractNum w:abstractNumId="109">
    <w:nsid w:val="41ED20D7"/>
    <w:multiLevelType w:val="hybridMultilevel"/>
    <w:lvl w:ilvl="0">
      <w:lvlJc w:val="left"/>
      <w:lvlText w:val="•"/>
      <w:numFmt w:val="bullet"/>
      <w:start w:val="1"/>
    </w:lvl>
  </w:abstractNum>
  <w:abstractNum w:abstractNumId="110">
    <w:nsid w:val="E6B3F6A"/>
    <w:multiLevelType w:val="hybridMultilevel"/>
    <w:lvl w:ilvl="0">
      <w:lvlJc w:val="left"/>
      <w:lvlText w:val="•"/>
      <w:numFmt w:val="bullet"/>
      <w:start w:val="1"/>
    </w:lvl>
  </w:abstractNum>
  <w:abstractNum w:abstractNumId="111">
    <w:nsid w:val="3EB21819"/>
    <w:multiLevelType w:val="hybridMultilevel"/>
    <w:lvl w:ilvl="0">
      <w:lvlJc w:val="left"/>
      <w:lvlText w:val="•"/>
      <w:numFmt w:val="bullet"/>
      <w:start w:val="1"/>
    </w:lvl>
  </w:abstractNum>
  <w:abstractNum w:abstractNumId="112">
    <w:nsid w:val="41531DED"/>
    <w:multiLevelType w:val="hybridMultilevel"/>
    <w:lvl w:ilvl="0">
      <w:lvlJc w:val="left"/>
      <w:lvlText w:val="•"/>
      <w:numFmt w:val="bullet"/>
      <w:start w:val="1"/>
    </w:lvl>
  </w:abstractNum>
  <w:abstractNum w:abstractNumId="113">
    <w:nsid w:val="6353CD2"/>
    <w:multiLevelType w:val="hybridMultilevel"/>
    <w:lvl w:ilvl="0">
      <w:lvlJc w:val="left"/>
      <w:lvlText w:val="•"/>
      <w:numFmt w:val="bullet"/>
      <w:start w:val="1"/>
    </w:lvl>
  </w:abstractNum>
  <w:abstractNum w:abstractNumId="114">
    <w:nsid w:val="683CAAD3"/>
    <w:multiLevelType w:val="hybridMultilevel"/>
    <w:lvl w:ilvl="0">
      <w:lvlJc w:val="left"/>
      <w:lvlText w:val="•"/>
      <w:numFmt w:val="bullet"/>
      <w:start w:val="1"/>
    </w:lvl>
  </w:abstractNum>
  <w:abstractNum w:abstractNumId="115">
    <w:nsid w:val="313C7C99"/>
    <w:multiLevelType w:val="hybridMultilevel"/>
    <w:lvl w:ilvl="0">
      <w:lvlJc w:val="left"/>
      <w:lvlText w:val="(%1)"/>
      <w:numFmt w:val="lowerLetter"/>
      <w:start w:val="1"/>
    </w:lvl>
  </w:abstractNum>
  <w:abstractNum w:abstractNumId="116">
    <w:nsid w:val="519EB94C"/>
    <w:multiLevelType w:val="hybridMultilevel"/>
    <w:lvl w:ilvl="0">
      <w:lvlJc w:val="left"/>
      <w:lvlText w:val="(%1)"/>
      <w:numFmt w:val="lowerLetter"/>
      <w:start w:val="1"/>
    </w:lvl>
  </w:abstractNum>
  <w:abstractNum w:abstractNumId="117">
    <w:nsid w:val="39DF2579"/>
    <w:multiLevelType w:val="hybridMultilevel"/>
    <w:lvl w:ilvl="0">
      <w:lvlJc w:val="left"/>
      <w:lvlText w:val="(%1)"/>
      <w:numFmt w:val="lowerRoman"/>
      <w:start w:val="2"/>
    </w:lvl>
  </w:abstractNum>
  <w:abstractNum w:abstractNumId="118">
    <w:nsid w:val="126E008B"/>
    <w:multiLevelType w:val="hybridMultilevel"/>
    <w:lvl w:ilvl="0">
      <w:lvlJc w:val="left"/>
      <w:lvlText w:val="(%1)"/>
      <w:numFmt w:val="decimal"/>
      <w:start w:val="1"/>
    </w:lvl>
  </w:abstractNum>
  <w:abstractNum w:abstractNumId="119">
    <w:nsid w:val="34DFBC00"/>
    <w:multiLevelType w:val="hybridMultilevel"/>
    <w:lvl w:ilvl="0">
      <w:lvlJc w:val="left"/>
      <w:lvlText w:val="(%1)"/>
      <w:numFmt w:val="lowerLetter"/>
      <w:start w:val="1"/>
    </w:lvl>
  </w:abstractNum>
  <w:abstractNum w:abstractNumId="120">
    <w:nsid w:val="1F9EC322"/>
    <w:multiLevelType w:val="hybridMultilevel"/>
    <w:lvl w:ilvl="0">
      <w:lvlJc w:val="left"/>
      <w:lvlText w:val="*"/>
      <w:numFmt w:val="bullet"/>
      <w:start w:val="1"/>
    </w:lvl>
  </w:abstractNum>
  <w:abstractNum w:abstractNumId="121">
    <w:nsid w:val="3410ED56"/>
    <w:multiLevelType w:val="hybridMultilevel"/>
    <w:lvl w:ilvl="0">
      <w:lvlJc w:val="left"/>
      <w:lvlText w:val="†"/>
      <w:numFmt w:val="bullet"/>
      <w:start w:val="1"/>
    </w:lvl>
  </w:abstractNum>
  <w:abstractNum w:abstractNumId="122">
    <w:nsid w:val="23C049A"/>
    <w:multiLevelType w:val="hybridMultilevel"/>
    <w:lvl w:ilvl="0">
      <w:lvlJc w:val="left"/>
      <w:lvlText w:val="(%1)"/>
      <w:numFmt w:val="lowerLetter"/>
      <w:start w:val="2"/>
    </w:lvl>
  </w:abstractNum>
  <w:abstractNum w:abstractNumId="123">
    <w:nsid w:val="5BDA35D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24">
    <w:nsid w:val="496FB218"/>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125">
    <w:nsid w:val="680EA5D1"/>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26">
    <w:nsid w:val="4A9554FE"/>
    <w:multiLevelType w:val="hybridMultilevel"/>
    <w:lvl w:ilvl="0">
      <w:lvlJc w:val="left"/>
      <w:lvlText w:val="(%1)"/>
      <w:numFmt w:val="lowerLetter"/>
      <w:start w:val="3"/>
    </w:lvl>
  </w:abstractNum>
  <w:abstractNum w:abstractNumId="127">
    <w:nsid w:val="392EDBE4"/>
    <w:multiLevelType w:val="hybridMultilevel"/>
    <w:lvl w:ilvl="0">
      <w:lvlJc w:val="left"/>
      <w:lvlText w:val="(%1)"/>
      <w:numFmt w:val="lowerLetter"/>
      <w:start w:val="6"/>
    </w:lvl>
  </w:abstractNum>
  <w:abstractNum w:abstractNumId="128">
    <w:nsid w:val="3D1A2DD9"/>
    <w:multiLevelType w:val="hybridMultilevel"/>
    <w:lvl w:ilvl="0">
      <w:lvlJc w:val="left"/>
      <w:lvlText w:val="(%1)"/>
      <w:numFmt w:val="lowerLetter"/>
      <w:start w:val="9"/>
    </w:lvl>
    <w:lvl w:ilvl="1">
      <w:lvlJc w:val="left"/>
      <w:lvlText w:val="(%2)"/>
      <w:numFmt w:val="lowerLetter"/>
      <w:start w:val="13"/>
    </w:lvl>
  </w:abstractNum>
  <w:abstractNum w:abstractNumId="129">
    <w:nsid w:val="7F618FCD"/>
    <w:multiLevelType w:val="hybridMultilevel"/>
    <w:lvl w:ilvl="0">
      <w:lvlJc w:val="left"/>
      <w:lvlText w:val="(%1)"/>
      <w:numFmt w:val="lowerLetter"/>
      <w:start w:val="18"/>
    </w:lvl>
  </w:abstractNum>
  <w:abstractNum w:abstractNumId="130">
    <w:nsid w:val="7843E4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1">
    <w:nsid w:val="9815DA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32">
    <w:nsid w:val="5204A191"/>
    <w:multiLevelType w:val="hybridMultilevel"/>
    <w:lvl w:ilvl="0">
      <w:lvlJc w:val="left"/>
      <w:lvlText w:val="%1"/>
      <w:numFmt w:val="lowerLetter"/>
      <w:start w:val="1"/>
    </w:lvl>
    <w:lvl w:ilvl="1">
      <w:lvlJc w:val="left"/>
      <w:lvlText w:val="(%2)"/>
      <w:numFmt w:val="lowerLetter"/>
      <w:start w:val="21"/>
    </w:lvl>
    <w:lvl w:ilvl="2">
      <w:lvlJc w:val="left"/>
      <w:lvlText w:val="%3"/>
      <w:numFmt w:val="lowerRoman"/>
      <w:start w:val="1"/>
    </w:lvl>
    <w:lvl w:ilvl="3">
      <w:lvlJc w:val="left"/>
      <w:lvlText w:val="%4"/>
      <w:numFmt w:val="upperLetter"/>
      <w:start w:val="1"/>
    </w:lvl>
  </w:abstractNum>
  <w:abstractNum w:abstractNumId="133">
    <w:nsid w:val="4C73A9C6"/>
    <w:multiLevelType w:val="hybridMultilevel"/>
    <w:lvl w:ilvl="0">
      <w:lvlJc w:val="left"/>
      <w:lvlText w:val="(%1)"/>
      <w:numFmt w:val="lowerLetter"/>
      <w:start w:val="61"/>
    </w:lvl>
    <w:lvl w:ilvl="1">
      <w:lvlJc w:val="left"/>
      <w:lvlText w:val="(%2)"/>
      <w:numFmt w:val="lowerLetter"/>
      <w:start w:val="22"/>
    </w:lvl>
    <w:lvl w:ilvl="2">
      <w:lvlJc w:val="left"/>
      <w:lvlText w:val="%3"/>
      <w:numFmt w:val="lowerRoman"/>
      <w:start w:val="1"/>
    </w:lvl>
    <w:lvl w:ilvl="3">
      <w:lvlJc w:val="left"/>
      <w:lvlText w:val="%4"/>
      <w:numFmt w:val="upperLetter"/>
      <w:start w:val="1"/>
    </w:lvl>
  </w:abstractNum>
  <w:abstractNum w:abstractNumId="134">
    <w:nsid w:val="1C7E3C01"/>
    <w:multiLevelType w:val="hybridMultilevel"/>
    <w:lvl w:ilvl="0">
      <w:lvlJc w:val="left"/>
      <w:lvlText w:val="%1"/>
      <w:numFmt w:val="lowerRoman"/>
      <w:start w:val="1"/>
    </w:lvl>
    <w:lvl w:ilvl="1">
      <w:lvlJc w:val="left"/>
      <w:lvlText w:val="(%2)"/>
      <w:numFmt w:val="lowerLetter"/>
      <w:start w:val="23"/>
    </w:lvl>
  </w:abstractNum>
  <w:abstractNum w:abstractNumId="135">
    <w:nsid w:val="1C2201FF"/>
    <w:multiLevelType w:val="hybridMultilevel"/>
    <w:lvl w:ilvl="0">
      <w:lvlJc w:val="left"/>
      <w:lvlText w:val="(%1)"/>
      <w:numFmt w:val="lowerRoman"/>
      <w:start w:val="8"/>
    </w:lvl>
    <w:lvl w:ilvl="1">
      <w:lvlJc w:val="left"/>
      <w:lvlText w:val="%2"/>
      <w:numFmt w:val="lowerLetter"/>
      <w:start w:val="1"/>
    </w:lvl>
  </w:abstractNum>
  <w:abstractNum w:abstractNumId="136">
    <w:nsid w:val="50ABCEC9"/>
    <w:multiLevelType w:val="hybridMultilevel"/>
    <w:lvl w:ilvl="0">
      <w:lvlJc w:val="left"/>
      <w:lvlText w:val="(%1)"/>
      <w:numFmt w:val="lowerLetter"/>
      <w:start w:val="24"/>
    </w:lvl>
  </w:abstractNum>
  <w:abstractNum w:abstractNumId="137">
    <w:nsid w:val="7635AA2A"/>
    <w:multiLevelType w:val="hybridMultilevel"/>
    <w:lvl w:ilvl="0">
      <w:lvlJc w:val="left"/>
      <w:lvlText w:val="(%1)"/>
      <w:numFmt w:val="lowerLetter"/>
      <w:start w:val="26"/>
    </w:lvl>
  </w:abstractNum>
  <w:abstractNum w:abstractNumId="138">
    <w:nsid w:val="5E74C4D9"/>
    <w:multiLevelType w:val="hybridMultilevel"/>
    <w:lvl w:ilvl="0">
      <w:lvlJc w:val="left"/>
      <w:lvlText w:val="(%1)"/>
      <w:numFmt w:val="lowerLetter"/>
      <w:start w:val="27"/>
    </w:lvl>
  </w:abstractNum>
  <w:abstractNum w:abstractNumId="139">
    <w:nsid w:val="3B3EBE15"/>
    <w:multiLevelType w:val="hybridMultilevel"/>
    <w:lvl w:ilvl="0">
      <w:lvlJc w:val="left"/>
      <w:lvlText w:val="(%1)"/>
      <w:numFmt w:val="lowerLetter"/>
      <w:start w:val="30"/>
    </w:lvl>
  </w:abstractNum>
  <w:abstractNum w:abstractNumId="140">
    <w:nsid w:val="3822CB01"/>
    <w:multiLevelType w:val="hybridMultilevel"/>
    <w:lvl w:ilvl="0">
      <w:lvlJc w:val="left"/>
      <w:lvlText w:val="(%1)"/>
      <w:numFmt w:val="lowerLetter"/>
      <w:start w:val="32"/>
    </w:lvl>
    <w:lvl w:ilvl="1">
      <w:lvlJc w:val="left"/>
      <w:lvlText w:val="(%2)"/>
      <w:numFmt w:val="lowerLetter"/>
      <w:start w:val="35"/>
    </w:lvl>
  </w:abstractNum>
  <w:abstractNum w:abstractNumId="141">
    <w:nsid w:val="6CE00443"/>
    <w:multiLevelType w:val="hybridMultilevel"/>
    <w:lvl w:ilvl="0">
      <w:lvlJc w:val="left"/>
      <w:lvlText w:val="%1"/>
      <w:numFmt w:val="lowerLetter"/>
      <w:start w:val="1"/>
    </w:lvl>
    <w:lvl w:ilvl="1">
      <w:lvlJc w:val="left"/>
      <w:lvlText w:val="(%2)"/>
      <w:numFmt w:val="lowerLetter"/>
      <w:start w:val="36"/>
    </w:lvl>
  </w:abstractNum>
  <w:abstractNum w:abstractNumId="142">
    <w:nsid w:val="79F0D62F"/>
    <w:multiLevelType w:val="hybridMultilevel"/>
    <w:lvl w:ilvl="0">
      <w:lvlJc w:val="left"/>
      <w:lvlText w:val="(%1)"/>
      <w:numFmt w:val="lowerLetter"/>
      <w:start w:val="9"/>
    </w:lvl>
    <w:lvl w:ilvl="1">
      <w:lvlJc w:val="left"/>
      <w:lvlText w:val="(%2)"/>
      <w:numFmt w:val="lowerLetter"/>
      <w:start w:val="37"/>
    </w:lvl>
  </w:abstractNum>
  <w:abstractNum w:abstractNumId="143">
    <w:nsid w:val="7975E8EE"/>
    <w:multiLevelType w:val="hybridMultilevel"/>
    <w:lvl w:ilvl="0">
      <w:lvlJc w:val="left"/>
      <w:lvlText w:val="%1"/>
      <w:numFmt w:val="lowerLetter"/>
      <w:start w:val="1"/>
    </w:lvl>
    <w:lvl w:ilvl="1">
      <w:lvlJc w:val="left"/>
      <w:lvlText w:val="(%2)"/>
      <w:numFmt w:val="lowerLetter"/>
      <w:start w:val="40"/>
    </w:lvl>
  </w:abstractNum>
  <w:abstractNum w:abstractNumId="144">
    <w:nsid w:val="73154115"/>
    <w:multiLevelType w:val="hybridMultilevel"/>
    <w:lvl w:ilvl="0">
      <w:lvlJc w:val="left"/>
      <w:lvlText w:val="(%1)"/>
      <w:numFmt w:val="lowerLetter"/>
      <w:start w:val="61"/>
    </w:lvl>
    <w:lvl w:ilvl="1">
      <w:lvlJc w:val="left"/>
      <w:lvlText w:val="%2"/>
      <w:numFmt w:val="lowerLetter"/>
      <w:start w:val="1"/>
    </w:lvl>
  </w:abstractNum>
  <w:abstractNum w:abstractNumId="145">
    <w:nsid w:val="622D8102"/>
    <w:multiLevelType w:val="hybridMultilevel"/>
    <w:lvl w:ilvl="0">
      <w:lvlJc w:val="left"/>
      <w:lvlText w:val="%1"/>
      <w:numFmt w:val="decimal"/>
      <w:start w:val="1"/>
    </w:lvl>
    <w:lvl w:ilvl="1">
      <w:lvlJc w:val="left"/>
      <w:lvlText w:val="(%2)"/>
      <w:numFmt w:val="lowerLetter"/>
      <w:start w:val="44"/>
    </w:lvl>
  </w:abstractNum>
  <w:abstractNum w:abstractNumId="146">
    <w:nsid w:val="2AB26587"/>
    <w:multiLevelType w:val="hybridMultilevel"/>
    <w:lvl w:ilvl="0">
      <w:lvlJc w:val="left"/>
      <w:lvlText w:val="%1."/>
      <w:numFmt w:val="decimal"/>
      <w:start w:val="2"/>
    </w:lvl>
    <w:lvl w:ilvl="1">
      <w:lvlJc w:val="left"/>
      <w:lvlText w:val="%2"/>
      <w:numFmt w:val="lowerLetter"/>
      <w:start w:val="1"/>
    </w:lvl>
  </w:abstractNum>
  <w:abstractNum w:abstractNumId="147">
    <w:nsid w:val="44B3FA61"/>
    <w:multiLevelType w:val="hybridMultilevel"/>
    <w:lvl w:ilvl="0">
      <w:lvlJc w:val="left"/>
      <w:lvlText w:val="%1."/>
      <w:numFmt w:val="decimal"/>
      <w:start w:val="3"/>
    </w:lvl>
  </w:abstractNum>
  <w:abstractNum w:abstractNumId="148">
    <w:nsid w:val="1C0CA67C"/>
    <w:multiLevelType w:val="hybridMultilevel"/>
    <w:lvl w:ilvl="0">
      <w:lvlJc w:val="left"/>
      <w:lvlText w:val="%1."/>
      <w:numFmt w:val="decimal"/>
      <w:start w:val="4"/>
    </w:lvl>
  </w:abstractNum>
  <w:abstractNum w:abstractNumId="149">
    <w:nsid w:val="3D206613"/>
    <w:multiLevelType w:val="hybridMultilevel"/>
    <w:lvl w:ilvl="0">
      <w:lvlJc w:val="left"/>
      <w:lvlText w:val="%1."/>
      <w:numFmt w:val="decimal"/>
      <w:start w:val="5"/>
    </w:lvl>
  </w:abstractNum>
  <w:abstractNum w:abstractNumId="150">
    <w:nsid w:val="7993B662"/>
    <w:multiLevelType w:val="hybridMultilevel"/>
    <w:lvl w:ilvl="0">
      <w:lvlJc w:val="left"/>
      <w:lvlText w:val="(%1)"/>
      <w:numFmt w:val="lowerLetter"/>
      <w:start w:val="1"/>
    </w:lvl>
  </w:abstractNum>
  <w:abstractNum w:abstractNumId="151">
    <w:nsid w:val="3BAB699E"/>
    <w:multiLevelType w:val="hybridMultilevel"/>
    <w:lvl w:ilvl="0">
      <w:lvlJc w:val="left"/>
      <w:lvlText w:val="(%1)"/>
      <w:numFmt w:val="lowerLetter"/>
      <w:start w:val="3"/>
    </w:lvl>
  </w:abstractNum>
  <w:abstractNum w:abstractNumId="152">
    <w:nsid w:val="71315369"/>
    <w:multiLevelType w:val="hybridMultilevel"/>
    <w:lvl w:ilvl="0">
      <w:lvlJc w:val="left"/>
      <w:lvlText w:val="(%1)"/>
      <w:numFmt w:val="lowerLetter"/>
      <w:start w:val="6"/>
    </w:lvl>
  </w:abstractNum>
  <w:abstractNum w:abstractNumId="153">
    <w:nsid w:val="7BCFBAFC"/>
    <w:multiLevelType w:val="hybridMultilevel"/>
    <w:lvl w:ilvl="0">
      <w:lvlJc w:val="left"/>
      <w:lvlText w:val="(%1)"/>
      <w:numFmt w:val="lowerLetter"/>
      <w:start w:val="8"/>
    </w:lvl>
    <w:lvl w:ilvl="1">
      <w:lvlJc w:val="left"/>
      <w:lvlText w:val="(%2)"/>
      <w:numFmt w:val="lowerRoman"/>
      <w:start w:val="1"/>
    </w:lvl>
  </w:abstractNum>
  <w:abstractNum w:abstractNumId="154">
    <w:nsid w:val="17859F72"/>
    <w:multiLevelType w:val="hybridMultilevel"/>
    <w:lvl w:ilvl="0">
      <w:lvlJc w:val="left"/>
      <w:lvlText w:val="%1."/>
      <w:numFmt w:val="decimal"/>
      <w:start w:val="6"/>
    </w:lvl>
    <w:lvl w:ilvl="1">
      <w:lvlJc w:val="left"/>
      <w:lvlText w:val="(%2)"/>
      <w:numFmt w:val="lowerLetter"/>
      <w:start w:val="1"/>
    </w:lvl>
  </w:abstractNum>
  <w:abstractNum w:abstractNumId="155">
    <w:nsid w:val="3AA10581"/>
    <w:multiLevelType w:val="hybridMultilevel"/>
    <w:lvl w:ilvl="0">
      <w:lvlJc w:val="left"/>
      <w:lvlText w:val="(%1)"/>
      <w:numFmt w:val="lowerLetter"/>
      <w:start w:val="6"/>
    </w:lvl>
  </w:abstractNum>
  <w:abstractNum w:abstractNumId="156">
    <w:nsid w:val="63DE60CD"/>
    <w:multiLevelType w:val="hybridMultilevel"/>
    <w:lvl w:ilvl="0">
      <w:lvlJc w:val="left"/>
      <w:lvlText w:val="(%1)"/>
      <w:numFmt w:val="lowerLetter"/>
      <w:start w:val="10"/>
    </w:lvl>
  </w:abstractNum>
  <w:abstractNum w:abstractNumId="157">
    <w:nsid w:val="621AF471"/>
    <w:multiLevelType w:val="hybridMultilevel"/>
    <w:lvl w:ilvl="0">
      <w:lvlJc w:val="left"/>
      <w:lvlText w:val="%1."/>
      <w:numFmt w:val="decimal"/>
      <w:start w:val="7"/>
    </w:lvl>
  </w:abstractNum>
  <w:abstractNum w:abstractNumId="158">
    <w:nsid w:val="73CFE165"/>
    <w:multiLevelType w:val="hybridMultilevel"/>
    <w:lvl w:ilvl="0">
      <w:lvlJc w:val="left"/>
      <w:lvlText w:val="(%1)"/>
      <w:numFmt w:val="lowerLetter"/>
      <w:start w:val="2"/>
    </w:lvl>
  </w:abstractNum>
  <w:abstractNum w:abstractNumId="159">
    <w:nsid w:val="20F88EA6"/>
    <w:multiLevelType w:val="hybridMultilevel"/>
    <w:lvl w:ilvl="0">
      <w:lvlJc w:val="left"/>
      <w:lvlText w:val="(%1)"/>
      <w:numFmt w:val="lowerLetter"/>
      <w:start w:val="4"/>
    </w:lvl>
  </w:abstractNum>
  <w:abstractNum w:abstractNumId="160">
    <w:nsid w:val="617C843E"/>
    <w:multiLevelType w:val="hybridMultilevel"/>
    <w:lvl w:ilvl="0">
      <w:lvlJc w:val="left"/>
      <w:lvlText w:val="%1"/>
      <w:numFmt w:val="decimal"/>
      <w:start w:val="1"/>
    </w:lvl>
    <w:lvl w:ilvl="1">
      <w:lvlJc w:val="left"/>
      <w:lvlText w:val="(%2)"/>
      <w:numFmt w:val="lowerLetter"/>
      <w:start w:val="6"/>
    </w:lvl>
  </w:abstractNum>
  <w:abstractNum w:abstractNumId="161">
    <w:nsid w:val="7B541FAB"/>
    <w:multiLevelType w:val="hybridMultilevel"/>
    <w:lvl w:ilvl="0">
      <w:lvlJc w:val="left"/>
      <w:lvlText w:val="%1."/>
      <w:numFmt w:val="decimal"/>
      <w:start w:val="9"/>
    </w:lvl>
    <w:lvl w:ilvl="1">
      <w:lvlJc w:val="left"/>
      <w:lvlText w:val="%2"/>
      <w:numFmt w:val="lowerLetter"/>
      <w:start w:val="1"/>
    </w:lvl>
  </w:abstractNum>
  <w:abstractNum w:abstractNumId="162">
    <w:nsid w:val="2A79EC49"/>
    <w:multiLevelType w:val="hybridMultilevel"/>
    <w:lvl w:ilvl="0">
      <w:lvlJc w:val="left"/>
      <w:lvlText w:val="%1."/>
      <w:numFmt w:val="decimal"/>
      <w:start w:val="10"/>
    </w:lvl>
  </w:abstractNum>
  <w:abstractNum w:abstractNumId="163">
    <w:nsid w:val="338125CF"/>
    <w:multiLevelType w:val="hybridMultilevel"/>
    <w:lvl w:ilvl="0">
      <w:lvlJc w:val="left"/>
      <w:lvlText w:val="%1."/>
      <w:numFmt w:val="decimal"/>
      <w:start w:val="12"/>
    </w:lvl>
  </w:abstractNum>
  <w:abstractNum w:abstractNumId="164">
    <w:nsid w:val="47C7C971"/>
    <w:multiLevelType w:val="hybridMultilevel"/>
    <w:lvl w:ilvl="0">
      <w:lvlJc w:val="left"/>
      <w:lvlText w:val="%1"/>
      <w:numFmt w:val="decimal"/>
      <w:start w:val="1"/>
    </w:lvl>
    <w:lvl w:ilvl="1">
      <w:lvlJc w:val="left"/>
      <w:lvlText w:val="(%2)"/>
      <w:numFmt w:val="lowerLetter"/>
      <w:start w:val="2"/>
    </w:lvl>
  </w:abstractNum>
  <w:abstractNum w:abstractNumId="165">
    <w:nsid w:val="46F8284B"/>
    <w:multiLevelType w:val="hybridMultilevel"/>
    <w:lvl w:ilvl="0">
      <w:lvlJc w:val="left"/>
      <w:lvlText w:val="%1."/>
      <w:numFmt w:val="decimal"/>
      <w:start w:val="13"/>
    </w:lvl>
    <w:lvl w:ilvl="1">
      <w:lvlJc w:val="left"/>
      <w:lvlText w:val="(%2)"/>
      <w:numFmt w:val="lowerLetter"/>
      <w:start w:val="2"/>
    </w:lvl>
  </w:abstractNum>
  <w:abstractNum w:abstractNumId="166">
    <w:nsid w:val="4FA327CE"/>
    <w:multiLevelType w:val="hybridMultilevel"/>
    <w:lvl w:ilvl="0">
      <w:lvlJc w:val="left"/>
      <w:lvlText w:val="%1."/>
      <w:numFmt w:val="decimal"/>
      <w:start w:val="14"/>
    </w:lvl>
  </w:abstractNum>
  <w:abstractNum w:abstractNumId="167">
    <w:nsid w:val="1873983A"/>
    <w:multiLevelType w:val="hybridMultilevel"/>
    <w:lvl w:ilvl="0">
      <w:lvlJc w:val="left"/>
      <w:lvlText w:val="%1."/>
      <w:numFmt w:val="decimal"/>
      <w:start w:val="15"/>
    </w:lvl>
  </w:abstractNum>
  <w:abstractNum w:abstractNumId="168">
    <w:nsid w:val="3D2DD275"/>
    <w:multiLevelType w:val="hybridMultilevel"/>
    <w:lvl w:ilvl="0">
      <w:lvlJc w:val="left"/>
      <w:lvlText w:val="(%1)"/>
      <w:numFmt w:val="lowerLetter"/>
      <w:start w:val="1"/>
    </w:lvl>
  </w:abstractNum>
  <w:abstractNum w:abstractNumId="169">
    <w:nsid w:val="2E17ECA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170">
    <w:nsid w:val="53B2564F"/>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171">
    <w:nsid w:val="75509D76"/>
    <w:multiLevelType w:val="hybridMultilevel"/>
    <w:lvl w:ilvl="0">
      <w:lvlJc w:val="left"/>
      <w:lvlText w:val="(%1)"/>
      <w:numFmt w:val="lowerLetter"/>
      <w:start w:val="9"/>
    </w:lvl>
    <w:lvl w:ilvl="1">
      <w:lvlJc w:val="left"/>
      <w:lvlText w:val="(%2)"/>
      <w:numFmt w:val="lowerLetter"/>
      <w:start w:val="10"/>
    </w:lvl>
    <w:lvl w:ilvl="2">
      <w:lvlJc w:val="left"/>
      <w:lvlText w:val="%3"/>
      <w:numFmt w:val="lowerLetter"/>
      <w:start w:val="1"/>
    </w:lvl>
  </w:abstractNum>
  <w:abstractNum w:abstractNumId="172">
    <w:nsid w:val="1AF7F0EA"/>
    <w:multiLevelType w:val="hybridMultilevel"/>
    <w:lvl w:ilvl="0">
      <w:lvlJc w:val="left"/>
      <w:lvlText w:val="(%1)"/>
      <w:numFmt w:val="lowerRoman"/>
      <w:start w:val="4"/>
    </w:lvl>
  </w:abstractNum>
  <w:abstractNum w:abstractNumId="173">
    <w:nsid w:val="4DA32C7E"/>
    <w:multiLevelType w:val="hybridMultilevel"/>
    <w:lvl w:ilvl="0">
      <w:lvlJc w:val="left"/>
      <w:lvlText w:val="%1."/>
      <w:numFmt w:val="decimal"/>
      <w:start w:val="1"/>
    </w:lvl>
  </w:abstractNum>
  <w:abstractNum w:abstractNumId="174">
    <w:nsid w:val="6EC68664"/>
    <w:multiLevelType w:val="hybridMultilevel"/>
    <w:lvl w:ilvl="0">
      <w:lvlJc w:val="left"/>
      <w:lvlText w:val="%1."/>
      <w:numFmt w:val="upperLetter"/>
      <w:start w:val="1"/>
    </w:lvl>
    <w:lvl w:ilvl="1">
      <w:lvlJc w:val="left"/>
      <w:lvlText w:val="%2."/>
      <w:numFmt w:val="decimal"/>
      <w:start w:val="1"/>
    </w:lvl>
  </w:abstractNum>
  <w:abstractNum w:abstractNumId="175">
    <w:nsid w:val="E0D31FF"/>
    <w:multiLevelType w:val="hybridMultilevel"/>
    <w:lvl w:ilvl="0">
      <w:lvlJc w:val="left"/>
      <w:lvlText w:val="%1."/>
      <w:numFmt w:val="decimal"/>
      <w:start w:val="1"/>
    </w:lvl>
  </w:abstractNum>
  <w:abstractNum w:abstractNumId="176">
    <w:nsid w:val="2FD0AD81"/>
    <w:multiLevelType w:val="hybridMultilevel"/>
    <w:lvl w:ilvl="0">
      <w:lvlJc w:val="left"/>
      <w:lvlText w:val="(%1)"/>
      <w:numFmt w:val="lowerRoman"/>
      <w:start w:val="2"/>
    </w:lvl>
    <w:lvl w:ilvl="1">
      <w:lvlJc w:val="left"/>
      <w:lvlText w:val="%2."/>
      <w:numFmt w:val="decimal"/>
      <w:start w:val="2"/>
    </w:lvl>
  </w:abstractNum>
  <w:abstractNum w:abstractNumId="177">
    <w:nsid w:val="1978EBEB"/>
    <w:multiLevelType w:val="hybridMultilevel"/>
    <w:lvl w:ilvl="0">
      <w:lvlJc w:val="left"/>
      <w:lvlText w:val="(%1)"/>
      <w:numFmt w:val="lowerLetter"/>
      <w:start w:val="1"/>
    </w:lvl>
    <w:lvl w:ilvl="1">
      <w:lvlJc w:val="left"/>
      <w:lvlText w:val="(%2)"/>
      <w:numFmt w:val="lowerRoman"/>
      <w:start w:val="1"/>
    </w:lvl>
  </w:abstractNum>
  <w:abstractNum w:abstractNumId="178">
    <w:nsid w:val="52C12C61"/>
    <w:multiLevelType w:val="hybridMultilevel"/>
    <w:lvl w:ilvl="0">
      <w:lvlJc w:val="left"/>
      <w:lvlText w:val="(%1)"/>
      <w:numFmt w:val="lowerLetter"/>
      <w:start w:val="2"/>
    </w:lvl>
  </w:abstractNum>
  <w:abstractNum w:abstractNumId="179">
    <w:nsid w:val="4BDD53FD"/>
    <w:multiLevelType w:val="hybridMultilevel"/>
    <w:lvl w:ilvl="0">
      <w:lvlJc w:val="left"/>
      <w:lvlText w:val="(%1)"/>
      <w:numFmt w:val="lowerLetter"/>
      <w:start w:val="1"/>
    </w:lvl>
  </w:abstractNum>
  <w:abstractNum w:abstractNumId="180">
    <w:nsid w:val="569951FE"/>
    <w:multiLevelType w:val="hybridMultilevel"/>
    <w:lvl w:ilvl="0">
      <w:lvlJc w:val="left"/>
      <w:lvlText w:val="(%1)"/>
      <w:numFmt w:val="lowerLetter"/>
      <w:start w:val="2"/>
    </w:lvl>
  </w:abstractNum>
  <w:abstractNum w:abstractNumId="181">
    <w:nsid w:val="4C54E2C3"/>
    <w:multiLevelType w:val="hybridMultilevel"/>
    <w:lvl w:ilvl="0">
      <w:lvlJc w:val="left"/>
      <w:lvlText w:val="(%1)"/>
      <w:numFmt w:val="lowerLetter"/>
      <w:start w:val="3"/>
    </w:lvl>
  </w:abstractNum>
  <w:abstractNum w:abstractNumId="182">
    <w:nsid w:val="788BD9B"/>
    <w:multiLevelType w:val="hybridMultilevel"/>
    <w:lvl w:ilvl="0">
      <w:lvlJc w:val="left"/>
      <w:lvlText w:val="(%1)"/>
      <w:numFmt w:val="lowerRoman"/>
      <w:start w:val="1"/>
    </w:lvl>
  </w:abstractNum>
  <w:abstractNum w:abstractNumId="183">
    <w:nsid w:val="47CAA567"/>
    <w:multiLevelType w:val="hybridMultilevel"/>
    <w:lvl w:ilvl="0">
      <w:lvlJc w:val="left"/>
      <w:lvlText w:val="(%1)"/>
      <w:numFmt w:val="lowerRoman"/>
      <w:start w:val="2"/>
    </w:lvl>
  </w:abstractNum>
  <w:abstractNum w:abstractNumId="184">
    <w:nsid w:val="48249DBF"/>
    <w:multiLevelType w:val="hybridMultilevel"/>
    <w:lvl w:ilvl="0">
      <w:lvlJc w:val="left"/>
      <w:lvlText w:val="%1"/>
      <w:numFmt w:val="lowerLetter"/>
      <w:start w:val="1"/>
    </w:lvl>
    <w:lvl w:ilvl="1">
      <w:lvlJc w:val="left"/>
      <w:lvlText w:val="(%2)"/>
      <w:numFmt w:val="lowerRoman"/>
      <w:start w:val="4"/>
    </w:lvl>
  </w:abstractNum>
  <w:abstractNum w:abstractNumId="185">
    <w:nsid w:val="1F0E5D0D"/>
    <w:multiLevelType w:val="hybridMultilevel"/>
    <w:lvl w:ilvl="0">
      <w:lvlJc w:val="left"/>
      <w:lvlText w:val="(%1)"/>
      <w:numFmt w:val="lowerLetter"/>
      <w:start w:val="4"/>
    </w:lvl>
    <w:lvl w:ilvl="1">
      <w:lvlJc w:val="left"/>
      <w:lvlText w:val="%2"/>
      <w:numFmt w:val="lowerRoman"/>
      <w:start w:val="1"/>
    </w:lvl>
  </w:abstractNum>
  <w:abstractNum w:abstractNumId="186">
    <w:nsid w:val="26BAAE9"/>
    <w:multiLevelType w:val="hybridMultilevel"/>
    <w:lvl w:ilvl="0">
      <w:lvlJc w:val="left"/>
      <w:lvlText w:val="(%1)"/>
      <w:numFmt w:val="lowerLetter"/>
      <w:start w:val="1"/>
    </w:lvl>
    <w:lvl w:ilvl="1">
      <w:lvlJc w:val="left"/>
      <w:lvlText w:val="(%2)"/>
      <w:numFmt w:val="lowerRoman"/>
      <w:start w:val="1"/>
    </w:lvl>
  </w:abstractNum>
  <w:abstractNum w:abstractNumId="187">
    <w:nsid w:val="2C02FE8C"/>
    <w:multiLevelType w:val="hybridMultilevel"/>
    <w:lvl w:ilvl="0">
      <w:lvlJc w:val="left"/>
      <w:lvlText w:val="%1."/>
      <w:numFmt w:val="decimal"/>
      <w:start w:val="3"/>
    </w:lvl>
  </w:abstractNum>
  <w:abstractNum w:abstractNumId="188">
    <w:nsid w:val="129517E"/>
    <w:multiLevelType w:val="hybridMultilevel"/>
    <w:lvl w:ilvl="0">
      <w:lvlJc w:val="left"/>
      <w:lvlText w:val="(%1)"/>
      <w:numFmt w:val="lowerLetter"/>
      <w:start w:val="1"/>
    </w:lvl>
  </w:abstractNum>
  <w:abstractNum w:abstractNumId="189">
    <w:nsid w:val="763B8C4E"/>
    <w:multiLevelType w:val="hybridMultilevel"/>
    <w:lvl w:ilvl="0">
      <w:lvlJc w:val="left"/>
      <w:lvlText w:val="(%1)"/>
      <w:numFmt w:val="lowerLetter"/>
      <w:start w:val="4"/>
    </w:lvl>
  </w:abstractNum>
  <w:abstractNum w:abstractNumId="190">
    <w:nsid w:val="4CFB8D32"/>
    <w:multiLevelType w:val="hybridMultilevel"/>
    <w:lvl w:ilvl="0">
      <w:lvlJc w:val="left"/>
      <w:lvlText w:val="(%1)"/>
      <w:numFmt w:val="lowerLetter"/>
      <w:start w:val="1"/>
    </w:lvl>
  </w:abstractNum>
  <w:abstractNum w:abstractNumId="191">
    <w:nsid w:val="62A5D5BD"/>
    <w:multiLevelType w:val="hybridMultilevel"/>
    <w:lvl w:ilvl="0">
      <w:lvlJc w:val="left"/>
      <w:lvlText w:val="%1"/>
      <w:numFmt w:val="decimal"/>
      <w:start w:val="1"/>
    </w:lvl>
    <w:lvl w:ilvl="1">
      <w:lvlJc w:val="left"/>
      <w:lvlText w:val="(%2)"/>
      <w:numFmt w:val="lowerLetter"/>
      <w:start w:val="1"/>
    </w:lvl>
  </w:abstractNum>
  <w:abstractNum w:abstractNumId="192">
    <w:nsid w:val="718FABF9"/>
    <w:multiLevelType w:val="hybridMultilevel"/>
    <w:lvl w:ilvl="0">
      <w:lvlJc w:val="left"/>
      <w:lvlText w:val="%1."/>
      <w:numFmt w:val="decimal"/>
      <w:start w:val="4"/>
    </w:lvl>
    <w:lvl w:ilvl="1">
      <w:lvlJc w:val="left"/>
      <w:lvlText w:val="%2"/>
      <w:numFmt w:val="lowerLetter"/>
      <w:start w:val="1"/>
    </w:lvl>
  </w:abstractNum>
  <w:abstractNum w:abstractNumId="193">
    <w:nsid w:val="7775797C"/>
    <w:multiLevelType w:val="hybridMultilevel"/>
    <w:lvl w:ilvl="0">
      <w:lvlJc w:val="left"/>
      <w:lvlText w:val="(%1)"/>
      <w:numFmt w:val="lowerLetter"/>
      <w:start w:val="1"/>
    </w:lvl>
  </w:abstractNum>
  <w:abstractNum w:abstractNumId="194">
    <w:nsid w:val="1626FB8C"/>
    <w:multiLevelType w:val="hybridMultilevel"/>
    <w:lvl w:ilvl="0">
      <w:lvlJc w:val="left"/>
      <w:lvlText w:val="(%1)"/>
      <w:numFmt w:val="lowerLetter"/>
      <w:start w:val="2"/>
    </w:lvl>
  </w:abstractNum>
  <w:abstractNum w:abstractNumId="195">
    <w:nsid w:val="3957756A"/>
    <w:multiLevelType w:val="hybridMultilevel"/>
    <w:lvl w:ilvl="0">
      <w:lvlJc w:val="left"/>
      <w:lvlText w:val="(%1)"/>
      <w:numFmt w:val="lowerLetter"/>
      <w:start w:val="3"/>
    </w:lvl>
  </w:abstractNum>
  <w:abstractNum w:abstractNumId="196">
    <w:nsid w:val="3E6DA1C7"/>
    <w:multiLevelType w:val="hybridMultilevel"/>
    <w:lvl w:ilvl="0">
      <w:lvlJc w:val="left"/>
      <w:lvlText w:val="(%1)"/>
      <w:numFmt w:val="lowerLetter"/>
      <w:start w:val="4"/>
    </w:lvl>
    <w:lvl w:ilvl="1">
      <w:lvlJc w:val="left"/>
      <w:lvlText w:val="(%2)"/>
      <w:numFmt w:val="lowerRoman"/>
      <w:start w:val="1"/>
    </w:lvl>
  </w:abstractNum>
  <w:abstractNum w:abstractNumId="197">
    <w:nsid w:val="65CA235B"/>
    <w:multiLevelType w:val="hybridMultilevel"/>
    <w:lvl w:ilvl="0">
      <w:lvlJc w:val="left"/>
      <w:lvlText w:val="(%1)"/>
      <w:numFmt w:val="lowerLetter"/>
      <w:start w:val="1"/>
    </w:lvl>
  </w:abstractNum>
  <w:abstractNum w:abstractNumId="198">
    <w:nsid w:val="51CB0DA4"/>
    <w:multiLevelType w:val="hybridMultilevel"/>
    <w:lvl w:ilvl="0">
      <w:lvlJc w:val="left"/>
      <w:lvlText w:val="%1"/>
      <w:numFmt w:val="lowerLetter"/>
      <w:start w:val="1"/>
    </w:lvl>
    <w:lvl w:ilvl="1">
      <w:lvlJc w:val="left"/>
      <w:lvlText w:val="(%2)"/>
      <w:numFmt w:val="lowerLetter"/>
      <w:start w:val="4"/>
    </w:lvl>
  </w:abstractNum>
  <w:abstractNum w:abstractNumId="199">
    <w:nsid w:val="7B9B743C"/>
    <w:multiLevelType w:val="hybridMultilevel"/>
    <w:lvl w:ilvl="0">
      <w:lvlJc w:val="left"/>
      <w:lvlText w:val="(%1)"/>
      <w:numFmt w:val="lowerLetter"/>
      <w:start w:val="3"/>
    </w:lvl>
    <w:lvl w:ilvl="1">
      <w:lvlJc w:val="left"/>
      <w:lvlText w:val="%2"/>
      <w:numFmt w:val="lowerLetter"/>
      <w:start w:val="1"/>
    </w:lvl>
  </w:abstractNum>
  <w:abstractNum w:abstractNumId="200">
    <w:nsid w:val="13E21002"/>
    <w:multiLevelType w:val="hybridMultilevel"/>
    <w:lvl w:ilvl="0">
      <w:lvlJc w:val="left"/>
      <w:lvlText w:val="(%1)"/>
      <w:numFmt w:val="lowerLetter"/>
      <w:start w:val="1"/>
    </w:lvl>
  </w:abstractNum>
  <w:abstractNum w:abstractNumId="201">
    <w:nsid w:val="257D63F4"/>
    <w:multiLevelType w:val="hybridMultilevel"/>
    <w:lvl w:ilvl="0">
      <w:lvlJc w:val="left"/>
      <w:lvlText w:val="(%1)"/>
      <w:numFmt w:val="lowerLetter"/>
      <w:start w:val="2"/>
    </w:lvl>
  </w:abstractNum>
  <w:abstractNum w:abstractNumId="202">
    <w:nsid w:val="70EC11B2"/>
    <w:multiLevelType w:val="hybridMultilevel"/>
    <w:lvl w:ilvl="0">
      <w:lvlJc w:val="left"/>
      <w:lvlText w:val="(%1)"/>
      <w:numFmt w:val="lowerLetter"/>
      <w:start w:val="1"/>
    </w:lvl>
    <w:lvl w:ilvl="1">
      <w:lvlJc w:val="left"/>
      <w:lvlText w:val="(%2)"/>
      <w:numFmt w:val="lowerRoman"/>
      <w:start w:val="1"/>
    </w:lvl>
  </w:abstractNum>
  <w:abstractNum w:abstractNumId="203">
    <w:nsid w:val="2EDA00ED"/>
    <w:multiLevelType w:val="hybridMultilevel"/>
    <w:lvl w:ilvl="0">
      <w:lvlJc w:val="left"/>
      <w:lvlText w:val="(%1)"/>
      <w:numFmt w:val="lowerRoman"/>
      <w:start w:val="2"/>
    </w:lvl>
  </w:abstractNum>
  <w:abstractNum w:abstractNumId="204">
    <w:nsid w:val="73209072"/>
    <w:multiLevelType w:val="hybridMultilevel"/>
    <w:lvl w:ilvl="0">
      <w:lvlJc w:val="left"/>
      <w:lvlText w:val="(%1)"/>
      <w:numFmt w:val="decimal"/>
      <w:start w:val="1"/>
    </w:lvl>
  </w:abstractNum>
  <w:abstractNum w:abstractNumId="205">
    <w:nsid w:val="5FB29816"/>
    <w:multiLevelType w:val="hybridMultilevel"/>
    <w:lvl w:ilvl="0">
      <w:lvlJc w:val="left"/>
      <w:lvlText w:val="(%1)"/>
      <w:numFmt w:val="decimal"/>
      <w:start w:val="2"/>
    </w:lvl>
  </w:abstractNum>
  <w:abstractNum w:abstractNumId="206">
    <w:nsid w:val="3CE732EC"/>
    <w:multiLevelType w:val="hybridMultilevel"/>
    <w:lvl w:ilvl="0">
      <w:lvlJc w:val="left"/>
      <w:lvlText w:val="(%1)"/>
      <w:numFmt w:val="lowerLetter"/>
      <w:start w:val="2"/>
    </w:lvl>
  </w:abstractNum>
  <w:abstractNum w:abstractNumId="207">
    <w:nsid w:val="22F13DF3"/>
    <w:multiLevelType w:val="hybridMultilevel"/>
    <w:lvl w:ilvl="0">
      <w:lvlJc w:val="left"/>
      <w:lvlText w:val="(%1)"/>
      <w:numFmt w:val="lowerLetter"/>
      <w:start w:val="1"/>
    </w:lvl>
  </w:abstractNum>
  <w:abstractNum w:abstractNumId="208">
    <w:nsid w:val="792B8401"/>
    <w:multiLevelType w:val="hybridMultilevel"/>
    <w:lvl w:ilvl="0">
      <w:lvlJc w:val="left"/>
      <w:lvlText w:val="%1."/>
      <w:numFmt w:val="decimal"/>
      <w:start w:val="5"/>
    </w:lvl>
  </w:abstractNum>
  <w:abstractNum w:abstractNumId="209">
    <w:nsid w:val="FA85F4D"/>
    <w:multiLevelType w:val="hybridMultilevel"/>
    <w:lvl w:ilvl="0">
      <w:lvlJc w:val="left"/>
      <w:lvlText w:val="%1."/>
      <w:numFmt w:val="decimal"/>
      <w:start w:val="6"/>
    </w:lvl>
  </w:abstractNum>
  <w:abstractNum w:abstractNumId="210">
    <w:nsid w:val="6ECE91F0"/>
    <w:multiLevelType w:val="hybridMultilevel"/>
    <w:lvl w:ilvl="0">
      <w:lvlJc w:val="left"/>
      <w:lvlText w:val="%1:"/>
      <w:numFmt w:val="decimal"/>
      <w:start w:val="3"/>
    </w:lvl>
  </w:abstractNum>
  <w:abstractNum w:abstractNumId="211">
    <w:nsid w:val="4FC4D600"/>
    <w:multiLevelType w:val="hybridMultilevel"/>
    <w:lvl w:ilvl="0">
      <w:lvlJc w:val="left"/>
      <w:lvlText w:val="(%1)"/>
      <w:numFmt w:val="lowerLetter"/>
      <w:start w:val="1"/>
    </w:lvl>
  </w:abstractNum>
  <w:abstractNum w:abstractNumId="212">
    <w:nsid w:val="5BFD4210"/>
    <w:multiLevelType w:val="hybridMultilevel"/>
    <w:lvl w:ilvl="0">
      <w:lvlJc w:val="left"/>
      <w:lvlText w:val="(%1)"/>
      <w:numFmt w:val="lowerLetter"/>
      <w:start w:val="1"/>
    </w:lvl>
  </w:abstractNum>
  <w:abstractNum w:abstractNumId="213">
    <w:nsid w:val="76574F8B"/>
    <w:multiLevelType w:val="hybridMultilevel"/>
    <w:lvl w:ilvl="0">
      <w:lvlJc w:val="left"/>
      <w:lvlText w:val="(%1)"/>
      <w:numFmt w:val="lowerRoman"/>
      <w:start w:val="1"/>
    </w:lvl>
  </w:abstractNum>
  <w:abstractNum w:abstractNumId="214">
    <w:nsid w:val="178F7B67"/>
    <w:multiLevelType w:val="hybridMultilevel"/>
    <w:lvl w:ilvl="0">
      <w:lvlJc w:val="left"/>
      <w:lvlText w:val="A"/>
      <w:numFmt w:val="bullet"/>
      <w:start w:val="1"/>
    </w:lvl>
    <w:lvl w:ilvl="1">
      <w:lvlJc w:val="left"/>
      <w:lvlText w:val="%2."/>
      <w:numFmt w:val="decimal"/>
      <w:start w:val="1"/>
    </w:lvl>
  </w:abstractNum>
  <w:abstractNum w:abstractNumId="215">
    <w:nsid w:val="2421DFCF"/>
    <w:multiLevelType w:val="hybridMultilevel"/>
    <w:lvl w:ilvl="0">
      <w:lvlJc w:val="left"/>
      <w:lvlText w:val="%1."/>
      <w:numFmt w:val="decimal"/>
      <w:start w:val="3"/>
    </w:lvl>
  </w:abstractNum>
  <w:abstractNum w:abstractNumId="216">
    <w:nsid w:val="1565AC99"/>
    <w:multiLevelType w:val="hybridMultilevel"/>
    <w:lvl w:ilvl="0">
      <w:lvlJc w:val="left"/>
      <w:lvlText w:val="B"/>
      <w:numFmt w:val="bullet"/>
      <w:start w:val="1"/>
    </w:lvl>
  </w:abstractNum>
  <w:abstractNum w:abstractNumId="217">
    <w:nsid w:val="19FB2650"/>
    <w:multiLevelType w:val="hybridMultilevel"/>
    <w:lvl w:ilvl="0">
      <w:lvlJc w:val="left"/>
      <w:lvlText w:val="%1."/>
      <w:numFmt w:val="decimal"/>
      <w:start w:val="1"/>
    </w:lvl>
  </w:abstractNum>
  <w:abstractNum w:abstractNumId="218">
    <w:nsid w:val="5024DE5B"/>
    <w:multiLevelType w:val="hybridMultilevel"/>
    <w:lvl w:ilvl="0">
      <w:lvlJc w:val="left"/>
      <w:lvlText w:val="%1."/>
      <w:numFmt w:val="decimal"/>
      <w:start w:val="2"/>
    </w:lvl>
  </w:abstractNum>
  <w:abstractNum w:abstractNumId="219">
    <w:nsid w:val="168EFE17"/>
    <w:multiLevelType w:val="hybridMultilevel"/>
    <w:lvl w:ilvl="0">
      <w:lvlJc w:val="left"/>
      <w:lvlText w:val="%1."/>
      <w:numFmt w:val="decimal"/>
      <w:start w:val="5"/>
    </w:lvl>
  </w:abstractNum>
  <w:abstractNum w:abstractNumId="220">
    <w:nsid w:val="1036B29F"/>
    <w:multiLevelType w:val="hybridMultilevel"/>
    <w:lvl w:ilvl="0">
      <w:lvlJc w:val="left"/>
      <w:lvlText w:val="%1."/>
      <w:numFmt w:val="decimal"/>
      <w:start w:val="7"/>
    </w:lvl>
  </w:abstractNum>
  <w:abstractNum w:abstractNumId="221">
    <w:nsid w:val="1D206B8E"/>
    <w:multiLevelType w:val="hybridMultilevel"/>
    <w:lvl w:ilvl="0">
      <w:lvlJc w:val="left"/>
      <w:lvlText w:val="%1."/>
      <w:numFmt w:val="decimal"/>
      <w:start w:val="9"/>
    </w:lvl>
  </w:abstractNum>
  <w:abstractNum w:abstractNumId="222">
    <w:nsid w:val="7934D3D4"/>
    <w:multiLevelType w:val="hybridMultilevel"/>
    <w:lvl w:ilvl="0">
      <w:lvlJc w:val="left"/>
      <w:lvlText w:val="%1."/>
      <w:numFmt w:val="decimal"/>
      <w:start w:val="14"/>
    </w:lvl>
  </w:abstractNum>
  <w:abstractNum w:abstractNumId="223">
    <w:nsid w:val="1C65E98"/>
    <w:multiLevelType w:val="hybridMultilevel"/>
    <w:lvl w:ilvl="0">
      <w:lvlJc w:val="left"/>
      <w:lvlText w:val="%1."/>
      <w:numFmt w:val="decimal"/>
      <w:start w:val="1"/>
    </w:lvl>
  </w:abstractNum>
  <w:abstractNum w:abstractNumId="224">
    <w:nsid w:val="1495E50A"/>
    <w:multiLevelType w:val="hybridMultilevel"/>
    <w:lvl w:ilvl="0">
      <w:lvlJc w:val="left"/>
      <w:lvlText w:val="%1."/>
      <w:numFmt w:val="decimal"/>
      <w:start w:val="6"/>
    </w:lvl>
  </w:abstractNum>
  <w:abstractNum w:abstractNumId="225">
    <w:nsid w:val="F5BCF61"/>
    <w:multiLevelType w:val="hybridMultilevel"/>
    <w:lvl w:ilvl="0">
      <w:lvlJc w:val="left"/>
      <w:lvlText w:val="(%1)"/>
      <w:numFmt w:val="lowerLetter"/>
      <w:start w:val="1"/>
    </w:lvl>
  </w:abstractNum>
  <w:abstractNum w:abstractNumId="226">
    <w:nsid w:val="3B1DD403"/>
    <w:multiLevelType w:val="hybridMultilevel"/>
    <w:lvl w:ilvl="0">
      <w:lvlJc w:val="left"/>
      <w:lvlText w:val="(%1)"/>
      <w:numFmt w:val="decimal"/>
      <w:start w:val="5"/>
    </w:lvl>
  </w:abstractNum>
  <w:abstractNum w:abstractNumId="227">
    <w:nsid w:val="530386D1"/>
    <w:multiLevelType w:val="hybridMultilevel"/>
    <w:lvl w:ilvl="0">
      <w:lvlJc w:val="left"/>
      <w:lvlText w:val="(%1)"/>
      <w:numFmt w:val="lowerLetter"/>
      <w:start w:val="3"/>
    </w:lvl>
  </w:abstractNum>
  <w:abstractNum w:abstractNumId="228">
    <w:nsid w:val="7525F2BC"/>
    <w:multiLevelType w:val="hybridMultilevel"/>
    <w:lvl w:ilvl="0">
      <w:lvlJc w:val="left"/>
      <w:lvlText w:val="(%1)"/>
      <w:numFmt w:val="lowerLetter"/>
      <w:start w:val="6"/>
    </w:lvl>
  </w:abstractNum>
  <w:abstractNum w:abstractNumId="229">
    <w:nsid w:val="CE8E1A7"/>
    <w:multiLevelType w:val="hybridMultilevel"/>
    <w:lvl w:ilvl="0">
      <w:lvlJc w:val="left"/>
      <w:lvlText w:val="(%1)"/>
      <w:numFmt w:val="lowerLetter"/>
      <w:start w:val="1"/>
    </w:lvl>
  </w:abstractNum>
  <w:abstractNum w:abstractNumId="230">
    <w:nsid w:val="4E9EFB0D"/>
    <w:multiLevelType w:val="hybridMultilevel"/>
    <w:lvl w:ilvl="0">
      <w:lvlJc w:val="left"/>
      <w:lvlText w:val="(%1)"/>
      <w:numFmt w:val="lowerLetter"/>
      <w:start w:val="3"/>
    </w:lvl>
  </w:abstractNum>
  <w:abstractNum w:abstractNumId="231">
    <w:nsid w:val="90802BE"/>
    <w:multiLevelType w:val="hybridMultilevel"/>
    <w:lvl w:ilvl="0">
      <w:lvlJc w:val="left"/>
      <w:lvlText w:val="(%1)"/>
      <w:numFmt w:val="lowerLetter"/>
      <w:start w:val="4"/>
    </w:lvl>
  </w:abstractNum>
  <w:abstractNum w:abstractNumId="232">
    <w:nsid w:val="3266459B"/>
    <w:multiLevelType w:val="hybridMultilevel"/>
    <w:lvl w:ilvl="0">
      <w:lvlJc w:val="left"/>
      <w:lvlText w:val="(%1)"/>
      <w:numFmt w:val="lowerLetter"/>
      <w:start w:val="1"/>
    </w:lvl>
  </w:abstractNum>
  <w:abstractNum w:abstractNumId="233">
    <w:nsid w:val="3F8B0CBF"/>
    <w:multiLevelType w:val="hybridMultilevel"/>
    <w:lvl w:ilvl="0">
      <w:lvlJc w:val="left"/>
      <w:lvlText w:val="(%1)"/>
      <w:numFmt w:val="lowerLetter"/>
      <w:start w:val="3"/>
    </w:lvl>
  </w:abstractNum>
  <w:abstractNum w:abstractNumId="234">
    <w:nsid w:val="37E203AB"/>
    <w:multiLevelType w:val="hybridMultilevel"/>
    <w:lvl w:ilvl="0">
      <w:lvlJc w:val="left"/>
      <w:lvlText w:val="%1."/>
      <w:numFmt w:val="decimal"/>
      <w:start w:val="1"/>
    </w:lvl>
  </w:abstractNum>
  <w:abstractNum w:abstractNumId="235">
    <w:nsid w:val="2586D60E"/>
    <w:multiLevelType w:val="hybridMultilevel"/>
    <w:lvl w:ilvl="0">
      <w:lvlJc w:val="left"/>
      <w:lvlText w:val="%1."/>
      <w:numFmt w:val="decimal"/>
      <w:start w:val="2"/>
    </w:lvl>
    <w:lvl w:ilvl="1">
      <w:lvlJc w:val="left"/>
      <w:lvlText w:val="(%2)"/>
      <w:numFmt w:val="lowerLetter"/>
      <w:start w:val="1"/>
    </w:lvl>
  </w:abstractNum>
  <w:abstractNum w:abstractNumId="236">
    <w:nsid w:val="1F3DA4D5"/>
    <w:multiLevelType w:val="hybridMultilevel"/>
    <w:lvl w:ilvl="0">
      <w:lvlJc w:val="left"/>
      <w:lvlText w:val="(%1)"/>
      <w:numFmt w:val="lowerRoman"/>
      <w:start w:val="1"/>
    </w:lvl>
  </w:abstractNum>
  <w:abstractNum w:abstractNumId="237">
    <w:nsid w:val="74C93698"/>
    <w:multiLevelType w:val="hybridMultilevel"/>
    <w:lvl w:ilvl="0">
      <w:lvlJc w:val="left"/>
      <w:lvlText w:val="(%1)"/>
      <w:numFmt w:val="lowerLetter"/>
      <w:start w:val="4"/>
    </w:lvl>
  </w:abstractNum>
  <w:abstractNum w:abstractNumId="238">
    <w:nsid w:val="48781401"/>
    <w:multiLevelType w:val="hybridMultilevel"/>
    <w:lvl w:ilvl="0">
      <w:lvlJc w:val="left"/>
      <w:lvlText w:val="(%1)"/>
      <w:numFmt w:val="lowerLetter"/>
      <w:start w:val="1"/>
    </w:lvl>
  </w:abstractNum>
  <w:abstractNum w:abstractNumId="239">
    <w:nsid w:val="186928D6"/>
    <w:multiLevelType w:val="hybridMultilevel"/>
    <w:lvl w:ilvl="0">
      <w:lvlJc w:val="left"/>
      <w:lvlText w:val="(%1)"/>
      <w:numFmt w:val="lowerLetter"/>
      <w:start w:val="3"/>
    </w:lvl>
  </w:abstractNum>
  <w:abstractNum w:abstractNumId="240">
    <w:nsid w:val="47195E5"/>
    <w:multiLevelType w:val="hybridMultilevel"/>
    <w:lvl w:ilvl="0">
      <w:lvlJc w:val="left"/>
      <w:lvlText w:val="(%1)"/>
      <w:numFmt w:val="lowerLetter"/>
      <w:start w:val="1"/>
    </w:lvl>
  </w:abstractNum>
  <w:abstractNum w:abstractNumId="241">
    <w:nsid w:val="3746A5F2"/>
    <w:multiLevelType w:val="hybridMultilevel"/>
    <w:lvl w:ilvl="0">
      <w:lvlJc w:val="left"/>
      <w:lvlText w:val="(%1)"/>
      <w:numFmt w:val="lowerLetter"/>
      <w:start w:val="4"/>
    </w:lvl>
  </w:abstractNum>
  <w:abstractNum w:abstractNumId="242">
    <w:nsid w:val="682DFED6"/>
    <w:multiLevelType w:val="hybridMultilevel"/>
    <w:lvl w:ilvl="0">
      <w:lvlJc w:val="left"/>
      <w:lvlText w:val="(%1)"/>
      <w:numFmt w:val="lowerLetter"/>
      <w:start w:val="1"/>
    </w:lvl>
  </w:abstractNum>
  <w:abstractNum w:abstractNumId="243">
    <w:nsid w:val="606ED7F6"/>
    <w:multiLevelType w:val="hybridMultilevel"/>
    <w:lvl w:ilvl="0">
      <w:lvlJc w:val="left"/>
      <w:lvlText w:val="(%1)"/>
      <w:numFmt w:val="lowerLetter"/>
      <w:start w:val="3"/>
    </w:lvl>
  </w:abstractNum>
  <w:abstractNum w:abstractNumId="244">
    <w:nsid w:val="2D9DF57D"/>
    <w:multiLevelType w:val="hybridMultilevel"/>
    <w:lvl w:ilvl="0">
      <w:lvlJc w:val="left"/>
      <w:lvlText w:val="(%1)"/>
      <w:numFmt w:val="lowerLetter"/>
      <w:start w:val="5"/>
    </w:lvl>
  </w:abstractNum>
  <w:abstractNum w:abstractNumId="245">
    <w:nsid w:val="7FBD7A3E"/>
    <w:multiLevelType w:val="hybridMultilevel"/>
    <w:lvl w:ilvl="0">
      <w:lvlJc w:val="left"/>
      <w:lvlText w:val="(%1)"/>
      <w:numFmt w:val="lowerLetter"/>
      <w:start w:val="1"/>
    </w:lvl>
  </w:abstractNum>
  <w:abstractNum w:abstractNumId="246">
    <w:nsid w:val="490B7C5"/>
    <w:multiLevelType w:val="hybridMultilevel"/>
    <w:lvl w:ilvl="0">
      <w:lvlJc w:val="left"/>
      <w:lvlText w:val="(%1)"/>
      <w:numFmt w:val="lowerLetter"/>
      <w:start w:val="1"/>
    </w:lvl>
  </w:abstractNum>
  <w:abstractNum w:abstractNumId="247">
    <w:nsid w:val="4303A216"/>
    <w:multiLevelType w:val="hybridMultilevel"/>
    <w:lvl w:ilvl="0">
      <w:lvlJc w:val="left"/>
      <w:lvlText w:val="(%1)"/>
      <w:numFmt w:val="lowerLetter"/>
      <w:start w:val="3"/>
    </w:lvl>
  </w:abstractNum>
  <w:abstractNum w:abstractNumId="248">
    <w:nsid w:val="19B8A08E"/>
    <w:multiLevelType w:val="hybridMultilevel"/>
    <w:lvl w:ilvl="0">
      <w:lvlJc w:val="left"/>
      <w:lvlText w:val="(%1)"/>
      <w:numFmt w:val="lowerLetter"/>
      <w:start w:val="1"/>
    </w:lvl>
  </w:abstractNum>
  <w:abstractNum w:abstractNumId="249">
    <w:nsid w:val="54B59621"/>
    <w:multiLevelType w:val="hybridMultilevel"/>
    <w:lvl w:ilvl="0">
      <w:lvlJc w:val="left"/>
      <w:lvlText w:val="%1."/>
      <w:numFmt w:val="decimal"/>
      <w:start w:val="3"/>
    </w:lvl>
  </w:abstractNum>
  <w:abstractNum w:abstractNumId="250">
    <w:nsid w:val="5992A02E"/>
    <w:multiLevelType w:val="hybridMultilevel"/>
    <w:lvl w:ilvl="0">
      <w:lvlJc w:val="left"/>
      <w:lvlText w:val="%1"/>
      <w:numFmt w:val="lowerLetter"/>
      <w:start w:val="1"/>
    </w:lvl>
    <w:lvl w:ilvl="1">
      <w:lvlJc w:val="left"/>
      <w:lvlText w:val="(%2)"/>
      <w:numFmt w:val="lowerLetter"/>
      <w:start w:val="1"/>
    </w:lvl>
  </w:abstractNum>
  <w:abstractNum w:abstractNumId="251">
    <w:nsid w:val="29EF532D"/>
    <w:multiLevelType w:val="hybridMultilevel"/>
    <w:lvl w:ilvl="0">
      <w:lvlJc w:val="left"/>
      <w:lvlText w:val="(%1)"/>
      <w:numFmt w:val="lowerLetter"/>
      <w:start w:val="35"/>
    </w:lvl>
    <w:lvl w:ilvl="1">
      <w:lvlJc w:val="left"/>
      <w:lvlText w:val="(%2)"/>
      <w:numFmt w:val="lowerLetter"/>
      <w:start w:val="2"/>
    </w:lvl>
  </w:abstractNum>
  <w:abstractNum w:abstractNumId="252">
    <w:nsid w:val="71D601AF"/>
    <w:multiLevelType w:val="hybridMultilevel"/>
    <w:lvl w:ilvl="0">
      <w:lvlJc w:val="left"/>
      <w:lvlText w:val="(%1)"/>
      <w:numFmt w:val="lowerLetter"/>
      <w:start w:val="6"/>
    </w:lvl>
  </w:abstractNum>
  <w:abstractNum w:abstractNumId="253">
    <w:nsid w:val="52C77402"/>
    <w:multiLevelType w:val="hybridMultilevel"/>
    <w:lvl w:ilvl="0">
      <w:lvlJc w:val="left"/>
      <w:lvlText w:val="%1."/>
      <w:numFmt w:val="decimal"/>
      <w:start w:val="4"/>
    </w:lvl>
  </w:abstractNum>
  <w:abstractNum w:abstractNumId="254">
    <w:nsid w:val="2BB5B1C6"/>
    <w:multiLevelType w:val="hybridMultilevel"/>
    <w:lvl w:ilvl="0">
      <w:lvlJc w:val="left"/>
      <w:lvlText w:val="%1"/>
      <w:numFmt w:val="decimal"/>
      <w:start w:val="1"/>
    </w:lvl>
    <w:lvl w:ilvl="1">
      <w:lvlJc w:val="left"/>
      <w:lvlText w:val="(%2)"/>
      <w:numFmt w:val="lowerLetter"/>
      <w:start w:val="1"/>
    </w:lvl>
  </w:abstractNum>
  <w:abstractNum w:abstractNumId="255">
    <w:nsid w:val="66BE6B9"/>
    <w:multiLevelType w:val="hybridMultilevel"/>
    <w:lvl w:ilvl="0">
      <w:lvlJc w:val="left"/>
      <w:lvlText w:val="(%1)"/>
      <w:numFmt w:val="decimal"/>
      <w:start w:val="10"/>
    </w:lvl>
    <w:lvl w:ilvl="1">
      <w:lvlJc w:val="left"/>
      <w:lvlText w:val="(%2)"/>
      <w:numFmt w:val="lowerLetter"/>
      <w:start w:val="3"/>
    </w:lvl>
  </w:abstractNum>
  <w:abstractNum w:abstractNumId="256">
    <w:nsid w:val="62234363"/>
    <w:multiLevelType w:val="hybridMultilevel"/>
    <w:lvl w:ilvl="0">
      <w:lvlJc w:val="left"/>
      <w:lvlText w:val="(%1)"/>
      <w:numFmt w:val="lowerLetter"/>
      <w:start w:val="4"/>
    </w:lvl>
  </w:abstractNum>
  <w:abstractNum w:abstractNumId="257">
    <w:nsid w:val="66D385C9"/>
    <w:multiLevelType w:val="hybridMultilevel"/>
    <w:lvl w:ilvl="0">
      <w:lvlJc w:val="left"/>
      <w:lvlText w:val="(%1)"/>
      <w:numFmt w:val="lowerRoman"/>
      <w:start w:val="1"/>
    </w:lvl>
    <w:lvl w:ilvl="1">
      <w:lvlJc w:val="left"/>
      <w:lvlText w:val="%2."/>
      <w:numFmt w:val="decimal"/>
      <w:start w:val="5"/>
    </w:lvl>
  </w:abstractNum>
  <w:abstractNum w:abstractNumId="258">
    <w:nsid w:val="596F6D8A"/>
    <w:multiLevelType w:val="hybridMultilevel"/>
    <w:lvl w:ilvl="0">
      <w:lvlJc w:val="left"/>
      <w:lvlText w:val="(%1)"/>
      <w:numFmt w:val="lowerLetter"/>
      <w:start w:val="1"/>
    </w:lvl>
  </w:abstractNum>
  <w:abstractNum w:abstractNumId="259">
    <w:nsid w:val="5749361F"/>
    <w:multiLevelType w:val="hybridMultilevel"/>
    <w:lvl w:ilvl="0">
      <w:lvlJc w:val="left"/>
      <w:lvlText w:val="(%1)"/>
      <w:numFmt w:val="lowerLetter"/>
      <w:start w:val="10"/>
    </w:lvl>
  </w:abstractNum>
  <w:abstractNum w:abstractNumId="260">
    <w:nsid w:val="73BC6770"/>
    <w:multiLevelType w:val="hybridMultilevel"/>
    <w:lvl w:ilvl="0">
      <w:lvlJc w:val="left"/>
      <w:lvlText w:val="(%1)"/>
      <w:numFmt w:val="lowerLetter"/>
      <w:start w:val="1"/>
    </w:lvl>
  </w:abstractNum>
  <w:abstractNum w:abstractNumId="261">
    <w:nsid w:val="280E6897"/>
    <w:multiLevelType w:val="hybridMultilevel"/>
    <w:lvl w:ilvl="0">
      <w:lvlJc w:val="left"/>
      <w:lvlText w:val="%1."/>
      <w:numFmt w:val="decimal"/>
      <w:start w:val="6"/>
    </w:lvl>
  </w:abstractNum>
  <w:abstractNum w:abstractNumId="262">
    <w:nsid w:val="605138DE"/>
    <w:multiLevelType w:val="hybridMultilevel"/>
    <w:lvl w:ilvl="0">
      <w:lvlJc w:val="left"/>
      <w:lvlText w:val="(%1)"/>
      <w:numFmt w:val="lowerRoman"/>
      <w:start w:val="1"/>
    </w:lvl>
  </w:abstractNum>
  <w:abstractNum w:abstractNumId="263">
    <w:nsid w:val="2622AD0C"/>
    <w:multiLevelType w:val="hybridMultilevel"/>
    <w:lvl w:ilvl="0">
      <w:lvlJc w:val="left"/>
      <w:lvlText w:val="o"/>
      <w:numFmt w:val="bullet"/>
      <w:start w:val="1"/>
    </w:lvl>
  </w:abstractNum>
  <w:abstractNum w:abstractNumId="264">
    <w:nsid w:val="67997556"/>
    <w:multiLevelType w:val="hybridMultilevel"/>
    <w:lvl w:ilvl="0">
      <w:lvlJc w:val="left"/>
      <w:lvlText w:val="x"/>
      <w:numFmt w:val="bullet"/>
      <w:start w:val="1"/>
    </w:lvl>
  </w:abstractNum>
  <w:abstractNum w:abstractNumId="265">
    <w:nsid w:val="18333C89"/>
    <w:multiLevelType w:val="hybridMultilevel"/>
    <w:lvl w:ilvl="0">
      <w:lvlJc w:val="left"/>
      <w:lvlText w:val="o"/>
      <w:numFmt w:val="bullet"/>
      <w:start w:val="1"/>
    </w:lvl>
  </w:abstractNum>
  <w:abstractNum w:abstractNumId="266">
    <w:nsid w:val="4BA9831A"/>
    <w:multiLevelType w:val="hybridMultilevel"/>
    <w:lvl w:ilvl="0">
      <w:lvlJc w:val="left"/>
      <w:lvlText w:val="%1."/>
      <w:numFmt w:val="decimal"/>
      <w:start w:val="1"/>
    </w:lvl>
  </w:abstractNum>
  <w:abstractNum w:abstractNumId="267">
    <w:nsid w:val="6D71A2B"/>
    <w:multiLevelType w:val="hybridMultilevel"/>
    <w:lvl w:ilvl="0">
      <w:lvlJc w:val="left"/>
      <w:lvlText w:val="%1."/>
      <w:numFmt w:val="decimal"/>
      <w:start w:val="2"/>
    </w:lvl>
  </w:abstractNum>
  <w:abstractNum w:abstractNumId="268">
    <w:nsid w:val="CFC7321"/>
    <w:multiLevelType w:val="hybridMultilevel"/>
    <w:lvl w:ilvl="0">
      <w:lvlJc w:val="left"/>
      <w:lvlText w:val="%1."/>
      <w:numFmt w:val="decimal"/>
      <w:start w:val="3"/>
    </w:lvl>
    <w:lvl w:ilvl="1">
      <w:lvlJc w:val="left"/>
      <w:lvlText w:val="(%2)"/>
      <w:numFmt w:val="lowerLetter"/>
      <w:start w:val="1"/>
    </w:lvl>
  </w:abstractNum>
  <w:abstractNum w:abstractNumId="269">
    <w:nsid w:val="1421971B"/>
    <w:multiLevelType w:val="hybridMultilevel"/>
    <w:lvl w:ilvl="0">
      <w:lvlJc w:val="left"/>
      <w:lvlText w:val="%1"/>
      <w:numFmt w:val="decimal"/>
      <w:start w:val="1"/>
    </w:lvl>
    <w:lvl w:ilvl="1">
      <w:lvlJc w:val="left"/>
      <w:lvlText w:val="(%2)"/>
      <w:numFmt w:val="lowerLetter"/>
      <w:start w:val="2"/>
    </w:lvl>
  </w:abstractNum>
  <w:abstractNum w:abstractNumId="270">
    <w:nsid w:val="1F404301"/>
    <w:multiLevelType w:val="hybridMultilevel"/>
    <w:lvl w:ilvl="0">
      <w:lvlJc w:val="left"/>
      <w:lvlText w:val="%1."/>
      <w:numFmt w:val="decimal"/>
      <w:start w:val="4"/>
    </w:lvl>
    <w:lvl w:ilvl="1">
      <w:lvlJc w:val="left"/>
      <w:lvlText w:val="(%2)"/>
      <w:numFmt w:val="lowerLetter"/>
      <w:start w:val="1"/>
    </w:lvl>
  </w:abstractNum>
  <w:abstractNum w:abstractNumId="271">
    <w:nsid w:val="116E0907"/>
    <w:multiLevelType w:val="hybridMultilevel"/>
    <w:lvl w:ilvl="0">
      <w:lvlJc w:val="left"/>
      <w:lvlText w:val="(%1)"/>
      <w:numFmt w:val="lowerLetter"/>
      <w:start w:val="3"/>
    </w:lvl>
    <w:lvl w:ilvl="1">
      <w:lvlJc w:val="left"/>
      <w:lvlText w:val="(%2)"/>
      <w:numFmt w:val="decimal"/>
      <w:start w:val="1"/>
    </w:lvl>
  </w:abstractNum>
  <w:abstractNum w:abstractNumId="272">
    <w:nsid w:val="4B683D0D"/>
    <w:multiLevelType w:val="hybridMultilevel"/>
    <w:lvl w:ilvl="0">
      <w:lvlJc w:val="left"/>
      <w:lvlText w:val="(%1)"/>
      <w:numFmt w:val="lowerLetter"/>
      <w:start w:val="4"/>
    </w:lvl>
    <w:lvl w:ilvl="1">
      <w:lvlJc w:val="left"/>
      <w:lvlText w:val="(%2)"/>
      <w:numFmt w:val="decimal"/>
      <w:start w:val="1"/>
    </w:lvl>
  </w:abstractNum>
  <w:abstractNum w:abstractNumId="273">
    <w:nsid w:val="76E41D8"/>
    <w:multiLevelType w:val="hybridMultilevel"/>
    <w:lvl w:ilvl="0">
      <w:lvlJc w:val="left"/>
      <w:lvlText w:val="(%1)"/>
      <w:numFmt w:val="lowerLetter"/>
      <w:start w:val="6"/>
    </w:lvl>
    <w:lvl w:ilvl="1">
      <w:lvlJc w:val="left"/>
      <w:lvlText w:val="(%2)"/>
      <w:numFmt w:val="decimal"/>
      <w:start w:val="1"/>
    </w:lvl>
  </w:abstractNum>
  <w:abstractNum w:abstractNumId="274">
    <w:nsid w:val="71DCE0F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75">
    <w:nsid w:val="7906328B"/>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76">
    <w:nsid w:val="72BBC16"/>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77">
    <w:nsid w:val="766D98C2"/>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78">
    <w:nsid w:val="3C09D4A1"/>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279">
    <w:nsid w:val="20E45CA4"/>
    <w:multiLevelType w:val="hybridMultilevel"/>
    <w:lvl w:ilvl="0">
      <w:lvlJc w:val="left"/>
      <w:lvlText w:val="%1"/>
      <w:numFmt w:val="lowerRoman"/>
      <w:start w:val="1"/>
    </w:lvl>
    <w:lvl w:ilvl="1">
      <w:lvlJc w:val="left"/>
      <w:lvlText w:val="(%2)"/>
      <w:numFmt w:val="lowerRoman"/>
      <w:start w:val="2"/>
    </w:lvl>
  </w:abstractNum>
  <w:abstractNum w:abstractNumId="280">
    <w:nsid w:val="4B232EE3"/>
    <w:multiLevelType w:val="hybridMultilevel"/>
    <w:lvl w:ilvl="0">
      <w:lvlJc w:val="left"/>
      <w:lvlText w:val="(%1)"/>
      <w:numFmt w:val="lowerRoman"/>
      <w:start w:val="4"/>
    </w:lvl>
    <w:lvl w:ilvl="1">
      <w:lvlJc w:val="left"/>
      <w:lvlText w:val="(%2)"/>
      <w:numFmt w:val="lowerRoman"/>
      <w:start w:val="3"/>
    </w:lvl>
  </w:abstractNum>
  <w:abstractNum w:abstractNumId="281">
    <w:nsid w:val="159C74CF"/>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82">
    <w:nsid w:val="4AD3AFD2"/>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83">
    <w:nsid w:val="3CF93092"/>
    <w:multiLevelType w:val="hybridMultilevel"/>
    <w:lvl w:ilvl="0">
      <w:lvlJc w:val="left"/>
      <w:lvlText w:val="(%1)"/>
      <w:numFmt w:val="lowerLetter"/>
      <w:start w:val="4"/>
    </w:lvl>
    <w:lvl w:ilvl="1">
      <w:lvlJc w:val="left"/>
      <w:lvlText w:val="(%2)"/>
      <w:numFmt w:val="decimal"/>
      <w:start w:val="1"/>
    </w:lvl>
  </w:abstractNum>
  <w:abstractNum w:abstractNumId="284">
    <w:nsid w:val="6863E8D2"/>
    <w:multiLevelType w:val="hybridMultilevel"/>
    <w:lvl w:ilvl="0">
      <w:lvlJc w:val="left"/>
      <w:lvlText w:val="%1"/>
      <w:numFmt w:val="decimal"/>
      <w:start w:val="1"/>
    </w:lvl>
    <w:lvl w:ilvl="1">
      <w:lvlJc w:val="left"/>
      <w:lvlText w:val="(%2)"/>
      <w:numFmt w:val="lowerLetter"/>
      <w:start w:val="8"/>
    </w:lvl>
  </w:abstractNum>
  <w:abstractNum w:abstractNumId="285">
    <w:nsid w:val="76896198"/>
    <w:multiLevelType w:val="hybridMultilevel"/>
    <w:lvl w:ilvl="0">
      <w:lvlJc w:val="left"/>
      <w:lvlText w:val="%1."/>
      <w:numFmt w:val="decimal"/>
      <w:start w:val="11"/>
    </w:lvl>
    <w:lvl w:ilvl="1">
      <w:lvlJc w:val="left"/>
      <w:lvlText w:val="(%2)"/>
      <w:numFmt w:val="lowerLetter"/>
      <w:start w:val="1"/>
    </w:lvl>
  </w:abstractNum>
  <w:abstractNum w:abstractNumId="286">
    <w:nsid w:val="4365174B"/>
    <w:multiLevelType w:val="hybridMultilevel"/>
    <w:lvl w:ilvl="0">
      <w:lvlJc w:val="left"/>
      <w:lvlText w:val="(%1)"/>
      <w:numFmt w:val="lowerLetter"/>
      <w:start w:val="6"/>
    </w:lvl>
  </w:abstractNum>
  <w:abstractNum w:abstractNumId="287">
    <w:nsid w:val="4A872C35"/>
    <w:multiLevelType w:val="hybridMultilevel"/>
    <w:lvl w:ilvl="0">
      <w:lvlJc w:val="left"/>
      <w:lvlText w:val="(%1)"/>
      <w:numFmt w:val="lowerLetter"/>
      <w:start w:val="7"/>
    </w:lvl>
    <w:lvl w:ilvl="1">
      <w:lvlJc w:val="left"/>
      <w:lvlText w:val="*"/>
      <w:numFmt w:val="bullet"/>
      <w:start w:val="1"/>
    </w:lvl>
  </w:abstractNum>
  <w:abstractNum w:abstractNumId="288">
    <w:nsid w:val="5D5CE76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89">
    <w:nsid w:val="1CD484D5"/>
    <w:multiLevelType w:val="hybridMultilevel"/>
    <w:lvl w:ilvl="0">
      <w:lvlJc w:val="left"/>
      <w:lvlText w:val="%1."/>
      <w:numFmt w:val="decimal"/>
      <w:start w:val="1"/>
    </w:lvl>
  </w:abstractNum>
  <w:abstractNum w:abstractNumId="290">
    <w:nsid w:val="21D06255"/>
    <w:multiLevelType w:val="hybridMultilevel"/>
    <w:lvl w:ilvl="0">
      <w:lvlJc w:val="left"/>
      <w:lvlText w:val="%1."/>
      <w:numFmt w:val="decimal"/>
      <w:start w:val="2"/>
    </w:lvl>
  </w:abstractNum>
  <w:abstractNum w:abstractNumId="291">
    <w:nsid w:val="51194ED1"/>
    <w:multiLevelType w:val="hybridMultilevel"/>
    <w:lvl w:ilvl="0">
      <w:lvlJc w:val="left"/>
      <w:lvlText w:val="["/>
      <w:numFmt w:val="bullet"/>
      <w:start w:val="1"/>
    </w:lvl>
  </w:abstractNum>
  <w:abstractNum w:abstractNumId="292">
    <w:nsid w:val="44E2ED6C"/>
    <w:multiLevelType w:val="hybridMultilevel"/>
    <w:lvl w:ilvl="0">
      <w:lvlJc w:val="left"/>
      <w:lvlText w:val="%1."/>
      <w:numFmt w:val="decimal"/>
      <w:start w:val="3"/>
    </w:lvl>
    <w:lvl w:ilvl="1">
      <w:lvlJc w:val="left"/>
      <w:lvlText w:val="(%2)"/>
      <w:numFmt w:val="lowerLetter"/>
      <w:start w:val="1"/>
    </w:lvl>
  </w:abstractNum>
  <w:abstractNum w:abstractNumId="293">
    <w:nsid w:val="2219B33"/>
    <w:multiLevelType w:val="hybridMultilevel"/>
    <w:lvl w:ilvl="0">
      <w:lvlJc w:val="left"/>
      <w:lvlText w:val="(%1)"/>
      <w:numFmt w:val="lowerLetter"/>
      <w:start w:val="3"/>
    </w:lvl>
  </w:abstractNum>
  <w:abstractNum w:abstractNumId="294">
    <w:nsid w:val="773BFBDD"/>
    <w:multiLevelType w:val="hybridMultilevel"/>
    <w:lvl w:ilvl="0">
      <w:lvlJc w:val="left"/>
      <w:lvlText w:val="%1."/>
      <w:numFmt w:val="decimal"/>
      <w:start w:val="4"/>
    </w:lvl>
    <w:lvl w:ilvl="1">
      <w:lvlJc w:val="left"/>
      <w:lvlText w:val="(%2)"/>
      <w:numFmt w:val="lowerLetter"/>
      <w:start w:val="1"/>
    </w:lvl>
  </w:abstractNum>
  <w:abstractNum w:abstractNumId="295">
    <w:nsid w:val="2C7C62C2"/>
    <w:multiLevelType w:val="hybridMultilevel"/>
    <w:lvl w:ilvl="0">
      <w:lvlJc w:val="left"/>
      <w:lvlText w:val="(%1)"/>
      <w:numFmt w:val="decimal"/>
      <w:start w:val="1"/>
    </w:lvl>
  </w:abstractNum>
  <w:abstractNum w:abstractNumId="296">
    <w:nsid w:val="1A54D7BC"/>
    <w:multiLevelType w:val="hybridMultilevel"/>
    <w:lvl w:ilvl="0">
      <w:lvlJc w:val="left"/>
      <w:lvlText w:val="(%1)"/>
      <w:numFmt w:val="lowerLetter"/>
      <w:start w:val="6"/>
    </w:lvl>
    <w:lvl w:ilvl="1">
      <w:lvlJc w:val="left"/>
      <w:lvlText w:val="(%2)"/>
      <w:numFmt w:val="decimal"/>
      <w:start w:val="1"/>
    </w:lvl>
  </w:abstractNum>
  <w:abstractNum w:abstractNumId="297">
    <w:nsid w:val="42E57EF7"/>
    <w:multiLevelType w:val="hybridMultilevel"/>
    <w:lvl w:ilvl="0">
      <w:lvlJc w:val="left"/>
      <w:lvlText w:val="%1."/>
      <w:numFmt w:val="decimal"/>
      <w:start w:val="5"/>
    </w:lvl>
  </w:abstractNum>
  <w:abstractNum w:abstractNumId="298">
    <w:nsid w:val="33537CED"/>
    <w:multiLevelType w:val="hybridMultilevel"/>
    <w:lvl w:ilvl="0">
      <w:lvlJc w:val="left"/>
      <w:lvlText w:val="%1."/>
      <w:numFmt w:val="decimal"/>
      <w:start w:val="6"/>
    </w:lvl>
    <w:lvl w:ilvl="1">
      <w:lvlJc w:val="left"/>
      <w:lvlText w:val="(%2)"/>
      <w:numFmt w:val="lowerLetter"/>
      <w:start w:val="1"/>
    </w:lvl>
  </w:abstractNum>
  <w:abstractNum w:abstractNumId="299">
    <w:nsid w:val="27514ADE"/>
    <w:multiLevelType w:val="hybridMultilevel"/>
    <w:lvl w:ilvl="0">
      <w:lvlJc w:val="left"/>
      <w:lvlText w:val="%1."/>
      <w:numFmt w:val="decimal"/>
      <w:start w:val="8"/>
    </w:lvl>
  </w:abstractNum>
  <w:abstractNum w:abstractNumId="300">
    <w:nsid w:val="57071613"/>
    <w:multiLevelType w:val="hybridMultilevel"/>
    <w:lvl w:ilvl="0">
      <w:lvlJc w:val="left"/>
      <w:lvlText w:val="["/>
      <w:numFmt w:val="bullet"/>
      <w:start w:val="1"/>
    </w:lvl>
  </w:abstractNum>
  <w:abstractNum w:abstractNumId="301">
    <w:nsid w:val="5293BFEF"/>
    <w:multiLevelType w:val="hybridMultilevel"/>
    <w:lvl w:ilvl="0">
      <w:lvlJc w:val="left"/>
      <w:lvlText w:val="%1."/>
      <w:numFmt w:val="decimal"/>
      <w:start w:val="1"/>
    </w:lvl>
  </w:abstractNum>
  <w:abstractNum w:abstractNumId="302">
    <w:nsid w:val="38BF53E5"/>
    <w:multiLevelType w:val="hybridMultilevel"/>
    <w:lvl w:ilvl="0">
      <w:lvlJc w:val="left"/>
      <w:lvlText w:val="%1."/>
      <w:numFmt w:val="decimal"/>
      <w:start w:val="5"/>
    </w:lvl>
  </w:abstractNum>
  <w:abstractNum w:abstractNumId="303">
    <w:nsid w:val="226F5320"/>
    <w:multiLevelType w:val="hybridMultilevel"/>
    <w:lvl w:ilvl="0">
      <w:lvlJc w:val="left"/>
      <w:lvlText w:val="%1."/>
      <w:numFmt w:val="decimal"/>
      <w:start w:val="1"/>
    </w:lvl>
  </w:abstractNum>
  <w:abstractNum w:abstractNumId="304">
    <w:nsid w:val="5A0201C7"/>
    <w:multiLevelType w:val="hybridMultilevel"/>
    <w:lvl w:ilvl="0">
      <w:lvlJc w:val="left"/>
      <w:lvlText w:val="%1."/>
      <w:numFmt w:val="decimal"/>
      <w:start w:val="2"/>
    </w:lvl>
  </w:abstractNum>
  <w:abstractNum w:abstractNumId="305">
    <w:nsid w:val="2A9C34E2"/>
    <w:multiLevelType w:val="hybridMultilevel"/>
    <w:lvl w:ilvl="0">
      <w:lvlJc w:val="left"/>
      <w:lvlText w:val="["/>
      <w:numFmt w:val="bullet"/>
      <w:start w:val="1"/>
    </w:lvl>
  </w:abstractNum>
  <w:abstractNum w:abstractNumId="306">
    <w:nsid w:val="1B7585AB"/>
    <w:multiLevelType w:val="hybridMultilevel"/>
    <w:lvl w:ilvl="0">
      <w:lvlJc w:val="left"/>
      <w:lvlText w:val="%1."/>
      <w:numFmt w:val="decimal"/>
      <w:start w:val="3"/>
    </w:lvl>
    <w:lvl w:ilvl="1">
      <w:lvlJc w:val="left"/>
      <w:lvlText w:val="(%2)"/>
      <w:numFmt w:val="lowerLetter"/>
      <w:start w:val="1"/>
    </w:lvl>
  </w:abstractNum>
  <w:abstractNum w:abstractNumId="307">
    <w:nsid w:val="612DBDDD"/>
    <w:multiLevelType w:val="hybridMultilevel"/>
    <w:lvl w:ilvl="0">
      <w:lvlJc w:val="left"/>
      <w:lvlText w:val="%1"/>
      <w:numFmt w:val="lowerLetter"/>
      <w:start w:val="1"/>
    </w:lvl>
    <w:lvl w:ilvl="1">
      <w:lvlJc w:val="left"/>
      <w:lvlText w:val="(%2)"/>
      <w:numFmt w:val="lowerLetter"/>
      <w:start w:val="3"/>
    </w:lvl>
  </w:abstractNum>
  <w:abstractNum w:abstractNumId="308">
    <w:nsid w:val="2109CDA4"/>
    <w:multiLevelType w:val="hybridMultilevel"/>
    <w:lvl w:ilvl="0">
      <w:lvlJc w:val="left"/>
      <w:lvlText w:val="(%1)"/>
      <w:numFmt w:val="lowerLetter"/>
      <w:start w:val="35"/>
    </w:lvl>
    <w:lvl w:ilvl="1">
      <w:lvlJc w:val="left"/>
      <w:lvlText w:val="%2"/>
      <w:numFmt w:val="lowerLetter"/>
      <w:start w:val="1"/>
    </w:lvl>
  </w:abstractNum>
  <w:abstractNum w:abstractNumId="309">
    <w:nsid w:val="577F5A4D"/>
    <w:multiLevelType w:val="hybridMultilevel"/>
    <w:lvl w:ilvl="0">
      <w:lvlJc w:val="left"/>
      <w:lvlText w:val="%1."/>
      <w:numFmt w:val="decimal"/>
      <w:start w:val="4"/>
    </w:lvl>
    <w:lvl w:ilvl="1">
      <w:lvlJc w:val="left"/>
      <w:lvlText w:val="(%2)"/>
      <w:numFmt w:val="lowerLetter"/>
      <w:start w:val="1"/>
    </w:lvl>
  </w:abstractNum>
  <w:abstractNum w:abstractNumId="310">
    <w:nsid w:val="2121A81"/>
    <w:multiLevelType w:val="hybridMultilevel"/>
    <w:lvl w:ilvl="0">
      <w:lvlJc w:val="left"/>
      <w:lvlText w:val="(%1)"/>
      <w:numFmt w:val="decimal"/>
      <w:start w:val="1"/>
    </w:lvl>
  </w:abstractNum>
  <w:abstractNum w:abstractNumId="311">
    <w:nsid w:val="6C2CFC88"/>
    <w:multiLevelType w:val="hybridMultilevel"/>
    <w:lvl w:ilvl="0">
      <w:lvlJc w:val="left"/>
      <w:lvlText w:val="(%1)"/>
      <w:numFmt w:val="lowerLetter"/>
      <w:start w:val="6"/>
    </w:lvl>
    <w:lvl w:ilvl="1">
      <w:lvlJc w:val="left"/>
      <w:lvlText w:val="(%2)"/>
      <w:numFmt w:val="decimal"/>
      <w:start w:val="1"/>
    </w:lvl>
  </w:abstractNum>
  <w:abstractNum w:abstractNumId="312">
    <w:nsid w:val="6D1BCF1C"/>
    <w:multiLevelType w:val="hybridMultilevel"/>
    <w:lvl w:ilvl="0">
      <w:lvlJc w:val="left"/>
      <w:lvlText w:val="%1."/>
      <w:numFmt w:val="decimal"/>
      <w:start w:val="5"/>
    </w:lvl>
  </w:abstractNum>
  <w:abstractNum w:abstractNumId="313">
    <w:nsid w:val="4CE5CA53"/>
    <w:multiLevelType w:val="hybridMultilevel"/>
    <w:lvl w:ilvl="0">
      <w:lvlJc w:val="left"/>
      <w:lvlText w:val="%1."/>
      <w:numFmt w:val="decimal"/>
      <w:start w:val="6"/>
    </w:lvl>
  </w:abstractNum>
  <w:abstractNum w:abstractNumId="314">
    <w:nsid w:val="29262D1A"/>
    <w:multiLevelType w:val="hybridMultilevel"/>
    <w:lvl w:ilvl="0">
      <w:lvlJc w:val="left"/>
      <w:lvlText w:val="%1."/>
      <w:numFmt w:val="decimal"/>
      <w:start w:val="7"/>
    </w:lvl>
    <w:lvl w:ilvl="1">
      <w:lvlJc w:val="left"/>
      <w:lvlText w:val="(%2)"/>
      <w:numFmt w:val="lowerLetter"/>
      <w:start w:val="1"/>
    </w:lvl>
  </w:abstractNum>
  <w:abstractNum w:abstractNumId="315">
    <w:nsid w:val="557FB7EE"/>
    <w:multiLevelType w:val="hybridMultilevel"/>
    <w:lvl w:ilvl="0">
      <w:lvlJc w:val="left"/>
      <w:lvlText w:val="%1."/>
      <w:numFmt w:val="decimal"/>
      <w:start w:val="8"/>
    </w:lvl>
  </w:abstractNum>
  <w:abstractNum w:abstractNumId="316">
    <w:nsid w:val="436F2BEB"/>
    <w:multiLevelType w:val="hybridMultilevel"/>
    <w:lvl w:ilvl="0">
      <w:lvlJc w:val="left"/>
      <w:lvlText w:val="(%1)"/>
      <w:numFmt w:val="decimal"/>
      <w:start w:val="1"/>
    </w:lvl>
  </w:abstractNum>
  <w:abstractNum w:abstractNumId="317">
    <w:nsid w:val="6C8B4466"/>
    <w:multiLevelType w:val="hybridMultilevel"/>
    <w:lvl w:ilvl="0">
      <w:lvlJc w:val="left"/>
      <w:lvlText w:val="["/>
      <w:numFmt w:val="bullet"/>
      <w:start w:val="1"/>
    </w:lvl>
  </w:abstractNum>
  <w:abstractNum w:abstractNumId="318">
    <w:nsid w:val="2006E424"/>
    <w:multiLevelType w:val="hybridMultilevel"/>
    <w:lvl w:ilvl="0">
      <w:lvlJc w:val="left"/>
      <w:lvlText w:val="(%1)"/>
      <w:numFmt w:val="decimal"/>
      <w:start w:val="1"/>
    </w:lvl>
  </w:abstractNum>
  <w:abstractNum w:abstractNumId="319">
    <w:nsid w:val="20CC134C"/>
    <w:multiLevelType w:val="hybridMultilevel"/>
    <w:lvl w:ilvl="0">
      <w:lvlJc w:val="left"/>
      <w:lvlText w:val="%1."/>
      <w:numFmt w:val="decimal"/>
      <w:start w:val="1"/>
    </w:lvl>
  </w:abstractNum>
  <w:abstractNum w:abstractNumId="320">
    <w:nsid w:val="95FC93B"/>
    <w:multiLevelType w:val="hybridMultilevel"/>
    <w:lvl w:ilvl="0">
      <w:lvlJc w:val="left"/>
      <w:lvlText w:val="%1."/>
      <w:numFmt w:val="decimal"/>
      <w:start w:val="1"/>
    </w:lvl>
  </w:abstractNum>
  <w:abstractNum w:abstractNumId="321">
    <w:nsid w:val="41D74679"/>
    <w:multiLevelType w:val="hybridMultilevel"/>
    <w:lvl w:ilvl="0">
      <w:lvlJc w:val="left"/>
      <w:lvlText w:val="%1."/>
      <w:numFmt w:val="decimal"/>
      <w:start w:val="2"/>
    </w:lvl>
    <w:lvl w:ilvl="1">
      <w:lvlJc w:val="left"/>
      <w:lvlText w:val="(%2)"/>
      <w:numFmt w:val="lowerLetter"/>
      <w:start w:val="1"/>
    </w:lvl>
  </w:abstractNum>
  <w:abstractNum w:abstractNumId="322">
    <w:nsid w:val="71E5621E"/>
    <w:multiLevelType w:val="hybridMultilevel"/>
    <w:lvl w:ilvl="0">
      <w:lvlJc w:val="left"/>
      <w:lvlText w:val="%1."/>
      <w:numFmt w:val="decimal"/>
      <w:start w:val="3"/>
    </w:lvl>
  </w:abstractNum>
  <w:abstractNum w:abstractNumId="323">
    <w:nsid w:val="4E42B6A8"/>
    <w:multiLevelType w:val="hybridMultilevel"/>
    <w:lvl w:ilvl="0">
      <w:lvlJc w:val="left"/>
      <w:lvlText w:val="(%1)"/>
      <w:numFmt w:val="lowerLetter"/>
      <w:start w:val="2"/>
    </w:lvl>
  </w:abstractNum>
  <w:abstractNum w:abstractNumId="324">
    <w:nsid w:val="43F8E1AC"/>
    <w:multiLevelType w:val="hybridMultilevel"/>
    <w:lvl w:ilvl="0">
      <w:lvlJc w:val="left"/>
      <w:lvlText w:val="%1."/>
      <w:numFmt w:val="decimal"/>
      <w:start w:val="4"/>
    </w:lvl>
    <w:lvl w:ilvl="1">
      <w:lvlJc w:val="left"/>
      <w:lvlText w:val="(%2)"/>
      <w:numFmt w:val="lowerLetter"/>
      <w:start w:val="1"/>
    </w:lvl>
  </w:abstractNum>
  <w:abstractNum w:abstractNumId="325">
    <w:nsid w:val="69215DFB"/>
    <w:multiLevelType w:val="hybridMultilevel"/>
    <w:lvl w:ilvl="0">
      <w:lvlJc w:val="left"/>
      <w:lvlText w:val="%1."/>
      <w:numFmt w:val="decimal"/>
      <w:start w:val="5"/>
    </w:lvl>
    <w:lvl w:ilvl="1">
      <w:lvlJc w:val="left"/>
      <w:lvlText w:val="(%2)"/>
      <w:numFmt w:val="lowerLetter"/>
      <w:start w:val="1"/>
    </w:lvl>
  </w:abstractNum>
  <w:abstractNum w:abstractNumId="326">
    <w:nsid w:val="7ABF196A"/>
    <w:multiLevelType w:val="hybridMultilevel"/>
    <w:lvl w:ilvl="0">
      <w:lvlJc w:val="left"/>
      <w:lvlText w:val="(%1)"/>
      <w:numFmt w:val="lowerLetter"/>
      <w:start w:val="3"/>
    </w:lvl>
    <w:lvl w:ilvl="1">
      <w:lvlJc w:val="left"/>
      <w:lvlText w:val="(%2)"/>
      <w:numFmt w:val="decimal"/>
      <w:start w:val="1"/>
    </w:lvl>
  </w:abstractNum>
  <w:abstractNum w:abstractNumId="327">
    <w:nsid w:val="5E4DB968"/>
    <w:multiLevelType w:val="hybridMultilevel"/>
    <w:lvl w:ilvl="0">
      <w:lvlJc w:val="left"/>
      <w:lvlText w:val="(%1)"/>
      <w:numFmt w:val="lowerLetter"/>
      <w:start w:val="6"/>
    </w:lvl>
    <w:lvl w:ilvl="1">
      <w:lvlJc w:val="left"/>
      <w:lvlText w:val="(%2)"/>
      <w:numFmt w:val="decimal"/>
      <w:start w:val="1"/>
    </w:lvl>
  </w:abstractNum>
  <w:abstractNum w:abstractNumId="328">
    <w:nsid w:val="2C06DCF3"/>
    <w:multiLevelType w:val="hybridMultilevel"/>
    <w:lvl w:ilvl="0">
      <w:lvlJc w:val="left"/>
      <w:lvlText w:val="%1"/>
      <w:numFmt w:val="decimal"/>
      <w:start w:val="1"/>
    </w:lvl>
    <w:lvl w:ilvl="1">
      <w:lvlJc w:val="left"/>
      <w:lvlText w:val="(%2)"/>
      <w:numFmt w:val="lowerLetter"/>
      <w:start w:val="8"/>
    </w:lvl>
  </w:abstractNum>
  <w:abstractNum w:abstractNumId="329">
    <w:nsid w:val="2E129658"/>
    <w:multiLevelType w:val="hybridMultilevel"/>
    <w:lvl w:ilvl="0">
      <w:lvlJc w:val="left"/>
      <w:lvlText w:val="%1."/>
      <w:numFmt w:val="decimal"/>
      <w:start w:val="7"/>
    </w:lvl>
    <w:lvl w:ilvl="1">
      <w:lvlJc w:val="left"/>
      <w:lvlText w:val="%2"/>
      <w:numFmt w:val="lowerLetter"/>
      <w:start w:val="1"/>
    </w:lvl>
  </w:abstractNum>
  <w:abstractNum w:abstractNumId="330">
    <w:nsid w:val="59F0446"/>
    <w:multiLevelType w:val="hybridMultilevel"/>
    <w:lvl w:ilvl="0">
      <w:lvlJc w:val="left"/>
      <w:lvlText w:val="%1."/>
      <w:numFmt w:val="decimal"/>
      <w:start w:val="8"/>
    </w:lvl>
  </w:abstractNum>
  <w:abstractNum w:abstractNumId="331">
    <w:nsid w:val="30DF306"/>
    <w:multiLevelType w:val="hybridMultilevel"/>
    <w:lvl w:ilvl="0">
      <w:lvlJc w:val="left"/>
      <w:lvlText w:val="%1."/>
      <w:numFmt w:val="decimal"/>
      <w:start w:val="9"/>
    </w:lvl>
  </w:abstractNum>
  <w:abstractNum w:abstractNumId="332">
    <w:nsid w:val="A65647"/>
    <w:multiLevelType w:val="hybridMultilevel"/>
    <w:lvl w:ilvl="0">
      <w:lvlJc w:val="left"/>
      <w:lvlText w:val="%1."/>
      <w:numFmt w:val="decimal"/>
      <w:start w:val="10"/>
    </w:lvl>
  </w:abstractNum>
  <w:abstractNum w:abstractNumId="333">
    <w:nsid w:val="3E5E582B"/>
    <w:multiLevelType w:val="hybridMultilevel"/>
    <w:lvl w:ilvl="0">
      <w:lvlJc w:val="left"/>
      <w:lvlText w:val="%1."/>
      <w:numFmt w:val="decimal"/>
      <w:start w:val="11"/>
    </w:lvl>
  </w:abstractNum>
  <w:abstractNum w:abstractNumId="334">
    <w:nsid w:val="257D4626"/>
    <w:multiLevelType w:val="hybridMultilevel"/>
    <w:lvl w:ilvl="0">
      <w:lvlJc w:val="left"/>
      <w:lvlText w:val="(%1)"/>
      <w:numFmt w:val="lowerLetter"/>
      <w:start w:val="1"/>
    </w:lvl>
  </w:abstractNum>
  <w:abstractNum w:abstractNumId="335">
    <w:nsid w:val="5AA8580E"/>
    <w:multiLevelType w:val="hybridMultilevel"/>
    <w:lvl w:ilvl="0">
      <w:lvlJc w:val="left"/>
      <w:lvlText w:val="%1."/>
      <w:numFmt w:val="decimal"/>
      <w:start w:val="12"/>
    </w:lvl>
    <w:lvl w:ilvl="1">
      <w:lvlJc w:val="left"/>
      <w:lvlText w:val="(%2)"/>
      <w:numFmt w:val="lowerLetter"/>
      <w:start w:val="1"/>
    </w:lvl>
  </w:abstractNum>
  <w:abstractNum w:abstractNumId="336">
    <w:nsid w:val="68FA8D0D"/>
    <w:multiLevelType w:val="hybridMultilevel"/>
    <w:lvl w:ilvl="0">
      <w:lvlJc w:val="left"/>
      <w:lvlText w:val="%1."/>
      <w:numFmt w:val="decimal"/>
      <w:start w:val="13"/>
    </w:lvl>
    <w:lvl w:ilvl="1">
      <w:lvlJc w:val="left"/>
      <w:lvlText w:val="(%2)"/>
      <w:numFmt w:val="lowerLetter"/>
      <w:start w:val="1"/>
    </w:lvl>
  </w:abstractNum>
  <w:abstractNum w:abstractNumId="337">
    <w:nsid w:val="40F2CBD2"/>
    <w:multiLevelType w:val="hybridMultilevel"/>
    <w:lvl w:ilvl="0">
      <w:lvlJc w:val="left"/>
      <w:lvlText w:val="%1"/>
      <w:numFmt w:val="lowerLetter"/>
      <w:start w:val="1"/>
    </w:lvl>
    <w:lvl w:ilvl="1">
      <w:lvlJc w:val="left"/>
      <w:lvlText w:val="(%2)"/>
      <w:numFmt w:val="lowerLetter"/>
      <w:start w:val="5"/>
    </w:lvl>
  </w:abstractNum>
  <w:abstractNum w:abstractNumId="338">
    <w:nsid w:val="3BD615EB"/>
    <w:multiLevelType w:val="hybridMultilevel"/>
    <w:lvl w:ilvl="0">
      <w:lvlJc w:val="left"/>
      <w:lvlText w:val="(%1)"/>
      <w:numFmt w:val="lowerLetter"/>
      <w:start w:val="22"/>
    </w:lvl>
    <w:lvl w:ilvl="1">
      <w:lvlJc w:val="left"/>
      <w:lvlText w:val="%2"/>
      <w:numFmt w:val="lowerLetter"/>
      <w:start w:val="1"/>
    </w:lvl>
  </w:abstractNum>
  <w:abstractNum w:abstractNumId="339">
    <w:nsid w:val="A045AB2"/>
    <w:multiLevelType w:val="hybridMultilevel"/>
    <w:lvl w:ilvl="0">
      <w:lvlJc w:val="left"/>
      <w:lvlText w:val="%1."/>
      <w:numFmt w:val="decimal"/>
      <w:start w:val="1"/>
    </w:lvl>
    <w:lvl w:ilvl="1">
      <w:lvlJc w:val="left"/>
      <w:lvlText w:val="(%2)"/>
      <w:numFmt w:val="lowerLetter"/>
      <w:start w:val="1"/>
    </w:lvl>
  </w:abstractNum>
  <w:abstractNum w:abstractNumId="340">
    <w:nsid w:val="1872261F"/>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41">
    <w:nsid w:val="3DE8306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7"/>
    </w:lvl>
  </w:abstractNum>
  <w:abstractNum w:abstractNumId="342">
    <w:nsid w:val="7631573A"/>
    <w:multiLevelType w:val="hybridMultilevel"/>
    <w:lvl w:ilvl="0">
      <w:lvlJc w:val="left"/>
      <w:lvlText w:val="%1"/>
      <w:numFmt w:val="decimal"/>
      <w:start w:val="1"/>
    </w:lvl>
    <w:lvl w:ilvl="1">
      <w:lvlJc w:val="left"/>
      <w:lvlText w:val="(%2)"/>
      <w:numFmt w:val="lowerLetter"/>
      <w:start w:val="9"/>
    </w:lvl>
  </w:abstractNum>
  <w:abstractNum w:abstractNumId="343">
    <w:nsid w:val="58DF53B"/>
    <w:multiLevelType w:val="hybridMultilevel"/>
    <w:lvl w:ilvl="0">
      <w:lvlJc w:val="left"/>
      <w:lvlText w:val="%1."/>
      <w:numFmt w:val="decimal"/>
      <w:start w:val="5"/>
    </w:lvl>
    <w:lvl w:ilvl="1">
      <w:lvlJc w:val="left"/>
      <w:lvlText w:val="%2"/>
      <w:numFmt w:val="lowerLetter"/>
      <w:start w:val="1"/>
    </w:lvl>
  </w:abstractNum>
  <w:abstractNum w:abstractNumId="344">
    <w:nsid w:val="ACDFAC0"/>
    <w:multiLevelType w:val="hybridMultilevel"/>
    <w:lvl w:ilvl="0">
      <w:lvlJc w:val="left"/>
      <w:lvlText w:val="%1."/>
      <w:numFmt w:val="decimal"/>
      <w:start w:val="6"/>
    </w:lvl>
    <w:lvl w:ilvl="1">
      <w:lvlJc w:val="left"/>
      <w:lvlText w:val="(%2)"/>
      <w:numFmt w:val="lowerLetter"/>
      <w:start w:val="1"/>
    </w:lvl>
  </w:abstractNum>
  <w:abstractNum w:abstractNumId="345">
    <w:nsid w:val="1F578454"/>
    <w:multiLevelType w:val="hybridMultilevel"/>
    <w:lvl w:ilvl="0">
      <w:lvlJc w:val="left"/>
      <w:lvlText w:val="(%1)"/>
      <w:numFmt w:val="lowerLetter"/>
      <w:start w:val="1"/>
    </w:lvl>
  </w:abstractNum>
  <w:abstractNum w:abstractNumId="346">
    <w:nsid w:val="5B0DAD2A"/>
    <w:multiLevelType w:val="hybridMultilevel"/>
    <w:lvl w:ilvl="0">
      <w:lvlJc w:val="left"/>
      <w:lvlText w:val="(%1)"/>
      <w:numFmt w:val="lowerLetter"/>
      <w:start w:val="6"/>
    </w:lvl>
  </w:abstractNum>
  <w:abstractNum w:abstractNumId="347">
    <w:nsid w:val="4E3D26AB"/>
    <w:multiLevelType w:val="hybridMultilevel"/>
    <w:lvl w:ilvl="0">
      <w:lvlJc w:val="left"/>
      <w:lvlText w:val="(%1)"/>
      <w:numFmt w:val="lowerLetter"/>
      <w:start w:val="1"/>
    </w:lvl>
  </w:abstractNum>
  <w:abstractNum w:abstractNumId="348">
    <w:nsid w:val="BE2C8BA"/>
    <w:multiLevelType w:val="hybridMultilevel"/>
    <w:lvl w:ilvl="0">
      <w:lvlJc w:val="left"/>
      <w:lvlText w:val="(%1)"/>
      <w:numFmt w:val="lowerLetter"/>
      <w:start w:val="1"/>
    </w:lvl>
  </w:abstractNum>
  <w:abstractNum w:abstractNumId="349">
    <w:nsid w:val="7B14914E"/>
    <w:multiLevelType w:val="hybridMultilevel"/>
    <w:lvl w:ilvl="0">
      <w:lvlJc w:val="left"/>
      <w:lvlText w:val="(%1)"/>
      <w:numFmt w:val="lowerLetter"/>
      <w:start w:val="1"/>
    </w:lvl>
  </w:abstractNum>
  <w:abstractNum w:abstractNumId="350">
    <w:nsid w:val="6F0939F8"/>
    <w:multiLevelType w:val="hybridMultilevel"/>
    <w:lvl w:ilvl="0">
      <w:lvlJc w:val="left"/>
      <w:lvlText w:val="(%1)"/>
      <w:numFmt w:val="lowerLetter"/>
      <w:start w:val="3"/>
    </w:lvl>
  </w:abstractNum>
  <w:abstractNum w:abstractNumId="351">
    <w:nsid w:val="154291F6"/>
    <w:multiLevelType w:val="hybridMultilevel"/>
    <w:lvl w:ilvl="0">
      <w:lvlJc w:val="left"/>
      <w:lvlText w:val="(%1)"/>
      <w:numFmt w:val="lowerLetter"/>
      <w:start w:val="1"/>
    </w:lvl>
  </w:abstractNum>
  <w:abstractNum w:abstractNumId="352">
    <w:nsid w:val="3CEBD7C7"/>
    <w:multiLevelType w:val="hybridMultilevel"/>
    <w:lvl w:ilvl="0">
      <w:lvlJc w:val="left"/>
      <w:lvlText w:val="(%1)"/>
      <w:numFmt w:val="lowerLetter"/>
      <w:start w:val="2"/>
    </w:lvl>
    <w:lvl w:ilvl="1">
      <w:lvlJc w:val="left"/>
      <w:lvlText w:val="(%2)"/>
      <w:numFmt w:val="lowerRoman"/>
      <w:start w:val="1"/>
    </w:lvl>
  </w:abstractNum>
  <w:abstractNum w:abstractNumId="353">
    <w:nsid w:val="60EE9C16"/>
    <w:multiLevelType w:val="hybridMultilevel"/>
    <w:lvl w:ilvl="0">
      <w:lvlJc w:val="left"/>
      <w:lvlText w:val="(%1)"/>
      <w:numFmt w:val="lowerLetter"/>
      <w:start w:val="1"/>
    </w:lvl>
  </w:abstractNum>
  <w:abstractNum w:abstractNumId="354">
    <w:nsid w:val="6385489E"/>
    <w:multiLevelType w:val="hybridMultilevel"/>
    <w:lvl w:ilvl="0">
      <w:lvlJc w:val="left"/>
      <w:lvlText w:val="(%1)"/>
      <w:numFmt w:val="lowerLetter"/>
      <w:start w:val="1"/>
    </w:lvl>
  </w:abstractNum>
  <w:abstractNum w:abstractNumId="355">
    <w:nsid w:val="E4B973"/>
    <w:multiLevelType w:val="hybridMultilevel"/>
    <w:lvl w:ilvl="0">
      <w:lvlJc w:val="left"/>
      <w:lvlText w:val="(%1)"/>
      <w:numFmt w:val="lowerLetter"/>
      <w:start w:val="1"/>
    </w:lvl>
  </w:abstractNum>
  <w:abstractNum w:abstractNumId="356">
    <w:nsid w:val="4A0FFA11"/>
    <w:multiLevelType w:val="hybridMultilevel"/>
    <w:lvl w:ilvl="0">
      <w:lvlJc w:val="left"/>
      <w:lvlText w:val="(%1)"/>
      <w:numFmt w:val="lowerLetter"/>
      <w:start w:val="3"/>
    </w:lvl>
  </w:abstractNum>
  <w:abstractNum w:abstractNumId="357">
    <w:nsid w:val="5E446208"/>
    <w:multiLevelType w:val="hybridMultilevel"/>
    <w:lvl w:ilvl="0">
      <w:lvlJc w:val="left"/>
      <w:lvlText w:val="(%1)"/>
      <w:numFmt w:val="lowerLetter"/>
      <w:start w:val="1"/>
    </w:lvl>
  </w:abstractNum>
  <w:abstractNum w:abstractNumId="358">
    <w:nsid w:val="5F3272DB"/>
    <w:multiLevelType w:val="hybridMultilevel"/>
    <w:lvl w:ilvl="0">
      <w:lvlJc w:val="left"/>
      <w:lvlText w:val="(%1)"/>
      <w:numFmt w:val="lowerLetter"/>
      <w:start w:val="5"/>
    </w:lvl>
  </w:abstractNum>
  <w:abstractNum w:abstractNumId="359">
    <w:nsid w:val="7616D704"/>
    <w:multiLevelType w:val="hybridMultilevel"/>
    <w:lvl w:ilvl="0">
      <w:lvlJc w:val="left"/>
      <w:lvlText w:val="(%1)"/>
      <w:numFmt w:val="lowerLetter"/>
      <w:start w:val="1"/>
    </w:lvl>
  </w:abstractNum>
  <w:abstractNum w:abstractNumId="360">
    <w:nsid w:val="C56F860"/>
    <w:multiLevelType w:val="hybridMultilevel"/>
    <w:lvl w:ilvl="0">
      <w:lvlJc w:val="left"/>
      <w:lvlText w:val="(%1)"/>
      <w:numFmt w:val="lowerLetter"/>
      <w:start w:val="1"/>
    </w:lvl>
  </w:abstractNum>
  <w:abstractNum w:abstractNumId="361">
    <w:nsid w:val="64D17722"/>
    <w:multiLevelType w:val="hybridMultilevel"/>
    <w:lvl w:ilvl="0">
      <w:lvlJc w:val="left"/>
      <w:lvlText w:val="(%1)"/>
      <w:numFmt w:val="lowerLetter"/>
      <w:start w:val="1"/>
    </w:lvl>
  </w:abstractNum>
  <w:abstractNum w:abstractNumId="362">
    <w:nsid w:val="7924CA0A"/>
    <w:multiLevelType w:val="hybridMultilevel"/>
    <w:lvl w:ilvl="0">
      <w:lvlJc w:val="left"/>
      <w:lvlText w:val="(%1)"/>
      <w:numFmt w:val="lowerLetter"/>
      <w:start w:val="5"/>
    </w:lvl>
  </w:abstractNum>
  <w:abstractNum w:abstractNumId="363">
    <w:nsid w:val="CFD4EA7"/>
    <w:multiLevelType w:val="hybridMultilevel"/>
    <w:lvl w:ilvl="0">
      <w:lvlJc w:val="left"/>
      <w:lvlText w:val="(%1)"/>
      <w:numFmt w:val="lowerLetter"/>
      <w:start w:val="1"/>
    </w:lvl>
  </w:abstractNum>
  <w:abstractNum w:abstractNumId="364">
    <w:nsid w:val="232FCF4D"/>
    <w:multiLevelType w:val="hybridMultilevel"/>
    <w:lvl w:ilvl="0">
      <w:lvlJc w:val="left"/>
      <w:lvlText w:val="(%1)"/>
      <w:numFmt w:val="lowerLetter"/>
      <w:start w:val="2"/>
    </w:lvl>
    <w:lvl w:ilvl="1">
      <w:lvlJc w:val="left"/>
      <w:lvlText w:val="(%2)"/>
      <w:numFmt w:val="lowerRoman"/>
      <w:start w:val="1"/>
    </w:lvl>
  </w:abstractNum>
  <w:abstractNum w:abstractNumId="365">
    <w:nsid w:val="1EA21031"/>
    <w:multiLevelType w:val="hybridMultilevel"/>
    <w:lvl w:ilvl="0">
      <w:lvlJc w:val="left"/>
      <w:lvlText w:val="(%1)"/>
      <w:numFmt w:val="lowerLetter"/>
      <w:start w:val="3"/>
    </w:lvl>
  </w:abstractNum>
  <w:abstractNum w:abstractNumId="366">
    <w:nsid w:val="67A5A6B5"/>
    <w:multiLevelType w:val="hybridMultilevel"/>
    <w:lvl w:ilvl="0">
      <w:lvlJc w:val="left"/>
      <w:lvlText w:val="(%1)"/>
      <w:numFmt w:val="lowerLetter"/>
      <w:start w:val="4"/>
    </w:lvl>
  </w:abstractNum>
  <w:abstractNum w:abstractNumId="367">
    <w:nsid w:val="C2A5C5B"/>
    <w:multiLevelType w:val="hybridMultilevel"/>
    <w:lvl w:ilvl="0">
      <w:lvlJc w:val="left"/>
      <w:lvlText w:val="(%1)"/>
      <w:numFmt w:val="lowerLetter"/>
      <w:start w:val="1"/>
    </w:lvl>
  </w:abstractNum>
  <w:abstractNum w:abstractNumId="368">
    <w:nsid w:val="5F94DC03"/>
    <w:multiLevelType w:val="hybridMultilevel"/>
    <w:lvl w:ilvl="0">
      <w:lvlJc w:val="left"/>
      <w:lvlText w:val="(%1)"/>
      <w:numFmt w:val="lowerLetter"/>
      <w:start w:val="1"/>
    </w:lvl>
  </w:abstractNum>
  <w:abstractNum w:abstractNumId="369">
    <w:nsid w:val="237BBCA0"/>
    <w:multiLevelType w:val="hybridMultilevel"/>
    <w:lvl w:ilvl="0">
      <w:lvlJc w:val="left"/>
      <w:lvlText w:val="(%1)"/>
      <w:numFmt w:val="lowerLetter"/>
      <w:start w:val="1"/>
    </w:lvl>
  </w:abstractNum>
  <w:abstractNum w:abstractNumId="370">
    <w:nsid w:val="162EB70D"/>
    <w:multiLevelType w:val="hybridMultilevel"/>
    <w:lvl w:ilvl="0">
      <w:lvlJc w:val="left"/>
      <w:lvlText w:val="(%1)"/>
      <w:numFmt w:val="lowerLetter"/>
      <w:start w:val="3"/>
    </w:lvl>
  </w:abstractNum>
  <w:abstractNum w:abstractNumId="371">
    <w:nsid w:val="78070222"/>
    <w:multiLevelType w:val="hybridMultilevel"/>
    <w:lvl w:ilvl="0">
      <w:lvlJc w:val="left"/>
      <w:lvlText w:val="(%1)"/>
      <w:numFmt w:val="lowerLetter"/>
      <w:start w:val="1"/>
    </w:lvl>
  </w:abstractNum>
  <w:abstractNum w:abstractNumId="372">
    <w:nsid w:val="6163ED0D"/>
    <w:multiLevelType w:val="hybridMultilevel"/>
    <w:lvl w:ilvl="0">
      <w:lvlJc w:val="left"/>
      <w:lvlText w:val="[**]"/>
      <w:numFmt w:val="bullet"/>
      <w:start w:val="1"/>
    </w:lvl>
    <w:lvl w:ilvl="1">
      <w:lvlJc w:val="left"/>
      <w:lvlText w:val="(%2)"/>
      <w:numFmt w:val="lowerLetter"/>
      <w:start w:val="2"/>
    </w:lvl>
  </w:abstractNum>
  <w:abstractNum w:abstractNumId="373">
    <w:nsid w:val="C600E47"/>
    <w:multiLevelType w:val="hybridMultilevel"/>
    <w:lvl w:ilvl="0">
      <w:lvlJc w:val="left"/>
      <w:lvlText w:val="[**]"/>
      <w:numFmt w:val="bullet"/>
      <w:start w:val="1"/>
    </w:lvl>
    <w:lvl w:ilvl="1">
      <w:lvlJc w:val="left"/>
      <w:lvlText w:val="(%2)"/>
      <w:numFmt w:val="lowerLetter"/>
      <w:start w:val="3"/>
    </w:lvl>
  </w:abstractNum>
  <w:abstractNum w:abstractNumId="374">
    <w:nsid w:val="7D94F75D"/>
    <w:multiLevelType w:val="hybridMultilevel"/>
    <w:lvl w:ilvl="0">
      <w:lvlJc w:val="left"/>
      <w:lvlText w:val="(%1)"/>
      <w:numFmt w:val="lowerLetter"/>
      <w:start w:val="6"/>
    </w:lvl>
  </w:abstractNum>
  <w:abstractNum w:abstractNumId="375">
    <w:nsid w:val="6C31E7CD"/>
    <w:multiLevelType w:val="hybridMultilevel"/>
    <w:lvl w:ilvl="0">
      <w:lvlJc w:val="left"/>
      <w:lvlText w:val="(%1)"/>
      <w:numFmt w:val="lowerLetter"/>
      <w:start w:val="1"/>
    </w:lvl>
  </w:abstractNum>
  <w:abstractNum w:abstractNumId="376">
    <w:nsid w:val="2BB7929B"/>
    <w:multiLevelType w:val="hybridMultilevel"/>
    <w:lvl w:ilvl="0">
      <w:lvlJc w:val="left"/>
      <w:lvlText w:val="(%1)"/>
      <w:numFmt w:val="lowerLetter"/>
      <w:start w:val="2"/>
    </w:lvl>
  </w:abstractNum>
  <w:abstractNum w:abstractNumId="377">
    <w:nsid w:val="58A2A487"/>
    <w:multiLevelType w:val="hybridMultilevel"/>
    <w:lvl w:ilvl="0">
      <w:lvlJc w:val="left"/>
      <w:lvlText w:val="%1"/>
      <w:numFmt w:val="lowerLetter"/>
      <w:start w:val="1"/>
    </w:lvl>
    <w:lvl w:ilvl="1">
      <w:lvlJc w:val="left"/>
      <w:lvlText w:val="(%2)"/>
      <w:numFmt w:val="lowerLetter"/>
      <w:start w:val="1"/>
    </w:lvl>
  </w:abstractNum>
  <w:abstractNum w:abstractNumId="378">
    <w:nsid w:val="3A6F0E78"/>
    <w:multiLevelType w:val="hybridMultilevel"/>
    <w:lvl w:ilvl="0">
      <w:lvlJc w:val="left"/>
      <w:lvlText w:val="(%1)"/>
      <w:numFmt w:val="lowerLetter"/>
      <w:start w:val="61"/>
    </w:lvl>
    <w:lvl w:ilvl="1">
      <w:lvlJc w:val="left"/>
      <w:lvlText w:val="(%2)"/>
      <w:numFmt w:val="lowerLetter"/>
      <w:start w:val="2"/>
    </w:lvl>
  </w:abstractNum>
  <w:abstractNum w:abstractNumId="379">
    <w:nsid w:val="379A5B56"/>
    <w:multiLevelType w:val="hybridMultilevel"/>
    <w:lvl w:ilvl="0">
      <w:lvlJc w:val="left"/>
      <w:lvlText w:val="(%1)"/>
      <w:numFmt w:val="decimal"/>
      <w:start w:val="10"/>
    </w:lvl>
  </w:abstractNum>
  <w:abstractNum w:abstractNumId="380">
    <w:nsid w:val="53B735D5"/>
    <w:multiLevelType w:val="hybridMultilevel"/>
    <w:lvl w:ilvl="0">
      <w:lvlJc w:val="left"/>
      <w:lvlText w:val="(%1)"/>
      <w:numFmt w:val="lowerRoman"/>
      <w:start w:val="2"/>
    </w:lvl>
  </w:abstractNum>
  <w:abstractNum w:abstractNumId="381">
    <w:nsid w:val="29784870"/>
    <w:multiLevelType w:val="hybridMultilevel"/>
    <w:lvl w:ilvl="0">
      <w:lvlJc w:val="left"/>
      <w:lvlText w:val="(%1)"/>
      <w:numFmt w:val="lowerLetter"/>
      <w:start w:val="1"/>
    </w:lvl>
  </w:abstractNum>
  <w:abstractNum w:abstractNumId="382">
    <w:nsid w:val="4CDCED4C"/>
    <w:multiLevelType w:val="hybridMultilevel"/>
    <w:lvl w:ilvl="0">
      <w:lvlJc w:val="left"/>
      <w:lvlText w:val="(%1)"/>
      <w:numFmt w:val="decimal"/>
      <w:start w:val="10"/>
    </w:lvl>
  </w:abstractNum>
  <w:abstractNum w:abstractNumId="383">
    <w:nsid w:val="10A30D9C"/>
    <w:multiLevelType w:val="hybridMultilevel"/>
    <w:lvl w:ilvl="0">
      <w:lvlJc w:val="left"/>
      <w:lvlText w:val="(%1)"/>
      <w:numFmt w:val="decimal"/>
      <w:start w:val="10"/>
    </w:lvl>
  </w:abstractNum>
  <w:abstractNum w:abstractNumId="384">
    <w:nsid w:val="A66E486"/>
    <w:multiLevelType w:val="hybridMultilevel"/>
    <w:lvl w:ilvl="0">
      <w:lvlJc w:val="left"/>
      <w:lvlText w:val="(%1)"/>
      <w:numFmt w:val="lowerLetter"/>
      <w:start w:val="1"/>
    </w:lvl>
  </w:abstractNum>
  <w:abstractNum w:abstractNumId="385">
    <w:nsid w:val="306235EA"/>
    <w:multiLevelType w:val="hybridMultilevel"/>
    <w:lvl w:ilvl="0">
      <w:lvlJc w:val="left"/>
      <w:lvlText w:val="(%1)"/>
      <w:numFmt w:val="lowerLetter"/>
      <w:start w:val="1"/>
    </w:lvl>
  </w:abstractNum>
  <w:abstractNum w:abstractNumId="386">
    <w:nsid w:val="1187C70F"/>
    <w:multiLevelType w:val="hybridMultilevel"/>
    <w:lvl w:ilvl="0">
      <w:lvlJc w:val="left"/>
      <w:lvlText w:val="(%1)"/>
      <w:numFmt w:val="lowerLetter"/>
      <w:start w:val="1"/>
    </w:lvl>
  </w:abstractNum>
  <w:abstractNum w:abstractNumId="387">
    <w:nsid w:val="5476DE98"/>
    <w:multiLevelType w:val="hybridMultilevel"/>
    <w:lvl w:ilvl="0">
      <w:lvlJc w:val="left"/>
      <w:lvlText w:val="(%1)"/>
      <w:numFmt w:val="lowerLetter"/>
      <w:start w:val="4"/>
    </w:lvl>
  </w:abstractNum>
  <w:abstractNum w:abstractNumId="388">
    <w:nsid w:val="EA697F2"/>
    <w:multiLevelType w:val="hybridMultilevel"/>
    <w:lvl w:ilvl="0">
      <w:lvlJc w:val="left"/>
      <w:lvlText w:val="(%1)"/>
      <w:numFmt w:val="lowerLetter"/>
      <w:start w:val="14"/>
    </w:lvl>
  </w:abstractNum>
  <w:abstractNum w:abstractNumId="389">
    <w:nsid w:val="70BA39EB"/>
    <w:multiLevelType w:val="hybridMultilevel"/>
    <w:lvl w:ilvl="0">
      <w:lvlJc w:val="left"/>
      <w:lvlText w:val="(%1)"/>
      <w:numFmt w:val="lowerLetter"/>
      <w:start w:val="15"/>
    </w:lvl>
  </w:abstractNum>
  <w:abstractNum w:abstractNumId="390">
    <w:nsid w:val="4A8DB59C"/>
    <w:multiLevelType w:val="hybridMultilevel"/>
    <w:lvl w:ilvl="0">
      <w:lvlJc w:val="left"/>
      <w:lvlText w:val="(%1)"/>
      <w:numFmt w:val="lowerLetter"/>
      <w:start w:val="19"/>
    </w:lvl>
  </w:abstractNum>
  <w:abstractNum w:abstractNumId="391">
    <w:nsid w:val="1AFD9053"/>
    <w:multiLevelType w:val="hybridMultilevel"/>
    <w:lvl w:ilvl="0">
      <w:lvlJc w:val="left"/>
      <w:lvlText w:val="(%1)"/>
      <w:numFmt w:val="decimal"/>
      <w:start w:val="6"/>
    </w:lvl>
  </w:abstractNum>
  <w:abstractNum w:abstractNumId="392">
    <w:nsid w:val="558BB10D"/>
    <w:multiLevelType w:val="hybridMultilevel"/>
    <w:lvl w:ilvl="0">
      <w:lvlJc w:val="left"/>
      <w:lvlText w:val="(%1)"/>
      <w:numFmt w:val="decimal"/>
      <w:start w:val="6"/>
    </w:lvl>
  </w:abstractNum>
  <w:abstractNum w:abstractNumId="393">
    <w:nsid w:val="43B27FA7"/>
    <w:multiLevelType w:val="hybridMultilevel"/>
    <w:lvl w:ilvl="0">
      <w:lvlJc w:val="left"/>
      <w:lvlText w:val="(%1)"/>
      <w:numFmt w:val="lowerRoman"/>
      <w:start w:val="1"/>
    </w:lvl>
  </w:abstractNum>
  <w:abstractNum w:abstractNumId="394">
    <w:nsid w:val="27FADEFA"/>
    <w:multiLevelType w:val="hybridMultilevel"/>
    <w:lvl w:ilvl="0">
      <w:lvlJc w:val="left"/>
      <w:lvlText w:val="(%1)"/>
      <w:numFmt w:val="lowerLetter"/>
      <w:start w:val="1"/>
    </w:lvl>
  </w:abstractNum>
  <w:abstractNum w:abstractNumId="395">
    <w:nsid w:val="78BB805A"/>
    <w:multiLevelType w:val="hybridMultilevel"/>
    <w:lvl w:ilvl="0">
      <w:lvlJc w:val="left"/>
      <w:lvlText w:val="(%1)"/>
      <w:numFmt w:val="lowerLetter"/>
      <w:start w:val="2"/>
    </w:lvl>
  </w:abstractNum>
  <w:abstractNum w:abstractNumId="396">
    <w:nsid w:val="62548FD8"/>
    <w:multiLevelType w:val="hybridMultilevel"/>
    <w:lvl w:ilvl="0">
      <w:lvlJc w:val="left"/>
      <w:lvlText w:val="(%1)"/>
      <w:numFmt w:val="lowerLetter"/>
      <w:start w:val="1"/>
    </w:lvl>
  </w:abstractNum>
  <w:abstractNum w:abstractNumId="397">
    <w:nsid w:val="FA085B0"/>
    <w:multiLevelType w:val="hybridMultilevel"/>
    <w:lvl w:ilvl="0">
      <w:lvlJc w:val="left"/>
      <w:lvlText w:val="(%1)"/>
      <w:numFmt w:val="lowerLetter"/>
      <w:start w:val="1"/>
    </w:lvl>
  </w:abstractNum>
  <w:abstractNum w:abstractNumId="398">
    <w:nsid w:val="4E5DCB5"/>
    <w:multiLevelType w:val="hybridMultilevel"/>
    <w:lvl w:ilvl="0">
      <w:lvlJc w:val="left"/>
      <w:lvlText w:val="(%1)"/>
      <w:numFmt w:val="lowerRoman"/>
      <w:start w:val="3"/>
    </w:lvl>
  </w:abstractNum>
  <w:abstractNum w:abstractNumId="399">
    <w:nsid w:val="41E96BDB"/>
    <w:multiLevelType w:val="hybridMultilevel"/>
    <w:lvl w:ilvl="0">
      <w:lvlJc w:val="left"/>
      <w:lvlText w:val="(%1)"/>
      <w:numFmt w:val="lowerLetter"/>
      <w:start w:val="1"/>
    </w:lvl>
  </w:abstractNum>
  <w:abstractNum w:abstractNumId="400">
    <w:nsid w:val="331C4250"/>
    <w:multiLevelType w:val="hybridMultilevel"/>
    <w:lvl w:ilvl="0">
      <w:lvlJc w:val="left"/>
      <w:lvlText w:val="(%1)"/>
      <w:numFmt w:val="decimal"/>
      <w:start w:val="1"/>
    </w:lvl>
  </w:abstractNum>
  <w:abstractNum w:abstractNumId="401">
    <w:nsid w:val="1B1493C2"/>
    <w:multiLevelType w:val="hybridMultilevel"/>
    <w:lvl w:ilvl="0">
      <w:lvlJc w:val="left"/>
      <w:lvlText w:val="(%1)"/>
      <w:numFmt w:val="lowerLetter"/>
      <w:start w:val="1"/>
    </w:lvl>
  </w:abstractNum>
  <w:abstractNum w:abstractNumId="402">
    <w:nsid w:val="39F06DFD"/>
    <w:multiLevelType w:val="hybridMultilevel"/>
    <w:lvl w:ilvl="0">
      <w:lvlJc w:val="left"/>
      <w:lvlText w:val="(%1)"/>
      <w:numFmt w:val="lowerLetter"/>
      <w:start w:val="2"/>
    </w:lvl>
  </w:abstractNum>
  <w:abstractNum w:abstractNumId="403">
    <w:nsid w:val="14802F5D"/>
    <w:multiLevelType w:val="hybridMultilevel"/>
    <w:lvl w:ilvl="0">
      <w:lvlJc w:val="left"/>
      <w:lvlText w:val="%1"/>
      <w:numFmt w:val="lowerLetter"/>
      <w:start w:val="1"/>
    </w:lvl>
    <w:lvl w:ilvl="1">
      <w:lvlJc w:val="left"/>
      <w:lvlText w:val="(%2)"/>
      <w:numFmt w:val="lowerLetter"/>
      <w:start w:val="1"/>
    </w:lvl>
  </w:abstractNum>
  <w:abstractNum w:abstractNumId="404">
    <w:nsid w:val="2774A209"/>
    <w:multiLevelType w:val="hybridMultilevel"/>
    <w:lvl w:ilvl="0">
      <w:lvlJc w:val="left"/>
      <w:lvlText w:val="(%1)"/>
      <w:numFmt w:val="lowerLetter"/>
      <w:start w:val="2"/>
    </w:lvl>
    <w:lvl w:ilvl="1">
      <w:lvlJc w:val="left"/>
      <w:lvlText w:val="%2"/>
      <w:numFmt w:val="lowerLetter"/>
      <w:start w:val="1"/>
    </w:lvl>
  </w:abstractNum>
  <w:abstractNum w:abstractNumId="405">
    <w:nsid w:val="3785655A"/>
    <w:multiLevelType w:val="hybridMultilevel"/>
    <w:lvl w:ilvl="0">
      <w:lvlJc w:val="left"/>
      <w:lvlText w:val="(%1)"/>
      <w:numFmt w:val="lowerLetter"/>
      <w:start w:val="2"/>
    </w:lvl>
  </w:abstractNum>
  <w:abstractNum w:abstractNumId="406">
    <w:nsid w:val="B2172A"/>
    <w:multiLevelType w:val="hybridMultilevel"/>
    <w:lvl w:ilvl="0">
      <w:lvlJc w:val="left"/>
      <w:lvlText w:val="(%1)"/>
      <w:numFmt w:val="lowerLetter"/>
      <w:start w:val="3"/>
    </w:lvl>
  </w:abstractNum>
  <w:abstractNum w:abstractNumId="407">
    <w:nsid w:val="532C34A5"/>
    <w:multiLevelType w:val="hybridMultilevel"/>
    <w:lvl w:ilvl="0">
      <w:lvlJc w:val="left"/>
      <w:lvlText w:val="(%1)"/>
      <w:numFmt w:val="lowerRoman"/>
      <w:start w:val="1"/>
    </w:lvl>
  </w:abstractNum>
  <w:abstractNum w:abstractNumId="408">
    <w:nsid w:val="102809E2"/>
    <w:multiLevelType w:val="hybridMultilevel"/>
    <w:lvl w:ilvl="0">
      <w:lvlJc w:val="left"/>
      <w:lvlText w:val="·"/>
      <w:numFmt w:val="bullet"/>
      <w:start w:val="1"/>
    </w:lvl>
  </w:abstractNum>
  <w:abstractNum w:abstractNumId="409">
    <w:nsid w:val="3B2125A3"/>
    <w:multiLevelType w:val="hybridMultilevel"/>
    <w:lvl w:ilvl="0">
      <w:lvlJc w:val="left"/>
      <w:lvlText w:val="·"/>
      <w:numFmt w:val="bullet"/>
      <w:start w:val="1"/>
    </w:lvl>
  </w:abstractNum>
  <w:abstractNum w:abstractNumId="410">
    <w:nsid w:val="AC68FFB"/>
    <w:multiLevelType w:val="hybridMultilevel"/>
    <w:lvl w:ilvl="0">
      <w:lvlJc w:val="left"/>
      <w:lvlText w:val="(%1)"/>
      <w:numFmt w:val="lowerLetter"/>
      <w:start w:val="1"/>
    </w:lvl>
  </w:abstractNum>
  <w:abstractNum w:abstractNumId="411">
    <w:nsid w:val="63DF3FB7"/>
    <w:multiLevelType w:val="hybridMultilevel"/>
    <w:lvl w:ilvl="0">
      <w:lvlJc w:val="left"/>
      <w:lvlText w:val="(%1)"/>
      <w:numFmt w:val="lowerLetter"/>
      <w:start w:val="2"/>
    </w:lvl>
  </w:abstractNum>
  <w:abstractNum w:abstractNumId="412">
    <w:nsid w:val="64996E13"/>
    <w:multiLevelType w:val="hybridMultilevel"/>
    <w:lvl w:ilvl="0">
      <w:lvlJc w:val="left"/>
      <w:lvlText w:val="(%1)"/>
      <w:numFmt w:val="lowerLetter"/>
      <w:start w:val="9"/>
    </w:lvl>
  </w:abstractNum>
  <w:abstractNum w:abstractNumId="413">
    <w:nsid w:val="57A37D47"/>
    <w:multiLevelType w:val="hybridMultilevel"/>
    <w:lvl w:ilvl="0">
      <w:lvlJc w:val="left"/>
      <w:lvlText w:val="(%1)"/>
      <w:numFmt w:val="lowerLetter"/>
      <w:start w:val="4"/>
    </w:lvl>
  </w:abstractNum>
  <w:abstractNum w:abstractNumId="414">
    <w:nsid w:val="74824D54"/>
    <w:multiLevelType w:val="hybridMultilevel"/>
    <w:lvl w:ilvl="0">
      <w:lvlJc w:val="left"/>
      <w:lvlText w:val="(%1)"/>
      <w:numFmt w:val="lowerLetter"/>
      <w:start w:val="5"/>
    </w:lvl>
  </w:abstractNum>
  <w:abstractNum w:abstractNumId="415">
    <w:nsid w:val="6F00529A"/>
    <w:multiLevelType w:val="hybridMultilevel"/>
    <w:lvl w:ilvl="0">
      <w:lvlJc w:val="left"/>
      <w:lvlText w:val="(%1)"/>
      <w:numFmt w:val="decimal"/>
      <w:start w:val="6"/>
    </w:lvl>
  </w:abstractNum>
  <w:abstractNum w:abstractNumId="416">
    <w:nsid w:val="805B331"/>
    <w:multiLevelType w:val="hybridMultilevel"/>
    <w:lvl w:ilvl="0">
      <w:lvlJc w:val="left"/>
      <w:lvlText w:val="·"/>
      <w:numFmt w:val="bullet"/>
      <w:start w:val="1"/>
    </w:lvl>
  </w:abstractNum>
  <w:abstractNum w:abstractNumId="417">
    <w:nsid w:val="60A1463"/>
    <w:multiLevelType w:val="hybridMultilevel"/>
    <w:lvl w:ilvl="0">
      <w:lvlJc w:val="left"/>
      <w:lvlText w:val="(%1)"/>
      <w:numFmt w:val="lowerRoman"/>
      <w:start w:val="1"/>
    </w:lvl>
  </w:abstractNum>
  <w:abstractNum w:abstractNumId="418">
    <w:nsid w:val="43773132"/>
    <w:multiLevelType w:val="hybridMultilevel"/>
    <w:lvl w:ilvl="0">
      <w:lvlJc w:val="left"/>
      <w:lvlText w:val="(%1)"/>
      <w:numFmt w:val="lowerRoman"/>
      <w:start w:val="4"/>
    </w:lvl>
  </w:abstractNum>
  <w:abstractNum w:abstractNumId="419">
    <w:nsid w:val="16AC4B23"/>
    <w:multiLevelType w:val="hybridMultilevel"/>
    <w:lvl w:ilvl="0">
      <w:lvlJc w:val="left"/>
      <w:lvlText w:val="(%1)"/>
      <w:numFmt w:val="lowerLetter"/>
      <w:start w:val="1"/>
    </w:lvl>
    <w:lvl w:ilvl="1">
      <w:lvlJc w:val="left"/>
      <w:lvlText w:val="%2."/>
      <w:numFmt w:val="lowerRoman"/>
      <w:start w:val="1"/>
    </w:lvl>
  </w:abstractNum>
  <w:abstractNum w:abstractNumId="420">
    <w:nsid w:val="76C44E4E"/>
    <w:multiLevelType w:val="hybridMultilevel"/>
    <w:lvl w:ilvl="0">
      <w:lvlJc w:val="left"/>
      <w:lvlText w:val="%1."/>
      <w:numFmt w:val="lowerRoman"/>
      <w:start w:val="2"/>
    </w:lvl>
  </w:abstractNum>
  <w:abstractNum w:abstractNumId="421">
    <w:nsid w:val="E04E6CE"/>
    <w:multiLevelType w:val="hybridMultilevel"/>
    <w:lvl w:ilvl="0">
      <w:lvlJc w:val="left"/>
      <w:lvlText w:val="(%1)"/>
      <w:numFmt w:val="upperLetter"/>
      <w:start w:val="1"/>
    </w:lvl>
  </w:abstractNum>
  <w:abstractNum w:abstractNumId="422">
    <w:nsid w:val="31A9DB76"/>
    <w:multiLevelType w:val="hybridMultilevel"/>
    <w:lvl w:ilvl="0">
      <w:lvlJc w:val="left"/>
      <w:lvlText w:val="(%1)"/>
      <w:numFmt w:val="lowerLetter"/>
      <w:start w:val="3"/>
    </w:lvl>
  </w:abstractNum>
  <w:abstractNum w:abstractNumId="423">
    <w:nsid w:val="4C4FFF5B"/>
    <w:multiLevelType w:val="hybridMultilevel"/>
    <w:lvl w:ilvl="0">
      <w:lvlJc w:val="left"/>
      <w:lvlText w:val="(%1)"/>
      <w:numFmt w:val="lowerLetter"/>
      <w:start w:val="8"/>
    </w:lvl>
  </w:abstractNum>
  <w:abstractNum w:abstractNumId="424">
    <w:nsid w:val="51B76675"/>
    <w:multiLevelType w:val="hybridMultilevel"/>
    <w:lvl w:ilvl="0">
      <w:lvlJc w:val="left"/>
      <w:lvlText w:val="(%1)"/>
      <w:numFmt w:val="lowerLetter"/>
      <w:start w:val="1"/>
    </w:lvl>
    <w:lvl w:ilvl="1">
      <w:lvlJc w:val="left"/>
      <w:lvlText w:val="%2."/>
      <w:numFmt w:val="lowerRoman"/>
      <w:start w:val="1"/>
    </w:lvl>
  </w:abstractNum>
  <w:abstractNum w:abstractNumId="425">
    <w:nsid w:val="59A4BA71"/>
    <w:multiLevelType w:val="hybridMultilevel"/>
    <w:lvl w:ilvl="0">
      <w:lvlJc w:val="left"/>
      <w:lvlText w:val="%1."/>
      <w:numFmt w:val="lowerRoman"/>
      <w:start w:val="2"/>
    </w:lvl>
  </w:abstractNum>
  <w:abstractNum w:abstractNumId="426">
    <w:nsid w:val="450B7FB6"/>
    <w:multiLevelType w:val="hybridMultilevel"/>
    <w:lvl w:ilvl="0">
      <w:lvlJc w:val="left"/>
      <w:lvlText w:val="(%1)"/>
      <w:numFmt w:val="lowerLetter"/>
      <w:start w:val="1"/>
    </w:lvl>
  </w:abstractNum>
  <w:abstractNum w:abstractNumId="427">
    <w:nsid w:val="340BF64D"/>
    <w:multiLevelType w:val="hybridMultilevel"/>
    <w:lvl w:ilvl="0">
      <w:lvlJc w:val="left"/>
      <w:lvlText w:val="(%1)"/>
      <w:numFmt w:val="lowerLetter"/>
      <w:start w:val="1"/>
    </w:lvl>
  </w:abstractNum>
  <w:abstractNum w:abstractNumId="428">
    <w:nsid w:val="69454021"/>
    <w:multiLevelType w:val="hybridMultilevel"/>
    <w:lvl w:ilvl="0">
      <w:lvlJc w:val="left"/>
      <w:lvlText w:val="%1"/>
      <w:numFmt w:val="decimal"/>
      <w:start w:val="1"/>
    </w:lvl>
    <w:lvl w:ilvl="1">
      <w:lvlJc w:val="left"/>
      <w:lvlText w:val="(%2)"/>
      <w:numFmt w:val="lowerLetter"/>
      <w:start w:val="1"/>
    </w:lvl>
  </w:abstractNum>
  <w:abstractNum w:abstractNumId="429">
    <w:nsid w:val="49F15C6B"/>
    <w:multiLevelType w:val="hybridMultilevel"/>
    <w:lvl w:ilvl="0">
      <w:lvlJc w:val="left"/>
      <w:lvlText w:val="(%1)"/>
      <w:numFmt w:val="decimal"/>
      <w:start w:val="10"/>
    </w:lvl>
    <w:lvl w:ilvl="1">
      <w:lvlJc w:val="left"/>
      <w:lvlText w:val="(%2)"/>
      <w:numFmt w:val="lowerLetter"/>
      <w:start w:val="2"/>
    </w:lvl>
  </w:abstractNum>
  <w:abstractNum w:abstractNumId="430">
    <w:nsid w:val="75F56228"/>
    <w:multiLevelType w:val="hybridMultilevel"/>
    <w:lvl w:ilvl="0">
      <w:lvlJc w:val="left"/>
      <w:lvlText w:val="(%1)"/>
      <w:numFmt w:val="lowerLetter"/>
      <w:start w:val="1"/>
    </w:lvl>
  </w:abstractNum>
  <w:abstractNum w:abstractNumId="431">
    <w:nsid w:val="1C618271"/>
    <w:multiLevelType w:val="hybridMultilevel"/>
    <w:lvl w:ilvl="0">
      <w:lvlJc w:val="left"/>
      <w:lvlText w:val="(%1)"/>
      <w:numFmt w:val="lowerLetter"/>
      <w:start w:val="3"/>
    </w:lvl>
  </w:abstractNum>
  <w:abstractNum w:abstractNumId="432">
    <w:nsid w:val="6505F02E"/>
    <w:multiLevelType w:val="hybridMultilevel"/>
    <w:lvl w:ilvl="0">
      <w:lvlJc w:val="left"/>
      <w:lvlText w:val="(%1)"/>
      <w:numFmt w:val="lowerLetter"/>
      <w:start w:val="1"/>
    </w:lvl>
  </w:abstractNum>
  <w:abstractNum w:abstractNumId="433">
    <w:nsid w:val="2FE5D025"/>
    <w:multiLevelType w:val="hybridMultilevel"/>
    <w:lvl w:ilvl="0">
      <w:lvlJc w:val="left"/>
      <w:lvlText w:val="(%1)"/>
      <w:numFmt w:val="lowerRoman"/>
      <w:start w:val="6"/>
    </w:lvl>
    <w:lvl w:ilvl="1">
      <w:lvlJc w:val="left"/>
      <w:lvlText w:val="(%2)"/>
      <w:numFmt w:val="lowerLetter"/>
      <w:start w:val="2"/>
    </w:lvl>
  </w:abstractNum>
  <w:abstractNum w:abstractNumId="434">
    <w:nsid w:val="30E1B1CF"/>
    <w:multiLevelType w:val="hybridMultilevel"/>
    <w:lvl w:ilvl="0">
      <w:lvlJc w:val="left"/>
      <w:lvlText w:val="(%1)"/>
      <w:numFmt w:val="lowerLetter"/>
      <w:start w:val="5"/>
    </w:lvl>
  </w:abstractNum>
  <w:abstractNum w:abstractNumId="435">
    <w:nsid w:val="C7A9237"/>
    <w:multiLevelType w:val="hybridMultilevel"/>
    <w:lvl w:ilvl="0">
      <w:lvlJc w:val="left"/>
      <w:lvlText w:val="(%1)"/>
      <w:numFmt w:val="lowerLetter"/>
      <w:start w:val="1"/>
    </w:lvl>
  </w:abstractNum>
  <w:abstractNum w:abstractNumId="436">
    <w:nsid w:val="676B3580"/>
    <w:multiLevelType w:val="hybridMultilevel"/>
    <w:lvl w:ilvl="0">
      <w:lvlJc w:val="left"/>
      <w:lvlText w:val="(%1)"/>
      <w:numFmt w:val="lowerLetter"/>
      <w:start w:val="5"/>
    </w:lvl>
  </w:abstractNum>
  <w:abstractNum w:abstractNumId="437">
    <w:nsid w:val="3193C8F9"/>
    <w:multiLevelType w:val="hybridMultilevel"/>
    <w:lvl w:ilvl="0">
      <w:lvlJc w:val="left"/>
      <w:lvlText w:val="(%1)"/>
      <w:numFmt w:val="lowerLetter"/>
      <w:start w:val="1"/>
    </w:lvl>
  </w:abstractNum>
  <w:abstractNum w:abstractNumId="438">
    <w:nsid w:val="5FA6C6DC"/>
    <w:multiLevelType w:val="hybridMultilevel"/>
    <w:lvl w:ilvl="0">
      <w:lvlJc w:val="left"/>
      <w:lvlText w:val="(%1)"/>
      <w:numFmt w:val="lowerLetter"/>
      <w:start w:val="2"/>
    </w:lvl>
    <w:lvl w:ilvl="1">
      <w:lvlJc w:val="left"/>
      <w:lvlText w:val="(%2)"/>
      <w:numFmt w:val="lowerLetter"/>
      <w:start w:val="1"/>
    </w:lvl>
  </w:abstractNum>
  <w:abstractNum w:abstractNumId="439">
    <w:nsid w:val="77933F6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jpe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jpeg"/><Relationship Id="rId726" Type="http://schemas.openxmlformats.org/officeDocument/2006/relationships/image" Target="media/image719.png"/><Relationship Id="rId727" Type="http://schemas.openxmlformats.org/officeDocument/2006/relationships/image" Target="media/image720.jpe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2019-12-01T13:46:45Z</dcterms:created>
  <dcterms:modified xsi:type="dcterms:W3CDTF">2019-12-01T13:46:45Z</dcterms:modified>
</cp:coreProperties>
</file>