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00" w:lineRule="exact"/>
        <w:rPr>
          <w:sz w:val="24"/>
          <w:szCs w:val="24"/>
          <w:color w:val="auto"/>
        </w:rPr>
      </w:pPr>
    </w:p>
    <w:p>
      <w:pPr>
        <w:ind w:left="3820" w:right="1260" w:hanging="3812"/>
        <w:spacing w:after="0" w:line="375" w:lineRule="auto"/>
        <w:tabs>
          <w:tab w:leader="none" w:pos="88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880" w:hanging="872"/>
        <w:spacing w:after="0"/>
        <w:tabs>
          <w:tab w:leader="none" w:pos="8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8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3689350</wp:posOffset>
            </wp:positionH>
            <wp:positionV relativeFrom="paragraph">
              <wp:posOffset>-7620</wp:posOffset>
            </wp:positionV>
            <wp:extent cx="571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001-38978</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jc w:val="center"/>
              <w:ind w:left="1058"/>
              <w:spacing w:after="0"/>
              <w:rPr>
                <w:sz w:val="20"/>
                <w:szCs w:val="20"/>
                <w:color w:val="auto"/>
              </w:rPr>
            </w:pPr>
            <w:r>
              <w:rPr>
                <w:rFonts w:ascii="Arial" w:cs="Arial" w:eastAsia="Arial" w:hAnsi="Arial"/>
                <w:sz w:val="18"/>
                <w:szCs w:val="18"/>
                <w:b w:val="1"/>
                <w:bCs w:val="1"/>
                <w:color w:val="auto"/>
                <w:w w:val="91"/>
              </w:rPr>
              <w:t>Delaware</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580" w:type="dxa"/>
            <w:vAlign w:val="bottom"/>
          </w:tcPr>
          <w:p>
            <w:pPr>
              <w:jc w:val="right"/>
              <w:ind w:right="2301"/>
              <w:spacing w:after="0"/>
              <w:rPr>
                <w:sz w:val="20"/>
                <w:szCs w:val="20"/>
                <w:color w:val="auto"/>
              </w:rPr>
            </w:pPr>
            <w:r>
              <w:rPr>
                <w:rFonts w:ascii="Arial" w:cs="Arial" w:eastAsia="Arial" w:hAnsi="Arial"/>
                <w:sz w:val="18"/>
                <w:szCs w:val="18"/>
                <w:b w:val="1"/>
                <w:bCs w:val="1"/>
                <w:color w:val="auto"/>
              </w:rPr>
              <w:t>47-4839948</w:t>
            </w:r>
          </w:p>
        </w:tc>
        <w:tc>
          <w:tcPr>
            <w:tcW w:w="0" w:type="dxa"/>
            <w:vAlign w:val="bottom"/>
          </w:tcPr>
          <w:p>
            <w:pPr>
              <w:spacing w:after="0"/>
              <w:rPr>
                <w:sz w:val="1"/>
                <w:szCs w:val="1"/>
                <w:color w:val="auto"/>
              </w:rPr>
            </w:pPr>
          </w:p>
        </w:tc>
      </w:tr>
      <w:tr>
        <w:trPr>
          <w:trHeight w:val="153"/>
        </w:trPr>
        <w:tc>
          <w:tcPr>
            <w:tcW w:w="4500" w:type="dxa"/>
            <w:vAlign w:val="bottom"/>
            <w:gridSpan w:val="2"/>
          </w:tcPr>
          <w:p>
            <w:pPr>
              <w:jc w:val="center"/>
              <w:ind w:left="1058"/>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580" w:type="dxa"/>
            <w:vAlign w:val="bottom"/>
          </w:tcPr>
          <w:p>
            <w:pPr>
              <w:jc w:val="center"/>
              <w:ind w:right="1941"/>
              <w:spacing w:after="0" w:line="153"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0"/>
        </w:trPr>
        <w:tc>
          <w:tcPr>
            <w:tcW w:w="4500" w:type="dxa"/>
            <w:vAlign w:val="bottom"/>
            <w:gridSpan w:val="2"/>
          </w:tcPr>
          <w:p>
            <w:pPr>
              <w:jc w:val="center"/>
              <w:ind w:left="1058"/>
              <w:spacing w:after="0"/>
              <w:rPr>
                <w:sz w:val="20"/>
                <w:szCs w:val="20"/>
                <w:color w:val="auto"/>
              </w:rPr>
            </w:pPr>
            <w:r>
              <w:rPr>
                <w:rFonts w:ascii="Arial" w:cs="Arial" w:eastAsia="Arial" w:hAnsi="Arial"/>
                <w:sz w:val="14"/>
                <w:szCs w:val="14"/>
                <w:b w:val="1"/>
                <w:bCs w:val="1"/>
                <w:color w:val="auto"/>
                <w:w w:val="94"/>
              </w:rPr>
              <w:t>incorporation or organization)</w:t>
            </w: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80" w:type="dxa"/>
            <w:vAlign w:val="bottom"/>
          </w:tcPr>
          <w:p>
            <w:pPr>
              <w:jc w:val="center"/>
              <w:ind w:right="196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16"/>
        </w:trPr>
        <w:tc>
          <w:tcPr>
            <w:tcW w:w="4500" w:type="dxa"/>
            <w:vAlign w:val="bottom"/>
            <w:gridSpan w:val="2"/>
          </w:tcPr>
          <w:p>
            <w:pPr>
              <w:jc w:val="center"/>
              <w:ind w:left="1038"/>
              <w:spacing w:after="0"/>
              <w:rPr>
                <w:sz w:val="20"/>
                <w:szCs w:val="20"/>
                <w:color w:val="auto"/>
              </w:rPr>
            </w:pPr>
            <w:r>
              <w:rPr>
                <w:rFonts w:ascii="Arial" w:cs="Arial" w:eastAsia="Arial" w:hAnsi="Arial"/>
                <w:sz w:val="18"/>
                <w:szCs w:val="18"/>
                <w:b w:val="1"/>
                <w:bCs w:val="1"/>
                <w:color w:val="auto"/>
                <w:w w:val="88"/>
              </w:rPr>
              <w:t>26 Landsdowne Street</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gridSpan w:val="2"/>
          </w:tcPr>
          <w:p>
            <w:pPr>
              <w:ind w:left="1760"/>
              <w:spacing w:after="0"/>
              <w:rPr>
                <w:sz w:val="20"/>
                <w:szCs w:val="20"/>
                <w:color w:val="auto"/>
              </w:rPr>
            </w:pPr>
            <w:r>
              <w:rPr>
                <w:rFonts w:ascii="Arial" w:cs="Arial" w:eastAsia="Arial" w:hAnsi="Arial"/>
                <w:sz w:val="18"/>
                <w:szCs w:val="18"/>
                <w:b w:val="1"/>
                <w:bCs w:val="1"/>
                <w:color w:val="auto"/>
              </w:rPr>
              <w:t>Cambridge, Massachusetts</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580" w:type="dxa"/>
            <w:vAlign w:val="bottom"/>
          </w:tcPr>
          <w:p>
            <w:pPr>
              <w:jc w:val="right"/>
              <w:ind w:right="2501"/>
              <w:spacing w:after="0"/>
              <w:rPr>
                <w:sz w:val="20"/>
                <w:szCs w:val="20"/>
                <w:color w:val="auto"/>
              </w:rPr>
            </w:pPr>
            <w:r>
              <w:rPr>
                <w:rFonts w:ascii="Arial" w:cs="Arial" w:eastAsia="Arial" w:hAnsi="Arial"/>
                <w:sz w:val="18"/>
                <w:szCs w:val="18"/>
                <w:b w:val="1"/>
                <w:bCs w:val="1"/>
                <w:color w:val="auto"/>
              </w:rPr>
              <w:t>02139</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580" w:type="dxa"/>
            <w:vAlign w:val="bottom"/>
          </w:tcPr>
          <w:p>
            <w:pPr>
              <w:jc w:val="center"/>
              <w:ind w:right="196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18"/>
        </w:trPr>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(617) 651-8851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60" w:type="dxa"/>
            <w:vAlign w:val="bottom"/>
            <w:gridSpan w:val="7"/>
          </w:tcPr>
          <w:p>
            <w:pPr>
              <w:jc w:val="center"/>
              <w:ind w:left="3518"/>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500" w:type="dxa"/>
            <w:vAlign w:val="bottom"/>
            <w:gridSpan w:val="2"/>
            <w:vMerge w:val="restart"/>
          </w:tcPr>
          <w:p>
            <w:pPr>
              <w:ind w:left="520"/>
              <w:spacing w:after="0"/>
              <w:rPr>
                <w:sz w:val="20"/>
                <w:szCs w:val="20"/>
                <w:color w:val="auto"/>
              </w:rPr>
            </w:pPr>
            <w:r>
              <w:rPr>
                <w:rFonts w:ascii="Arial" w:cs="Arial" w:eastAsia="Arial" w:hAnsi="Arial"/>
                <w:sz w:val="17"/>
                <w:szCs w:val="17"/>
                <w:color w:val="auto"/>
                <w:w w:val="91"/>
              </w:rPr>
              <w:t>Securities registered pursuant to Section 12(b) of the Act:</w:t>
            </w:r>
          </w:p>
        </w:tc>
        <w:tc>
          <w:tcPr>
            <w:tcW w:w="12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45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5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24"/>
                <w:szCs w:val="24"/>
                <w:color w:val="auto"/>
              </w:rPr>
            </w:pPr>
          </w:p>
        </w:tc>
        <w:tc>
          <w:tcPr>
            <w:tcW w:w="3040" w:type="dxa"/>
            <w:vAlign w:val="bottom"/>
            <w:gridSpan w:val="4"/>
          </w:tcPr>
          <w:p>
            <w:pPr>
              <w:jc w:val="center"/>
              <w:ind w:right="1020"/>
              <w:spacing w:after="0"/>
              <w:rPr>
                <w:sz w:val="20"/>
                <w:szCs w:val="20"/>
                <w:color w:val="auto"/>
              </w:rPr>
            </w:pPr>
            <w:r>
              <w:rPr>
                <w:rFonts w:ascii="Arial" w:cs="Arial" w:eastAsia="Arial" w:hAnsi="Arial"/>
                <w:sz w:val="14"/>
                <w:szCs w:val="14"/>
                <w:b w:val="1"/>
                <w:bCs w:val="1"/>
                <w:color w:val="auto"/>
                <w:w w:val="92"/>
              </w:rPr>
              <w:t>Trading Symbol(s)</w:t>
            </w:r>
          </w:p>
        </w:tc>
        <w:tc>
          <w:tcPr>
            <w:tcW w:w="3580" w:type="dxa"/>
            <w:vAlign w:val="bottom"/>
          </w:tcPr>
          <w:p>
            <w:pPr>
              <w:jc w:val="center"/>
              <w:ind w:right="801"/>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10"/>
        </w:trPr>
        <w:tc>
          <w:tcPr>
            <w:tcW w:w="44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Common stock, par value $0.001 per share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FULC</w:t>
            </w:r>
          </w:p>
        </w:tc>
        <w:tc>
          <w:tcPr>
            <w:tcW w:w="140" w:type="dxa"/>
            <w:vAlign w:val="bottom"/>
            <w:gridSpan w:val="2"/>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580" w:type="dxa"/>
            <w:vAlign w:val="bottom"/>
            <w:tcBorders>
              <w:top w:val="single" w:sz="8" w:color="auto"/>
            </w:tcBorders>
          </w:tcPr>
          <w:p>
            <w:pPr>
              <w:jc w:val="center"/>
              <w:ind w:right="801"/>
              <w:spacing w:after="0"/>
              <w:rPr>
                <w:sz w:val="20"/>
                <w:szCs w:val="20"/>
                <w:color w:val="auto"/>
              </w:rPr>
            </w:pPr>
            <w:r>
              <w:rPr>
                <w:rFonts w:ascii="Arial" w:cs="Arial" w:eastAsia="Arial" w:hAnsi="Arial"/>
                <w:sz w:val="17"/>
                <w:szCs w:val="17"/>
                <w:color w:val="auto"/>
                <w:w w:val="91"/>
              </w:rPr>
              <w:t>The Nasdaq Global Market</w:t>
            </w:r>
          </w:p>
        </w:tc>
        <w:tc>
          <w:tcPr>
            <w:tcW w:w="0" w:type="dxa"/>
            <w:vAlign w:val="bottom"/>
          </w:tcPr>
          <w:p>
            <w:pPr>
              <w:spacing w:after="0"/>
              <w:rPr>
                <w:sz w:val="1"/>
                <w:szCs w:val="1"/>
                <w:color w:val="auto"/>
              </w:rPr>
            </w:pPr>
          </w:p>
        </w:tc>
      </w:tr>
    </w:tbl>
    <w:p>
      <w:pPr>
        <w:spacing w:after="0" w:line="117" w:lineRule="exact"/>
        <w:rPr>
          <w:sz w:val="24"/>
          <w:szCs w:val="24"/>
          <w:color w:val="auto"/>
        </w:rPr>
      </w:pPr>
    </w:p>
    <w:p>
      <w:pPr>
        <w:ind w:right="80" w:firstLine="509"/>
        <w:spacing w:after="0" w:line="291"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p>
      <w:pPr>
        <w:spacing w:after="0" w:line="1" w:lineRule="exact"/>
        <w:rPr>
          <w:sz w:val="24"/>
          <w:szCs w:val="24"/>
          <w:color w:val="auto"/>
        </w:rPr>
      </w:pPr>
    </w:p>
    <w:p>
      <w:pPr>
        <w:spacing w:after="0" w:line="196" w:lineRule="exact"/>
        <w:tabs>
          <w:tab w:leader="none" w:pos="4440" w:val="left"/>
          <w:tab w:leader="none" w:pos="5100" w:val="left"/>
        </w:tabs>
        <w:rPr>
          <w:sz w:val="20"/>
          <w:szCs w:val="20"/>
          <w:color w:val="auto"/>
        </w:rPr>
      </w:pPr>
      <w:r>
        <w:rPr>
          <w:rFonts w:ascii="Arial" w:cs="Arial" w:eastAsia="Arial" w:hAnsi="Arial"/>
          <w:sz w:val="17"/>
          <w:szCs w:val="17"/>
          <w:color w:val="auto"/>
        </w:rPr>
        <w:t>for the past 90 days.</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15" w:lineRule="exact"/>
        <w:rPr>
          <w:sz w:val="24"/>
          <w:szCs w:val="24"/>
          <w:color w:val="auto"/>
        </w:rPr>
      </w:pPr>
    </w:p>
    <w:p>
      <w:pPr>
        <w:ind w:right="120"/>
        <w:spacing w:after="0" w:line="27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96" w:lineRule="exact"/>
        <w:tabs>
          <w:tab w:leader="none" w:pos="66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15" w:lineRule="exact"/>
        <w:rPr>
          <w:sz w:val="24"/>
          <w:szCs w:val="24"/>
          <w:color w:val="auto"/>
        </w:rPr>
      </w:pPr>
    </w:p>
    <w:p>
      <w:pPr>
        <w:ind w:right="260" w:firstLine="509"/>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19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6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220" w:type="dxa"/>
            <w:vAlign w:val="bottom"/>
          </w:tcPr>
          <w:p>
            <w:pPr>
              <w:ind w:left="3100"/>
              <w:spacing w:after="0"/>
              <w:rPr>
                <w:sz w:val="20"/>
                <w:szCs w:val="20"/>
                <w:color w:val="auto"/>
              </w:rPr>
            </w:pPr>
            <w:r>
              <w:rPr>
                <w:rFonts w:ascii="Arial" w:cs="Arial" w:eastAsia="Arial" w:hAnsi="Arial"/>
                <w:sz w:val="17"/>
                <w:szCs w:val="17"/>
                <w:color w:val="auto"/>
              </w:rPr>
              <w:t>Accelerated filer</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92"/>
        </w:trPr>
        <w:tc>
          <w:tcPr>
            <w:tcW w:w="1940" w:type="dxa"/>
            <w:vAlign w:val="bottom"/>
          </w:tcPr>
          <w:p>
            <w:pPr>
              <w:spacing w:after="0"/>
              <w:rPr>
                <w:sz w:val="20"/>
                <w:szCs w:val="20"/>
                <w:color w:val="auto"/>
              </w:rPr>
            </w:pPr>
            <w:r>
              <w:rPr>
                <w:rFonts w:ascii="Arial" w:cs="Arial" w:eastAsia="Arial" w:hAnsi="Arial"/>
                <w:sz w:val="17"/>
                <w:szCs w:val="17"/>
                <w:color w:val="auto"/>
              </w:rPr>
              <w:t>Non-accelerated filer</w:t>
            </w:r>
          </w:p>
        </w:tc>
        <w:tc>
          <w:tcPr>
            <w:tcW w:w="36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220" w:type="dxa"/>
            <w:vAlign w:val="bottom"/>
          </w:tcPr>
          <w:p>
            <w:pPr>
              <w:ind w:left="3100"/>
              <w:spacing w:after="0"/>
              <w:rPr>
                <w:sz w:val="20"/>
                <w:szCs w:val="20"/>
                <w:color w:val="auto"/>
              </w:rPr>
            </w:pPr>
            <w:r>
              <w:rPr>
                <w:rFonts w:ascii="Arial" w:cs="Arial" w:eastAsia="Arial" w:hAnsi="Arial"/>
                <w:sz w:val="17"/>
                <w:szCs w:val="17"/>
                <w:color w:val="auto"/>
              </w:rPr>
              <w:t>Smaller reporting company</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91"/>
        </w:trPr>
        <w:tc>
          <w:tcPr>
            <w:tcW w:w="19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220" w:type="dxa"/>
            <w:vAlign w:val="bottom"/>
          </w:tcPr>
          <w:p>
            <w:pPr>
              <w:ind w:left="3100"/>
              <w:spacing w:after="0"/>
              <w:rPr>
                <w:sz w:val="20"/>
                <w:szCs w:val="20"/>
                <w:color w:val="auto"/>
              </w:rPr>
            </w:pPr>
            <w:r>
              <w:rPr>
                <w:rFonts w:ascii="Arial" w:cs="Arial" w:eastAsia="Arial" w:hAnsi="Arial"/>
                <w:sz w:val="17"/>
                <w:szCs w:val="17"/>
                <w:color w:val="auto"/>
              </w:rPr>
              <w:t>Emerging growth company</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93" w:lineRule="exact"/>
        <w:rPr>
          <w:sz w:val="24"/>
          <w:szCs w:val="24"/>
          <w:color w:val="auto"/>
        </w:rPr>
      </w:pPr>
    </w:p>
    <w:p>
      <w:pPr>
        <w:jc w:val="both"/>
        <w:spacing w:after="0" w:line="23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8" w:lineRule="exact"/>
        <w:rPr>
          <w:sz w:val="24"/>
          <w:szCs w:val="24"/>
          <w:color w:val="auto"/>
        </w:rPr>
      </w:pPr>
    </w:p>
    <w:p>
      <w:pPr>
        <w:spacing w:after="0" w:line="196" w:lineRule="exact"/>
        <w:tabs>
          <w:tab w:leader="none" w:pos="7940" w:val="left"/>
          <w:tab w:leader="none" w:pos="87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7" w:lineRule="exact"/>
        <w:rPr>
          <w:sz w:val="24"/>
          <w:szCs w:val="24"/>
          <w:color w:val="auto"/>
        </w:rPr>
      </w:pPr>
    </w:p>
    <w:p>
      <w:pPr>
        <w:ind w:left="520"/>
        <w:spacing w:after="0"/>
        <w:rPr>
          <w:sz w:val="20"/>
          <w:szCs w:val="20"/>
          <w:color w:val="auto"/>
        </w:rPr>
      </w:pPr>
      <w:r>
        <w:rPr>
          <w:rFonts w:ascii="Arial" w:cs="Arial" w:eastAsia="Arial" w:hAnsi="Arial"/>
          <w:sz w:val="17"/>
          <w:szCs w:val="17"/>
          <w:color w:val="auto"/>
        </w:rPr>
        <w:t>As of May 8, 2023, the registrant had 61,758,994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and include, among other statements, statements regarding:</w:t>
      </w:r>
    </w:p>
    <w:p>
      <w:pPr>
        <w:spacing w:after="0" w:line="100" w:lineRule="exact"/>
        <w:rPr>
          <w:sz w:val="20"/>
          <w:szCs w:val="20"/>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clinical trials of losmapimod;</w:t>
      </w:r>
    </w:p>
    <w:p>
      <w:pPr>
        <w:spacing w:after="0" w:line="117" w:lineRule="exact"/>
        <w:rPr>
          <w:rFonts w:ascii="Arial" w:cs="Arial" w:eastAsia="Arial" w:hAnsi="Arial"/>
          <w:sz w:val="18"/>
          <w:szCs w:val="18"/>
          <w:color w:val="auto"/>
        </w:rPr>
      </w:pPr>
    </w:p>
    <w:p>
      <w:pPr>
        <w:ind w:left="900" w:right="120" w:hanging="383"/>
        <w:spacing w:after="0" w:line="34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resume clinical trials of FTX-6058 by resolving the full clinical hold placed by the U.S. Food and Drug Administration, or FDA, on our investigational new drug application, or IND, for FTX-6058 for the treatment of sickle cell disease, or SCD, on February 23, 2023;</w:t>
      </w:r>
    </w:p>
    <w:p>
      <w:pPr>
        <w:spacing w:after="0" w:line="15" w:lineRule="exact"/>
        <w:rPr>
          <w:rFonts w:ascii="Arial" w:cs="Arial" w:eastAsia="Arial" w:hAnsi="Arial"/>
          <w:sz w:val="16"/>
          <w:szCs w:val="16"/>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our organizational streamlining and realignment of resources, including our anticipated cash runway;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117" w:lineRule="exact"/>
        <w:rPr>
          <w:rFonts w:ascii="Arial" w:cs="Arial" w:eastAsia="Arial" w:hAnsi="Arial"/>
          <w:sz w:val="18"/>
          <w:szCs w:val="18"/>
          <w:color w:val="auto"/>
        </w:rPr>
      </w:pPr>
    </w:p>
    <w:p>
      <w:pPr>
        <w:ind w:left="900" w:right="38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and our research and development programs;</w:t>
      </w:r>
    </w:p>
    <w:p>
      <w:pPr>
        <w:spacing w:after="0" w:line="62" w:lineRule="exact"/>
        <w:rPr>
          <w:rFonts w:ascii="Arial" w:cs="Arial" w:eastAsia="Arial" w:hAnsi="Arial"/>
          <w:sz w:val="18"/>
          <w:szCs w:val="18"/>
          <w:color w:val="auto"/>
        </w:rPr>
      </w:pPr>
    </w:p>
    <w:p>
      <w:pPr>
        <w:ind w:left="900" w:right="36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losmapimod, FTX-6058 and any other product candidates, including in combination with other drugs and therapies;</w:t>
      </w:r>
    </w:p>
    <w:p>
      <w:pPr>
        <w:spacing w:after="0" w:line="62" w:lineRule="exact"/>
        <w:rPr>
          <w:rFonts w:ascii="Arial" w:cs="Arial" w:eastAsia="Arial" w:hAnsi="Arial"/>
          <w:sz w:val="18"/>
          <w:szCs w:val="18"/>
          <w:color w:val="auto"/>
        </w:rPr>
      </w:pPr>
    </w:p>
    <w:p>
      <w:pPr>
        <w:ind w:left="900" w:right="2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and obtain and maintain regulatory approvals for losmapimod, FTX-6058 and any other product candidates;</w:t>
      </w:r>
    </w:p>
    <w:p>
      <w:pPr>
        <w:spacing w:after="0" w:line="62" w:lineRule="exact"/>
        <w:rPr>
          <w:rFonts w:ascii="Arial" w:cs="Arial" w:eastAsia="Arial" w:hAnsi="Arial"/>
          <w:sz w:val="18"/>
          <w:szCs w:val="18"/>
          <w:color w:val="auto"/>
        </w:rPr>
      </w:pPr>
    </w:p>
    <w:p>
      <w:pPr>
        <w:ind w:left="900" w:right="2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cash equivalents, and marketable securities;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 if our product candidates are approved;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17" w:lineRule="exact"/>
        <w:rPr>
          <w:rFonts w:ascii="Arial" w:cs="Arial" w:eastAsia="Arial" w:hAnsi="Arial"/>
          <w:sz w:val="18"/>
          <w:szCs w:val="18"/>
          <w:color w:val="auto"/>
        </w:rPr>
      </w:pPr>
    </w:p>
    <w:p>
      <w:pPr>
        <w:ind w:left="900" w:right="62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results of our collaboration with MyoKardia, Inc., or MyoKardia, a wholly-owned subsidiary of Bristol-Myers Squibb Company;</w:t>
      </w:r>
    </w:p>
    <w:p>
      <w:pPr>
        <w:spacing w:after="0" w:line="62" w:lineRule="exact"/>
        <w:rPr>
          <w:rFonts w:ascii="Arial" w:cs="Arial" w:eastAsia="Arial" w:hAnsi="Arial"/>
          <w:sz w:val="18"/>
          <w:szCs w:val="18"/>
          <w:color w:val="auto"/>
        </w:rPr>
      </w:pPr>
    </w:p>
    <w:p>
      <w:pPr>
        <w:ind w:left="900" w:right="6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timing of any future revenue, capital requirements and needs for additional financing;</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17" w:lineRule="exact"/>
        <w:rPr>
          <w:rFonts w:ascii="Arial" w:cs="Arial" w:eastAsia="Arial" w:hAnsi="Arial"/>
          <w:sz w:val="18"/>
          <w:szCs w:val="18"/>
          <w:color w:val="auto"/>
        </w:rPr>
      </w:pPr>
    </w:p>
    <w:p>
      <w:pPr>
        <w:ind w:left="900" w:right="4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pandemic or an outbreak of highly infectious or contagious disease, such as the COVID-19 pandemic, on our business and operations, including our clinical trials and development plans, as well as our future financial results;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 and</w:t>
      </w:r>
    </w:p>
    <w:p>
      <w:pPr>
        <w:spacing w:after="0" w:line="117"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or a smaller reporting company as defined under the federal securities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right="100" w:firstLine="509"/>
        <w:spacing w:after="0" w:line="254"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Such forward looking statements are subject to various risks and uncertainties.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and “Management’s Discussion and Analysis of Results of Operations” sections,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95" w:lineRule="exact"/>
        <w:rPr>
          <w:sz w:val="20"/>
          <w:szCs w:val="20"/>
          <w:color w:val="auto"/>
        </w:rPr>
      </w:pPr>
    </w:p>
    <w:p>
      <w:pPr>
        <w:ind w:right="220" w:firstLine="509"/>
        <w:spacing w:after="0" w:line="301" w:lineRule="auto"/>
        <w:rPr>
          <w:sz w:val="20"/>
          <w:szCs w:val="20"/>
          <w:color w:val="auto"/>
        </w:rPr>
      </w:pPr>
      <w:r>
        <w:rPr>
          <w:rFonts w:ascii="Arial" w:cs="Arial" w:eastAsia="Arial" w:hAnsi="Arial"/>
          <w:sz w:val="16"/>
          <w:szCs w:val="16"/>
          <w:color w:val="auto"/>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53"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Quarterly Report on Form 10-Q. Our principal risks include the following:</w:t>
      </w:r>
    </w:p>
    <w:p>
      <w:pPr>
        <w:spacing w:after="0" w:line="184" w:lineRule="exact"/>
        <w:rPr>
          <w:sz w:val="20"/>
          <w:szCs w:val="20"/>
          <w:color w:val="auto"/>
        </w:rPr>
      </w:pPr>
    </w:p>
    <w:p>
      <w:pPr>
        <w:ind w:left="760" w:hanging="378"/>
        <w:spacing w:after="0" w:line="26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Our net loss was $109.9 million for the year ended December 31, 2022 and $24.8 million for the three months ended March 31, 2023. We expect to incur losses over the next several years and may never achieve or maintain profitability. As of March 31, 2023, we had an accumulated deficit of $437.1 million.</w:t>
      </w:r>
    </w:p>
    <w:p>
      <w:pPr>
        <w:spacing w:after="0" w:line="183" w:lineRule="exact"/>
        <w:rPr>
          <w:rFonts w:ascii="Arial" w:cs="Arial" w:eastAsia="Arial" w:hAnsi="Arial"/>
          <w:sz w:val="18"/>
          <w:szCs w:val="18"/>
          <w:color w:val="auto"/>
        </w:rPr>
      </w:pPr>
    </w:p>
    <w:p>
      <w:pPr>
        <w:ind w:left="760" w:right="260" w:hanging="378"/>
        <w:spacing w:after="0" w:line="275"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currently subject to a full clinical hold on our IND for FTX-6058 for SCD and we withdrew our separate IND for FTX-6058 related to beta thalassemia. We will need to resolve the clinical hold issues with the FDA in order to resume our Phase 1b clinical trial in SCD or other healthy volunteer studies or pursue development of FTX-6058 for beta thalassemia and any other hemoglobinopathies. Our business may be adversely affected if the clinical hold is not resolved in a timely manner or at all, or if other regulatory concerns lead to additional delays. We cannot guarantee that we will be able to respond to FDA’s requests in order to resolve the clinical hold.</w:t>
      </w:r>
    </w:p>
    <w:p>
      <w:pPr>
        <w:spacing w:after="0" w:line="176" w:lineRule="exact"/>
        <w:rPr>
          <w:rFonts w:ascii="Arial" w:cs="Arial" w:eastAsia="Arial" w:hAnsi="Arial"/>
          <w:sz w:val="17"/>
          <w:szCs w:val="17"/>
          <w:color w:val="auto"/>
        </w:rPr>
      </w:pPr>
    </w:p>
    <w:p>
      <w:pPr>
        <w:ind w:left="760" w:right="180" w:hanging="378"/>
        <w:spacing w:after="0" w:line="301"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trials of losmapimod and, pending resolution of the clinical hold, of FTX-6058 and continue research and development and initiate additional clinical trials of, and seek regulatory approval for, these and other product candidates.</w:t>
      </w:r>
    </w:p>
    <w:p>
      <w:pPr>
        <w:spacing w:after="0" w:line="157" w:lineRule="exact"/>
        <w:rPr>
          <w:rFonts w:ascii="Arial" w:cs="Arial" w:eastAsia="Arial" w:hAnsi="Arial"/>
          <w:sz w:val="16"/>
          <w:szCs w:val="16"/>
          <w:color w:val="auto"/>
        </w:rPr>
      </w:pPr>
    </w:p>
    <w:p>
      <w:pPr>
        <w:ind w:left="760" w:right="56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170" w:lineRule="exact"/>
        <w:rPr>
          <w:rFonts w:ascii="Arial" w:cs="Arial" w:eastAsia="Arial" w:hAnsi="Arial"/>
          <w:sz w:val="18"/>
          <w:szCs w:val="18"/>
          <w:color w:val="auto"/>
        </w:rPr>
      </w:pPr>
    </w:p>
    <w:p>
      <w:pPr>
        <w:ind w:left="760" w:right="140" w:hanging="378"/>
        <w:spacing w:after="0" w:line="259"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successful in our efforts to use FulcrumSeek, our proprietary product engine to build a pipeline of product candidates. A key element of our strategy is to use FulcrumSeek to identify and validate cellular drug targets that can potentially modulate gene expression to address the root cause of genetically-defined rare diseases, with an initial focus on identifying small molecules specific to the identified cellular target.</w:t>
      </w:r>
    </w:p>
    <w:p>
      <w:pPr>
        <w:spacing w:after="0" w:line="186" w:lineRule="exact"/>
        <w:rPr>
          <w:rFonts w:ascii="Arial" w:cs="Arial" w:eastAsia="Arial" w:hAnsi="Arial"/>
          <w:sz w:val="18"/>
          <w:szCs w:val="18"/>
          <w:color w:val="auto"/>
        </w:rPr>
      </w:pPr>
    </w:p>
    <w:p>
      <w:pPr>
        <w:ind w:left="760" w:right="180" w:hanging="378"/>
        <w:spacing w:after="0" w:line="26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183" w:lineRule="exact"/>
        <w:rPr>
          <w:rFonts w:ascii="Arial" w:cs="Arial" w:eastAsia="Arial" w:hAnsi="Arial"/>
          <w:sz w:val="18"/>
          <w:szCs w:val="18"/>
          <w:color w:val="auto"/>
        </w:rPr>
      </w:pPr>
    </w:p>
    <w:p>
      <w:pPr>
        <w:jc w:val="both"/>
        <w:ind w:left="760" w:right="360" w:hanging="378"/>
        <w:spacing w:after="0" w:line="286"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Because we are developing some of our product candidates for the treatment of diseases in which there is limited clinical experience and, in some cases, using new endpoints or methodologies, the U.S. Food and Drug Administration, or FDA, or other regulatory authorities may not consider the endpoints of our clinical trials to predict or provide clinically meaningful results.</w:t>
      </w:r>
    </w:p>
    <w:p>
      <w:pPr>
        <w:spacing w:after="0" w:line="165" w:lineRule="exact"/>
        <w:rPr>
          <w:rFonts w:ascii="Arial" w:cs="Arial" w:eastAsia="Arial" w:hAnsi="Arial"/>
          <w:sz w:val="17"/>
          <w:szCs w:val="17"/>
          <w:color w:val="auto"/>
        </w:rPr>
      </w:pPr>
    </w:p>
    <w:p>
      <w:pPr>
        <w:ind w:left="760" w:right="16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ind w:left="380" w:right="220" w:hanging="378"/>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170" w:lineRule="exact"/>
        <w:rPr>
          <w:rFonts w:ascii="Arial" w:cs="Arial" w:eastAsia="Arial" w:hAnsi="Arial"/>
          <w:sz w:val="18"/>
          <w:szCs w:val="18"/>
          <w:color w:val="auto"/>
        </w:rPr>
      </w:pPr>
    </w:p>
    <w:p>
      <w:pPr>
        <w:ind w:left="380" w:right="340" w:hanging="378"/>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and expect to continue to rely, on contract manufacturing organizations, or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183" w:lineRule="exact"/>
        <w:rPr>
          <w:rFonts w:ascii="Arial" w:cs="Arial" w:eastAsia="Arial" w:hAnsi="Arial"/>
          <w:sz w:val="18"/>
          <w:szCs w:val="18"/>
          <w:color w:val="auto"/>
        </w:rPr>
      </w:pPr>
    </w:p>
    <w:p>
      <w:pPr>
        <w:ind w:left="380" w:right="500" w:hanging="378"/>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70" w:lineRule="exact"/>
        <w:rPr>
          <w:rFonts w:ascii="Arial" w:cs="Arial" w:eastAsia="Arial" w:hAnsi="Arial"/>
          <w:sz w:val="18"/>
          <w:szCs w:val="18"/>
          <w:color w:val="auto"/>
        </w:rPr>
      </w:pPr>
    </w:p>
    <w:p>
      <w:pPr>
        <w:jc w:val="both"/>
        <w:ind w:left="380" w:right="140" w:hanging="378"/>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entered into, and may in the future enter into, collaborations with third parties for the discovery, development or commercialization of product candidates, including our collaboration with MyoKardia. If our collaboration is not successful, we may not be able to capitalize on the market potential of these product candidates and our business could be adversely affected.</w:t>
      </w:r>
    </w:p>
    <w:p>
      <w:pPr>
        <w:spacing w:after="0" w:line="183" w:lineRule="exact"/>
        <w:rPr>
          <w:rFonts w:ascii="Arial" w:cs="Arial" w:eastAsia="Arial" w:hAnsi="Arial"/>
          <w:sz w:val="18"/>
          <w:szCs w:val="18"/>
          <w:color w:val="auto"/>
        </w:rPr>
      </w:pPr>
    </w:p>
    <w:p>
      <w:pPr>
        <w:ind w:left="380" w:right="40" w:hanging="378"/>
        <w:spacing w:after="0" w:line="311"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48" w:lineRule="exact"/>
        <w:rPr>
          <w:rFonts w:ascii="Arial" w:cs="Arial" w:eastAsia="Arial" w:hAnsi="Arial"/>
          <w:sz w:val="16"/>
          <w:szCs w:val="16"/>
          <w:color w:val="auto"/>
        </w:rPr>
      </w:pPr>
    </w:p>
    <w:p>
      <w:pPr>
        <w:ind w:left="380" w:right="560" w:hanging="378"/>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83" w:lineRule="exact"/>
        <w:rPr>
          <w:rFonts w:ascii="Arial" w:cs="Arial" w:eastAsia="Arial" w:hAnsi="Arial"/>
          <w:sz w:val="18"/>
          <w:szCs w:val="18"/>
          <w:color w:val="auto"/>
        </w:rPr>
      </w:pPr>
    </w:p>
    <w:p>
      <w:pPr>
        <w:ind w:left="380" w:right="280" w:hanging="378"/>
        <w:spacing w:after="0" w:line="263" w:lineRule="auto"/>
        <w:tabs>
          <w:tab w:leader="none" w:pos="42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83" w:lineRule="exact"/>
        <w:rPr>
          <w:rFonts w:ascii="Arial" w:cs="Arial" w:eastAsia="Arial" w:hAnsi="Arial"/>
          <w:sz w:val="18"/>
          <w:szCs w:val="18"/>
          <w:color w:val="auto"/>
        </w:rPr>
      </w:pPr>
    </w:p>
    <w:p>
      <w:pPr>
        <w:ind w:left="380" w:hanging="378"/>
        <w:spacing w:after="0" w:line="311"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pandemic, such as the COVID-19 pandemic, has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14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00" w:top="557"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3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800" w:type="dxa"/>
            <w:vAlign w:val="bottom"/>
            <w:gridSpan w:val="18"/>
          </w:tcPr>
          <w:p>
            <w:pPr>
              <w:spacing w:after="0" w:line="182" w:lineRule="exact"/>
              <w:rPr>
                <w:sz w:val="20"/>
                <w:szCs w:val="20"/>
                <w:color w:val="auto"/>
              </w:rPr>
            </w:pPr>
            <w:r>
              <w:rPr>
                <w:rFonts w:ascii="Arial" w:cs="Arial" w:eastAsia="Arial" w:hAnsi="Arial"/>
                <w:sz w:val="18"/>
                <w:szCs w:val="18"/>
                <w:color w:val="0000FF"/>
              </w:rPr>
              <w:t>FINANCIAL INFORMATION</w:t>
            </w: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88"/>
              </w:rPr>
              <w:t>Financial Statements</w:t>
            </w:r>
          </w:p>
        </w:tc>
        <w:tc>
          <w:tcPr>
            <w:tcW w:w="740" w:type="dxa"/>
            <w:vAlign w:val="bottom"/>
            <w:tcBorders>
              <w:top w:val="single" w:sz="8" w:color="0000FF"/>
            </w:tcBorders>
            <w:gridSpan w:val="3"/>
          </w:tcPr>
          <w:p>
            <w:pPr>
              <w:spacing w:after="0"/>
              <w:rPr>
                <w:sz w:val="19"/>
                <w:szCs w:val="19"/>
                <w:color w:val="auto"/>
              </w:rPr>
            </w:pPr>
          </w:p>
        </w:tc>
        <w:tc>
          <w:tcPr>
            <w:tcW w:w="7560" w:type="dxa"/>
            <w:vAlign w:val="bottom"/>
            <w:gridSpan w:val="10"/>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0" w:type="dxa"/>
            <w:vAlign w:val="bottom"/>
            <w:gridSpan w:val="18"/>
          </w:tcPr>
          <w:p>
            <w:pPr>
              <w:spacing w:after="0"/>
              <w:rPr>
                <w:sz w:val="20"/>
                <w:szCs w:val="20"/>
                <w:color w:val="auto"/>
              </w:rPr>
            </w:pPr>
            <w:r>
              <w:rPr>
                <w:rFonts w:ascii="Arial" w:cs="Arial" w:eastAsia="Arial" w:hAnsi="Arial"/>
                <w:sz w:val="18"/>
                <w:szCs w:val="18"/>
                <w:color w:val="0000FF"/>
              </w:rPr>
              <w:t>Consolidated Balance Sheets as of March 31, 2023 and December 31, 2022</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0" w:type="dxa"/>
            <w:vAlign w:val="bottom"/>
            <w:gridSpan w:val="18"/>
          </w:tcPr>
          <w:p>
            <w:pPr>
              <w:spacing w:after="0"/>
              <w:rPr>
                <w:sz w:val="20"/>
                <w:szCs w:val="20"/>
                <w:color w:val="auto"/>
              </w:rPr>
            </w:pPr>
            <w:r>
              <w:rPr>
                <w:rFonts w:ascii="Arial" w:cs="Arial" w:eastAsia="Arial" w:hAnsi="Arial"/>
                <w:sz w:val="18"/>
                <w:szCs w:val="18"/>
                <w:color w:val="0000FF"/>
              </w:rPr>
              <w:t>Consolidated Statements of Operations and Comprehensive Loss for the three months ended March 31, 2023 and 2022</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40" w:type="dxa"/>
            <w:vAlign w:val="bottom"/>
            <w:tcBorders>
              <w:top w:val="single" w:sz="8" w:color="0000FF"/>
              <w:bottom w:val="single" w:sz="8" w:color="0000EE"/>
            </w:tcBorders>
            <w:gridSpan w:val="16"/>
          </w:tcPr>
          <w:p>
            <w:pPr>
              <w:spacing w:after="0"/>
              <w:rPr>
                <w:sz w:val="20"/>
                <w:szCs w:val="20"/>
                <w:color w:val="auto"/>
              </w:rPr>
            </w:pPr>
            <w:r>
              <w:rPr>
                <w:rFonts w:ascii="Arial" w:cs="Arial" w:eastAsia="Arial" w:hAnsi="Arial"/>
                <w:sz w:val="18"/>
                <w:szCs w:val="18"/>
                <w:color w:val="0000FF"/>
                <w:w w:val="90"/>
              </w:rPr>
              <w:t>Consolidated Statements of Stockholders’ Equity for the three months ended March 31, 2023 and 2022</w:t>
            </w:r>
          </w:p>
        </w:tc>
        <w:tc>
          <w:tcPr>
            <w:tcW w:w="1100" w:type="dxa"/>
            <w:vAlign w:val="bottom"/>
            <w:tcBorders>
              <w:top w:val="single" w:sz="8" w:color="0000FF"/>
            </w:tcBorders>
          </w:tcPr>
          <w:p>
            <w:pPr>
              <w:spacing w:after="0"/>
              <w:rPr>
                <w:sz w:val="19"/>
                <w:szCs w:val="19"/>
                <w:color w:val="auto"/>
              </w:rPr>
            </w:pPr>
          </w:p>
        </w:tc>
        <w:tc>
          <w:tcPr>
            <w:tcW w:w="1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7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Consolidated Statements of Cash Flows for the three months ended March 31, 2023 and 2022</w:t>
            </w:r>
          </w:p>
        </w:tc>
        <w:tc>
          <w:tcPr>
            <w:tcW w:w="3060" w:type="dxa"/>
            <w:vAlign w:val="bottom"/>
            <w:gridSpan w:val="3"/>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0" w:type="dxa"/>
            <w:vAlign w:val="bottom"/>
            <w:gridSpan w:val="18"/>
          </w:tcPr>
          <w:p>
            <w:pPr>
              <w:spacing w:after="0"/>
              <w:rPr>
                <w:sz w:val="20"/>
                <w:szCs w:val="20"/>
                <w:color w:val="auto"/>
              </w:rPr>
            </w:pPr>
            <w:r>
              <w:rPr>
                <w:rFonts w:ascii="Arial" w:cs="Arial" w:eastAsia="Arial" w:hAnsi="Arial"/>
                <w:sz w:val="18"/>
                <w:szCs w:val="18"/>
                <w:color w:val="0000FF"/>
              </w:rPr>
              <w:t>Notes to Consolidated Financial Statements</w:t>
            </w: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2"/>
          </w:tcPr>
          <w:p>
            <w:pPr>
              <w:spacing w:after="0"/>
              <w:rPr>
                <w:sz w:val="19"/>
                <w:szCs w:val="19"/>
                <w:color w:val="auto"/>
              </w:rPr>
            </w:pPr>
          </w:p>
        </w:tc>
        <w:tc>
          <w:tcPr>
            <w:tcW w:w="3360" w:type="dxa"/>
            <w:vAlign w:val="bottom"/>
            <w:gridSpan w:val="4"/>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18"/>
          </w:tcPr>
          <w:p>
            <w:pPr>
              <w:spacing w:after="0"/>
              <w:rPr>
                <w:sz w:val="20"/>
                <w:szCs w:val="20"/>
                <w:color w:val="auto"/>
              </w:rPr>
            </w:pPr>
            <w:r>
              <w:rPr>
                <w:rFonts w:ascii="Arial" w:cs="Arial" w:eastAsia="Arial" w:hAnsi="Arial"/>
                <w:sz w:val="18"/>
                <w:szCs w:val="18"/>
                <w:color w:val="0000FF"/>
              </w:rPr>
              <w:t>Controls and Procedures</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gridSpan w:val="2"/>
            <w:vMerge w:val="continue"/>
          </w:tcPr>
          <w:p>
            <w:pPr>
              <w:spacing w:after="0"/>
              <w:rPr>
                <w:sz w:val="19"/>
                <w:szCs w:val="19"/>
                <w:color w:val="auto"/>
              </w:rPr>
            </w:pPr>
          </w:p>
        </w:tc>
        <w:tc>
          <w:tcPr>
            <w:tcW w:w="18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5"/>
              </w:rPr>
              <w:t>OTHER INFORMATION</w:t>
            </w:r>
          </w:p>
        </w:tc>
        <w:tc>
          <w:tcPr>
            <w:tcW w:w="7920" w:type="dxa"/>
            <w:vAlign w:val="bottom"/>
            <w:gridSpan w:val="11"/>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7"/>
              </w:rPr>
              <w:t>Risk Factors</w:t>
            </w:r>
          </w:p>
        </w:tc>
        <w:tc>
          <w:tcPr>
            <w:tcW w:w="420" w:type="dxa"/>
            <w:vAlign w:val="bottom"/>
            <w:tcBorders>
              <w:top w:val="single" w:sz="8" w:color="0000FF"/>
            </w:tcBorders>
            <w:gridSpan w:val="2"/>
          </w:tcPr>
          <w:p>
            <w:pPr>
              <w:spacing w:after="0"/>
              <w:rPr>
                <w:sz w:val="19"/>
                <w:szCs w:val="19"/>
                <w:color w:val="auto"/>
              </w:rPr>
            </w:pPr>
          </w:p>
        </w:tc>
        <w:tc>
          <w:tcPr>
            <w:tcW w:w="8480" w:type="dxa"/>
            <w:vAlign w:val="bottom"/>
            <w:gridSpan w:val="14"/>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5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0"/>
              </w:rPr>
              <w:t>Defaults Upon Senior Securities</w:t>
            </w:r>
          </w:p>
        </w:tc>
        <w:tc>
          <w:tcPr>
            <w:tcW w:w="2020" w:type="dxa"/>
            <w:vAlign w:val="bottom"/>
            <w:tcBorders>
              <w:top w:val="single" w:sz="8" w:color="0000FF"/>
            </w:tcBorders>
            <w:gridSpan w:val="2"/>
          </w:tcPr>
          <w:p>
            <w:pPr>
              <w:spacing w:after="0"/>
              <w:rPr>
                <w:sz w:val="19"/>
                <w:szCs w:val="19"/>
                <w:color w:val="auto"/>
              </w:rPr>
            </w:pPr>
          </w:p>
        </w:tc>
        <w:tc>
          <w:tcPr>
            <w:tcW w:w="5460" w:type="dxa"/>
            <w:vAlign w:val="bottom"/>
            <w:gridSpan w:val="7"/>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18"/>
          </w:tcPr>
          <w:p>
            <w:pPr>
              <w:spacing w:after="0"/>
              <w:rPr>
                <w:sz w:val="20"/>
                <w:szCs w:val="20"/>
                <w:color w:val="auto"/>
              </w:rPr>
            </w:pPr>
            <w:r>
              <w:rPr>
                <w:rFonts w:ascii="Arial" w:cs="Arial" w:eastAsia="Arial" w:hAnsi="Arial"/>
                <w:sz w:val="18"/>
                <w:szCs w:val="18"/>
                <w:color w:val="0000FF"/>
              </w:rPr>
              <w:t>Mine Safety Disclosures</w:t>
            </w:r>
          </w:p>
        </w:tc>
        <w:tc>
          <w:tcPr>
            <w:tcW w:w="5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Other Information</w:t>
            </w:r>
          </w:p>
        </w:tc>
        <w:tc>
          <w:tcPr>
            <w:tcW w:w="8040" w:type="dxa"/>
            <w:vAlign w:val="bottom"/>
            <w:gridSpan w:val="12"/>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Exhibits</w:t>
            </w:r>
          </w:p>
        </w:tc>
        <w:tc>
          <w:tcPr>
            <w:tcW w:w="8500" w:type="dxa"/>
            <w:vAlign w:val="bottom"/>
            <w:gridSpan w:val="15"/>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this Quarterly Report on Form 10-Q, unless otherwise stated or as the context otherwise requires, references to “Fulcrum,” “Fulcrum Therapeutics,” “the Company,” “we,” “us,” “our” and similar references refer to Fulcrum Therapeutics, Inc. together with its consolidated subsidiary. The Fulcrum Therapeutics logo, FulcrumSeek and other trademarks or service marks of Fulcrum Therapeutics, Inc. appearing in this Quarterly Report on Form 10-Q are the property of Fulcrum Therapeutics, Inc. This Quarterly Report on Form 10-Q also contains registered marks, trademarks and trade names of other companies. All other trademarks, registered marks and trade names appearing herein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ind w:right="511"/>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411"/>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2022</w:t>
            </w: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34,734</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35,098</w:t>
            </w: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20"/>
                <w:szCs w:val="20"/>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263,106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167,823</w:t>
            </w: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Unbilled accounts receivable</w:t>
            </w:r>
          </w:p>
        </w:tc>
        <w:tc>
          <w:tcPr>
            <w:tcW w:w="3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229</w:t>
            </w: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4,891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4,369</w:t>
            </w:r>
          </w:p>
        </w:tc>
      </w:tr>
      <w:tr>
        <w:trPr>
          <w:trHeight w:val="24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302,830</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207,519</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0"/>
                <w:szCs w:val="20"/>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6,563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6,906</w:t>
            </w: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8,604</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9,063</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0"/>
                <w:szCs w:val="20"/>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1,092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1,092</w:t>
            </w: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2,031</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2,105</w:t>
            </w:r>
          </w:p>
        </w:tc>
      </w:tr>
      <w:tr>
        <w:trPr>
          <w:trHeight w:val="236"/>
        </w:trPr>
        <w:tc>
          <w:tcPr>
            <w:tcW w:w="760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321,120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226,685</w:t>
            </w:r>
          </w:p>
        </w:tc>
      </w:tr>
      <w:tr>
        <w:trPr>
          <w:trHeight w:val="20"/>
        </w:trPr>
        <w:tc>
          <w:tcPr>
            <w:tcW w:w="7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3,778</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3,638</w:t>
            </w: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20"/>
                <w:szCs w:val="20"/>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7,229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9,551</w:t>
            </w: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revenue, current portion</w:t>
            </w:r>
          </w:p>
        </w:tc>
        <w:tc>
          <w:tcPr>
            <w:tcW w:w="3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737</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934</w:t>
            </w: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Operating lease liability, current</w:t>
            </w: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2,663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2,602</w:t>
            </w:r>
          </w:p>
        </w:tc>
      </w:tr>
      <w:tr>
        <w:trPr>
          <w:trHeight w:val="24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14,407</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16,725</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Operating lease liability, excluding current portion</w:t>
            </w:r>
          </w:p>
        </w:tc>
        <w:tc>
          <w:tcPr>
            <w:tcW w:w="300" w:type="dxa"/>
            <w:vAlign w:val="bottom"/>
          </w:tcPr>
          <w:p>
            <w:pPr>
              <w:spacing w:after="0"/>
              <w:rPr>
                <w:sz w:val="20"/>
                <w:szCs w:val="20"/>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10,137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10,821</w:t>
            </w: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liabilities, excluding current portion</w:t>
            </w:r>
          </w:p>
        </w:tc>
        <w:tc>
          <w:tcPr>
            <w:tcW w:w="3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320</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197</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0"/>
                <w:szCs w:val="20"/>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24,864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27,743</w:t>
            </w: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13)</w:t>
            </w:r>
          </w:p>
        </w:tc>
        <w:tc>
          <w:tcPr>
            <w:tcW w:w="3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5"/>
              </w:rPr>
              <w:t>Preferred stock, $0.001 par value; 5,000,000 shares authorized; no shares issued or outstanding</w:t>
            </w:r>
          </w:p>
        </w:tc>
        <w:tc>
          <w:tcPr>
            <w:tcW w:w="3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r>
      <w:tr>
        <w:trPr>
          <w:trHeight w:val="215"/>
        </w:trPr>
        <w:tc>
          <w:tcPr>
            <w:tcW w:w="7600" w:type="dxa"/>
            <w:vAlign w:val="bottom"/>
          </w:tcPr>
          <w:p>
            <w:pPr>
              <w:ind w:left="200"/>
              <w:spacing w:after="0"/>
              <w:rPr>
                <w:sz w:val="20"/>
                <w:szCs w:val="20"/>
                <w:color w:val="auto"/>
              </w:rPr>
            </w:pPr>
            <w:r>
              <w:rPr>
                <w:rFonts w:ascii="Arial" w:cs="Arial" w:eastAsia="Arial" w:hAnsi="Arial"/>
                <w:sz w:val="18"/>
                <w:szCs w:val="18"/>
                <w:color w:val="auto"/>
              </w:rPr>
              <w:t>Common stock, $0.001 par value; 200,000,000 shares authorized; 61,758,994 and</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600" w:type="dxa"/>
            <w:vAlign w:val="bottom"/>
          </w:tcPr>
          <w:p>
            <w:pPr>
              <w:ind w:left="200"/>
              <w:spacing w:after="0"/>
              <w:rPr>
                <w:sz w:val="20"/>
                <w:szCs w:val="20"/>
                <w:color w:val="auto"/>
              </w:rPr>
            </w:pPr>
            <w:r>
              <w:rPr>
                <w:rFonts w:ascii="Arial" w:cs="Arial" w:eastAsia="Arial" w:hAnsi="Arial"/>
                <w:sz w:val="18"/>
                <w:szCs w:val="18"/>
                <w:color w:val="auto"/>
              </w:rPr>
              <w:t>52,099,211 shares issued and outstanding as of March 31, 2023 and December 31, 2022,</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20"/>
                <w:szCs w:val="20"/>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52</w:t>
            </w:r>
          </w:p>
        </w:tc>
      </w:tr>
      <w:tr>
        <w:trPr>
          <w:trHeight w:val="250"/>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Treasury stock, at cost; no shares</w:t>
            </w:r>
          </w:p>
        </w:tc>
        <w:tc>
          <w:tcPr>
            <w:tcW w:w="3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0"/>
                <w:szCs w:val="20"/>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733,962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612,025</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(651 )</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(797 )</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(437,117 )</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(412,338 )</w:t>
            </w:r>
          </w:p>
        </w:tc>
      </w:tr>
      <w:tr>
        <w:trPr>
          <w:trHeight w:val="23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296,256</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198,942</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321,120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226,685</w:t>
            </w:r>
          </w:p>
        </w:tc>
      </w:tr>
      <w:tr>
        <w:trPr>
          <w:trHeight w:val="20"/>
        </w:trPr>
        <w:tc>
          <w:tcPr>
            <w:tcW w:w="7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-3608070</wp:posOffset>
            </wp:positionV>
            <wp:extent cx="12890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-2022475</wp:posOffset>
            </wp:positionV>
            <wp:extent cx="12890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631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12890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2022</w:t>
            </w: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98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295</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2,592</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16,715</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17,831</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11,520</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10,759</w:t>
            </w:r>
          </w:p>
        </w:tc>
      </w:tr>
      <w:tr>
        <w:trPr>
          <w:trHeight w:val="237"/>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28,235</w:t>
            </w:r>
          </w:p>
        </w:tc>
        <w:tc>
          <w:tcPr>
            <w:tcW w:w="2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28,590</w:t>
            </w: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9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1"/>
              </w:rPr>
              <w:t>(27,940 )</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(25,998 )</w:t>
            </w: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3,161</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70</w:t>
            </w: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(24,779 )</w:t>
            </w:r>
          </w:p>
        </w:tc>
        <w:tc>
          <w:tcPr>
            <w:tcW w:w="20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(25,928 )</w:t>
            </w:r>
          </w:p>
        </w:tc>
      </w:tr>
      <w:tr>
        <w:trPr>
          <w:trHeight w:val="20"/>
        </w:trPr>
        <w:tc>
          <w:tcPr>
            <w:tcW w:w="7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64"/>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980" w:type="dxa"/>
            <w:vAlign w:val="bottom"/>
            <w:tcBorders>
              <w:top w:val="single" w:sz="8" w:color="auto"/>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(0.41 )</w:t>
            </w:r>
          </w:p>
        </w:tc>
        <w:tc>
          <w:tcPr>
            <w:tcW w:w="2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(0.64 )</w:t>
            </w:r>
          </w:p>
        </w:tc>
      </w:tr>
      <w:tr>
        <w:trPr>
          <w:trHeight w:val="224"/>
        </w:trPr>
        <w:tc>
          <w:tcPr>
            <w:tcW w:w="76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basic and diluted</w:t>
            </w:r>
          </w:p>
        </w:tc>
        <w:tc>
          <w:tcPr>
            <w:tcW w:w="9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59,722</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40,644</w:t>
            </w:r>
          </w:p>
        </w:tc>
      </w:tr>
      <w:tr>
        <w:trPr>
          <w:trHeight w:val="20"/>
        </w:trPr>
        <w:tc>
          <w:tcPr>
            <w:tcW w:w="7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0"/>
        </w:trPr>
        <w:tc>
          <w:tcPr>
            <w:tcW w:w="7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(24,779 )</w:t>
            </w:r>
          </w:p>
        </w:tc>
        <w:tc>
          <w:tcPr>
            <w:tcW w:w="5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(25,928 )</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Other comprehensive gain (loss):</w:t>
            </w: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Unrealized gain (loss) on marketable securities</w:t>
            </w:r>
          </w:p>
        </w:tc>
        <w:tc>
          <w:tcPr>
            <w:tcW w:w="9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146</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(693 )</w:t>
            </w:r>
          </w:p>
        </w:tc>
      </w:tr>
      <w:tr>
        <w:trPr>
          <w:trHeight w:val="237"/>
        </w:trPr>
        <w:tc>
          <w:tcPr>
            <w:tcW w:w="7600" w:type="dxa"/>
            <w:vAlign w:val="bottom"/>
          </w:tcPr>
          <w:p>
            <w:pPr>
              <w:ind w:left="300"/>
              <w:spacing w:after="0"/>
              <w:rPr>
                <w:sz w:val="20"/>
                <w:szCs w:val="20"/>
                <w:color w:val="auto"/>
              </w:rPr>
            </w:pPr>
            <w:r>
              <w:rPr>
                <w:rFonts w:ascii="Arial" w:cs="Arial" w:eastAsia="Arial" w:hAnsi="Arial"/>
                <w:sz w:val="18"/>
                <w:szCs w:val="18"/>
                <w:color w:val="auto"/>
              </w:rPr>
              <w:t>Total other comprehensive gain (loss)</w:t>
            </w:r>
          </w:p>
        </w:tc>
        <w:tc>
          <w:tcPr>
            <w:tcW w:w="9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(693 )</w:t>
            </w:r>
          </w:p>
        </w:tc>
      </w:tr>
      <w:tr>
        <w:trPr>
          <w:trHeight w:val="277"/>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980" w:type="dxa"/>
            <w:vAlign w:val="bottom"/>
            <w:tcBorders>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(24,633 )</w:t>
            </w:r>
          </w:p>
        </w:tc>
        <w:tc>
          <w:tcPr>
            <w:tcW w:w="2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-1988185</wp:posOffset>
            </wp:positionV>
            <wp:extent cx="12890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631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-1671320</wp:posOffset>
            </wp:positionV>
            <wp:extent cx="12890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-1328420</wp:posOffset>
            </wp:positionV>
            <wp:extent cx="128905"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20574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-351155</wp:posOffset>
            </wp:positionV>
            <wp:extent cx="12890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1289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1289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7"/>
                <w:szCs w:val="17"/>
                <w:b w:val="1"/>
                <w:bCs w:val="1"/>
                <w:color w:val="auto"/>
              </w:rPr>
              <w:t>Accumulated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235"/>
              <w:spacing w:after="0"/>
              <w:rPr>
                <w:sz w:val="20"/>
                <w:szCs w:val="20"/>
                <w:color w:val="auto"/>
              </w:rPr>
            </w:pPr>
            <w:r>
              <w:rPr>
                <w:rFonts w:ascii="Arial" w:cs="Arial" w:eastAsia="Arial" w:hAnsi="Arial"/>
                <w:sz w:val="17"/>
                <w:szCs w:val="17"/>
                <w:b w:val="1"/>
                <w:bCs w:val="1"/>
                <w:color w:val="auto"/>
                <w:w w:val="96"/>
              </w:rPr>
              <w:t>Other</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235"/>
              <w:spacing w:after="0"/>
              <w:rPr>
                <w:sz w:val="20"/>
                <w:szCs w:val="20"/>
                <w:color w:val="auto"/>
              </w:rPr>
            </w:pPr>
            <w:r>
              <w:rPr>
                <w:rFonts w:ascii="Arial" w:cs="Arial" w:eastAsia="Arial" w:hAnsi="Arial"/>
                <w:sz w:val="17"/>
                <w:szCs w:val="17"/>
                <w:b w:val="1"/>
                <w:bCs w:val="1"/>
                <w:color w:val="auto"/>
                <w:w w:val="93"/>
              </w:rPr>
              <w:t>Total</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2160" w:type="dxa"/>
            <w:vAlign w:val="bottom"/>
            <w:gridSpan w:val="3"/>
            <w:vMerge w:val="restart"/>
          </w:tcPr>
          <w:p>
            <w:pPr>
              <w:jc w:val="right"/>
              <w:ind w:right="335"/>
              <w:spacing w:after="0"/>
              <w:rPr>
                <w:sz w:val="20"/>
                <w:szCs w:val="20"/>
                <w:color w:val="auto"/>
              </w:rPr>
            </w:pPr>
            <w:r>
              <w:rPr>
                <w:rFonts w:ascii="Arial" w:cs="Arial" w:eastAsia="Arial" w:hAnsi="Arial"/>
                <w:sz w:val="17"/>
                <w:szCs w:val="17"/>
                <w:b w:val="1"/>
                <w:bCs w:val="1"/>
                <w:color w:val="auto"/>
              </w:rPr>
              <w:t>Common Stock</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75"/>
              <w:spacing w:after="0"/>
              <w:rPr>
                <w:sz w:val="20"/>
                <w:szCs w:val="20"/>
                <w:color w:val="auto"/>
              </w:rPr>
            </w:pPr>
            <w:r>
              <w:rPr>
                <w:rFonts w:ascii="Arial" w:cs="Arial" w:eastAsia="Arial" w:hAnsi="Arial"/>
                <w:sz w:val="17"/>
                <w:szCs w:val="17"/>
                <w:b w:val="1"/>
                <w:bCs w:val="1"/>
                <w:color w:val="auto"/>
                <w:w w:val="93"/>
              </w:rPr>
              <w:t>Additional</w:t>
            </w: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7"/>
                <w:szCs w:val="17"/>
                <w:b w:val="1"/>
                <w:bCs w:val="1"/>
                <w:color w:val="auto"/>
              </w:rPr>
              <w:t>Comprehensi</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55"/>
              <w:spacing w:after="0"/>
              <w:rPr>
                <w:sz w:val="20"/>
                <w:szCs w:val="20"/>
                <w:color w:val="auto"/>
              </w:rPr>
            </w:pPr>
            <w:r>
              <w:rPr>
                <w:rFonts w:ascii="Arial" w:cs="Arial" w:eastAsia="Arial" w:hAnsi="Arial"/>
                <w:sz w:val="17"/>
                <w:szCs w:val="17"/>
                <w:b w:val="1"/>
                <w:bCs w:val="1"/>
                <w:color w:val="auto"/>
                <w:w w:val="87"/>
              </w:rPr>
              <w:t>Stockholders</w:t>
            </w:r>
          </w:p>
        </w:tc>
        <w:tc>
          <w:tcPr>
            <w:tcW w:w="0" w:type="dxa"/>
            <w:vAlign w:val="bottom"/>
          </w:tcPr>
          <w:p>
            <w:pPr>
              <w:spacing w:after="0"/>
              <w:rPr>
                <w:sz w:val="1"/>
                <w:szCs w:val="1"/>
                <w:color w:val="auto"/>
              </w:rPr>
            </w:pPr>
          </w:p>
        </w:tc>
      </w:tr>
      <w:tr>
        <w:trPr>
          <w:trHeight w:val="220"/>
        </w:trPr>
        <w:tc>
          <w:tcPr>
            <w:tcW w:w="3560" w:type="dxa"/>
            <w:vAlign w:val="bottom"/>
          </w:tcPr>
          <w:p>
            <w:pPr>
              <w:spacing w:after="0"/>
              <w:rPr>
                <w:sz w:val="19"/>
                <w:szCs w:val="19"/>
                <w:color w:val="auto"/>
              </w:rPr>
            </w:pPr>
          </w:p>
        </w:tc>
        <w:tc>
          <w:tcPr>
            <w:tcW w:w="2160" w:type="dxa"/>
            <w:vAlign w:val="bottom"/>
            <w:tcBorders>
              <w:bottom w:val="single" w:sz="8" w:color="auto"/>
            </w:tcBorders>
            <w:gridSpan w:val="3"/>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295"/>
              <w:spacing w:after="0"/>
              <w:rPr>
                <w:sz w:val="20"/>
                <w:szCs w:val="20"/>
                <w:color w:val="auto"/>
              </w:rPr>
            </w:pPr>
            <w:r>
              <w:rPr>
                <w:rFonts w:ascii="Arial" w:cs="Arial" w:eastAsia="Arial" w:hAnsi="Arial"/>
                <w:sz w:val="17"/>
                <w:szCs w:val="17"/>
                <w:b w:val="1"/>
                <w:bCs w:val="1"/>
                <w:color w:val="auto"/>
              </w:rPr>
              <w:t>Paid-In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center"/>
              <w:ind w:right="235"/>
              <w:spacing w:after="0"/>
              <w:rPr>
                <w:sz w:val="20"/>
                <w:szCs w:val="20"/>
                <w:color w:val="auto"/>
              </w:rPr>
            </w:pPr>
            <w:r>
              <w:rPr>
                <w:rFonts w:ascii="Arial" w:cs="Arial" w:eastAsia="Arial" w:hAnsi="Arial"/>
                <w:sz w:val="17"/>
                <w:szCs w:val="17"/>
                <w:b w:val="1"/>
                <w:bCs w:val="1"/>
                <w:color w:val="auto"/>
                <w:w w:val="84"/>
              </w:rPr>
              <w:t>ve</w:t>
            </w:r>
          </w:p>
        </w:tc>
        <w:tc>
          <w:tcPr>
            <w:tcW w:w="140" w:type="dxa"/>
            <w:vAlign w:val="bottom"/>
          </w:tcPr>
          <w:p>
            <w:pPr>
              <w:spacing w:after="0"/>
              <w:rPr>
                <w:sz w:val="19"/>
                <w:szCs w:val="19"/>
                <w:color w:val="auto"/>
              </w:rPr>
            </w:pPr>
          </w:p>
        </w:tc>
        <w:tc>
          <w:tcPr>
            <w:tcW w:w="1160" w:type="dxa"/>
            <w:vAlign w:val="bottom"/>
            <w:gridSpan w:val="2"/>
          </w:tcPr>
          <w:p>
            <w:pPr>
              <w:ind w:left="40"/>
              <w:spacing w:after="0"/>
              <w:rPr>
                <w:sz w:val="20"/>
                <w:szCs w:val="20"/>
                <w:color w:val="auto"/>
              </w:rPr>
            </w:pPr>
            <w:r>
              <w:rPr>
                <w:rFonts w:ascii="Arial" w:cs="Arial" w:eastAsia="Arial" w:hAnsi="Arial"/>
                <w:sz w:val="17"/>
                <w:szCs w:val="17"/>
                <w:b w:val="1"/>
                <w:bCs w:val="1"/>
                <w:color w:val="auto"/>
              </w:rPr>
              <w:t>Accumulated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235"/>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19"/>
                <w:szCs w:val="19"/>
                <w:color w:val="auto"/>
              </w:rPr>
            </w:pPr>
          </w:p>
        </w:tc>
        <w:tc>
          <w:tcPr>
            <w:tcW w:w="12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Shares</w:t>
            </w: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Amount</w:t>
            </w:r>
          </w:p>
        </w:tc>
        <w:tc>
          <w:tcPr>
            <w:tcW w:w="3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Capital</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215"/>
              <w:spacing w:after="0"/>
              <w:rPr>
                <w:sz w:val="20"/>
                <w:szCs w:val="20"/>
                <w:color w:val="auto"/>
              </w:rPr>
            </w:pPr>
            <w:r>
              <w:rPr>
                <w:rFonts w:ascii="Arial" w:cs="Arial" w:eastAsia="Arial" w:hAnsi="Arial"/>
                <w:sz w:val="17"/>
                <w:szCs w:val="17"/>
                <w:b w:val="1"/>
                <w:bCs w:val="1"/>
                <w:color w:val="auto"/>
                <w:w w:val="85"/>
              </w:rPr>
              <w:t>Loss</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Deficit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35"/>
              <w:spacing w:after="0"/>
              <w:rPr>
                <w:sz w:val="20"/>
                <w:szCs w:val="20"/>
                <w:color w:val="auto"/>
              </w:rPr>
            </w:pPr>
            <w:r>
              <w:rPr>
                <w:rFonts w:ascii="Arial" w:cs="Arial" w:eastAsia="Arial" w:hAnsi="Arial"/>
                <w:sz w:val="17"/>
                <w:szCs w:val="17"/>
                <w:b w:val="1"/>
                <w:bCs w:val="1"/>
                <w:color w:val="auto"/>
                <w:w w:val="96"/>
              </w:rPr>
              <w:t>Equity</w:t>
            </w:r>
          </w:p>
        </w:tc>
        <w:tc>
          <w:tcPr>
            <w:tcW w:w="0" w:type="dxa"/>
            <w:vAlign w:val="bottom"/>
          </w:tcPr>
          <w:p>
            <w:pPr>
              <w:spacing w:after="0"/>
              <w:rPr>
                <w:sz w:val="1"/>
                <w:szCs w:val="1"/>
                <w:color w:val="auto"/>
              </w:rPr>
            </w:pPr>
          </w:p>
        </w:tc>
      </w:tr>
      <w:tr>
        <w:trPr>
          <w:trHeight w:val="228"/>
        </w:trPr>
        <w:tc>
          <w:tcPr>
            <w:tcW w:w="3560" w:type="dxa"/>
            <w:vAlign w:val="bottom"/>
            <w:shd w:val="clear" w:color="auto" w:fill="CFF0FC"/>
          </w:tcPr>
          <w:p>
            <w:pPr>
              <w:ind w:left="20"/>
              <w:spacing w:after="0"/>
              <w:rPr>
                <w:sz w:val="20"/>
                <w:szCs w:val="20"/>
                <w:color w:val="auto"/>
              </w:rPr>
            </w:pPr>
            <w:r>
              <w:rPr>
                <w:rFonts w:ascii="Arial" w:cs="Arial" w:eastAsia="Arial" w:hAnsi="Arial"/>
                <w:sz w:val="17"/>
                <w:szCs w:val="17"/>
                <w:color w:val="auto"/>
              </w:rPr>
              <w:t>Balance at December 31, 2021</w:t>
            </w:r>
          </w:p>
        </w:tc>
        <w:tc>
          <w:tcPr>
            <w:tcW w:w="120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40,626,224</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94"/>
              </w:rPr>
              <w:t>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514,362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(397 )</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(302,467 )</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211,539</w:t>
            </w:r>
          </w:p>
        </w:tc>
        <w:tc>
          <w:tcPr>
            <w:tcW w:w="0" w:type="dxa"/>
            <w:vAlign w:val="bottom"/>
          </w:tcPr>
          <w:p>
            <w:pPr>
              <w:spacing w:after="0"/>
              <w:rPr>
                <w:sz w:val="1"/>
                <w:szCs w:val="1"/>
                <w:color w:val="auto"/>
              </w:rPr>
            </w:pPr>
          </w:p>
        </w:tc>
      </w:tr>
      <w:tr>
        <w:trPr>
          <w:trHeight w:val="198"/>
        </w:trPr>
        <w:tc>
          <w:tcPr>
            <w:tcW w:w="3560" w:type="dxa"/>
            <w:vAlign w:val="bottom"/>
          </w:tcPr>
          <w:p>
            <w:pPr>
              <w:ind w:left="200"/>
              <w:spacing w:after="0"/>
              <w:rPr>
                <w:sz w:val="20"/>
                <w:szCs w:val="20"/>
                <w:color w:val="auto"/>
              </w:rPr>
            </w:pPr>
            <w:r>
              <w:rPr>
                <w:rFonts w:ascii="Arial" w:cs="Arial" w:eastAsia="Arial" w:hAnsi="Arial"/>
                <w:sz w:val="17"/>
                <w:szCs w:val="17"/>
                <w:color w:val="auto"/>
              </w:rPr>
              <w:t>Issuance of common stock under employee</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60" w:type="dxa"/>
            <w:vAlign w:val="bottom"/>
          </w:tcPr>
          <w:p>
            <w:pPr>
              <w:ind w:left="200"/>
              <w:spacing w:after="0"/>
              <w:rPr>
                <w:sz w:val="20"/>
                <w:szCs w:val="20"/>
                <w:color w:val="auto"/>
              </w:rPr>
            </w:pPr>
            <w:r>
              <w:rPr>
                <w:rFonts w:ascii="Arial" w:cs="Arial" w:eastAsia="Arial" w:hAnsi="Arial"/>
                <w:sz w:val="17"/>
                <w:szCs w:val="17"/>
                <w:color w:val="auto"/>
              </w:rPr>
              <w:t>benefit plans</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47,627</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395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395</w:t>
            </w:r>
          </w:p>
        </w:tc>
        <w:tc>
          <w:tcPr>
            <w:tcW w:w="0" w:type="dxa"/>
            <w:vAlign w:val="bottom"/>
          </w:tcPr>
          <w:p>
            <w:pPr>
              <w:spacing w:after="0"/>
              <w:rPr>
                <w:sz w:val="1"/>
                <w:szCs w:val="1"/>
                <w:color w:val="auto"/>
              </w:rPr>
            </w:pPr>
          </w:p>
        </w:tc>
      </w:tr>
      <w:tr>
        <w:trPr>
          <w:trHeight w:val="238"/>
        </w:trPr>
        <w:tc>
          <w:tcPr>
            <w:tcW w:w="3560" w:type="dxa"/>
            <w:vAlign w:val="bottom"/>
            <w:shd w:val="clear" w:color="auto" w:fill="CFF0FC"/>
          </w:tcPr>
          <w:p>
            <w:pPr>
              <w:ind w:left="200"/>
              <w:spacing w:after="0"/>
              <w:rPr>
                <w:sz w:val="20"/>
                <w:szCs w:val="20"/>
                <w:color w:val="auto"/>
              </w:rPr>
            </w:pPr>
            <w:r>
              <w:rPr>
                <w:rFonts w:ascii="Arial" w:cs="Arial" w:eastAsia="Arial" w:hAnsi="Arial"/>
                <w:sz w:val="17"/>
                <w:szCs w:val="17"/>
                <w:color w:val="auto"/>
              </w:rPr>
              <w:t>Vesting of restricted stock awards</w:t>
            </w:r>
          </w:p>
        </w:tc>
        <w:tc>
          <w:tcPr>
            <w:tcW w:w="120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9,754</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3560" w:type="dxa"/>
            <w:vAlign w:val="bottom"/>
          </w:tcPr>
          <w:p>
            <w:pPr>
              <w:ind w:left="200"/>
              <w:spacing w:after="0"/>
              <w:rPr>
                <w:sz w:val="20"/>
                <w:szCs w:val="20"/>
                <w:color w:val="auto"/>
              </w:rPr>
            </w:pPr>
            <w:r>
              <w:rPr>
                <w:rFonts w:ascii="Arial" w:cs="Arial" w:eastAsia="Arial" w:hAnsi="Arial"/>
                <w:sz w:val="17"/>
                <w:szCs w:val="17"/>
                <w:color w:val="auto"/>
              </w:rPr>
              <w:t>Stock-based compensation expense</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3,847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3,847</w:t>
            </w:r>
          </w:p>
        </w:tc>
        <w:tc>
          <w:tcPr>
            <w:tcW w:w="0" w:type="dxa"/>
            <w:vAlign w:val="bottom"/>
          </w:tcPr>
          <w:p>
            <w:pPr>
              <w:spacing w:after="0"/>
              <w:rPr>
                <w:sz w:val="1"/>
                <w:szCs w:val="1"/>
                <w:color w:val="auto"/>
              </w:rPr>
            </w:pPr>
          </w:p>
        </w:tc>
      </w:tr>
      <w:tr>
        <w:trPr>
          <w:trHeight w:val="236"/>
        </w:trPr>
        <w:tc>
          <w:tcPr>
            <w:tcW w:w="3560" w:type="dxa"/>
            <w:vAlign w:val="bottom"/>
            <w:shd w:val="clear" w:color="auto" w:fill="CFF0FC"/>
          </w:tcPr>
          <w:p>
            <w:pPr>
              <w:ind w:left="200"/>
              <w:spacing w:after="0"/>
              <w:rPr>
                <w:sz w:val="20"/>
                <w:szCs w:val="20"/>
                <w:color w:val="auto"/>
              </w:rPr>
            </w:pPr>
            <w:r>
              <w:rPr>
                <w:rFonts w:ascii="Arial" w:cs="Arial" w:eastAsia="Arial" w:hAnsi="Arial"/>
                <w:sz w:val="17"/>
                <w:szCs w:val="17"/>
                <w:color w:val="auto"/>
              </w:rPr>
              <w:t>Unrealized loss on marketable securities</w:t>
            </w:r>
          </w:p>
        </w:tc>
        <w:tc>
          <w:tcPr>
            <w:tcW w:w="120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(693 )</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(693 )</w:t>
            </w:r>
          </w:p>
        </w:tc>
        <w:tc>
          <w:tcPr>
            <w:tcW w:w="0" w:type="dxa"/>
            <w:vAlign w:val="bottom"/>
          </w:tcPr>
          <w:p>
            <w:pPr>
              <w:spacing w:after="0"/>
              <w:rPr>
                <w:sz w:val="1"/>
                <w:szCs w:val="1"/>
                <w:color w:val="auto"/>
              </w:rPr>
            </w:pPr>
          </w:p>
        </w:tc>
      </w:tr>
      <w:tr>
        <w:trPr>
          <w:trHeight w:val="223"/>
        </w:trPr>
        <w:tc>
          <w:tcPr>
            <w:tcW w:w="3560" w:type="dxa"/>
            <w:vAlign w:val="bottom"/>
          </w:tcPr>
          <w:p>
            <w:pPr>
              <w:ind w:left="200"/>
              <w:spacing w:after="0"/>
              <w:rPr>
                <w:sz w:val="20"/>
                <w:szCs w:val="20"/>
                <w:color w:val="auto"/>
              </w:rPr>
            </w:pPr>
            <w:r>
              <w:rPr>
                <w:rFonts w:ascii="Arial" w:cs="Arial" w:eastAsia="Arial" w:hAnsi="Arial"/>
                <w:sz w:val="17"/>
                <w:szCs w:val="17"/>
                <w:color w:val="auto"/>
              </w:rPr>
              <w:t>Net loss</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(25,928 )</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(25,928 )</w:t>
            </w:r>
          </w:p>
        </w:tc>
        <w:tc>
          <w:tcPr>
            <w:tcW w:w="0" w:type="dxa"/>
            <w:vAlign w:val="bottom"/>
          </w:tcPr>
          <w:p>
            <w:pPr>
              <w:spacing w:after="0"/>
              <w:rPr>
                <w:sz w:val="1"/>
                <w:szCs w:val="1"/>
                <w:color w:val="auto"/>
              </w:rPr>
            </w:pPr>
          </w:p>
        </w:tc>
      </w:tr>
      <w:tr>
        <w:trPr>
          <w:trHeight w:val="263"/>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Balance at March 31, 2022</w:t>
            </w:r>
          </w:p>
        </w:tc>
        <w:tc>
          <w:tcPr>
            <w:tcW w:w="12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40,683,605</w:t>
            </w:r>
          </w:p>
        </w:tc>
        <w:tc>
          <w:tcPr>
            <w:tcW w:w="14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635"/>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94"/>
              </w:rPr>
              <w:t>41</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rPr>
              <w:t>518,604</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(1,090 )</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(328,395 )</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189,160</w:t>
            </w:r>
          </w:p>
        </w:tc>
        <w:tc>
          <w:tcPr>
            <w:tcW w:w="0" w:type="dxa"/>
            <w:vAlign w:val="bottom"/>
          </w:tcPr>
          <w:p>
            <w:pPr>
              <w:spacing w:after="0"/>
              <w:rPr>
                <w:sz w:val="1"/>
                <w:szCs w:val="1"/>
                <w:color w:val="auto"/>
              </w:rPr>
            </w:pPr>
          </w:p>
        </w:tc>
      </w:tr>
      <w:tr>
        <w:trPr>
          <w:trHeight w:val="210"/>
        </w:trPr>
        <w:tc>
          <w:tcPr>
            <w:tcW w:w="3560" w:type="dxa"/>
            <w:vAlign w:val="bottom"/>
          </w:tcPr>
          <w:p>
            <w:pPr>
              <w:ind w:left="20"/>
              <w:spacing w:after="0"/>
              <w:rPr>
                <w:sz w:val="20"/>
                <w:szCs w:val="20"/>
                <w:color w:val="auto"/>
              </w:rPr>
            </w:pPr>
            <w:r>
              <w:rPr>
                <w:rFonts w:ascii="Arial" w:cs="Arial" w:eastAsia="Arial" w:hAnsi="Arial"/>
                <w:sz w:val="17"/>
                <w:szCs w:val="17"/>
                <w:color w:val="auto"/>
              </w:rPr>
              <w:t>Balance at December 31, 2022</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52,099,211</w:t>
            </w:r>
          </w:p>
        </w:tc>
        <w:tc>
          <w:tcPr>
            <w:tcW w:w="960" w:type="dxa"/>
            <w:vAlign w:val="bottom"/>
            <w:gridSpan w:val="2"/>
          </w:tcPr>
          <w:p>
            <w:pPr>
              <w:jc w:val="right"/>
              <w:ind w:right="635"/>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55"/>
              <w:spacing w:after="0"/>
              <w:rPr>
                <w:sz w:val="20"/>
                <w:szCs w:val="20"/>
                <w:color w:val="auto"/>
              </w:rPr>
            </w:pPr>
            <w:r>
              <w:rPr>
                <w:rFonts w:ascii="Arial" w:cs="Arial" w:eastAsia="Arial" w:hAnsi="Arial"/>
                <w:sz w:val="17"/>
                <w:szCs w:val="17"/>
                <w:color w:val="auto"/>
                <w:w w:val="94"/>
              </w:rPr>
              <w:t>52</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612,025</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(797 )</w:t>
            </w:r>
          </w:p>
        </w:tc>
        <w:tc>
          <w:tcPr>
            <w:tcW w:w="3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(412,338 )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198,942</w:t>
            </w:r>
          </w:p>
        </w:tc>
        <w:tc>
          <w:tcPr>
            <w:tcW w:w="0" w:type="dxa"/>
            <w:vAlign w:val="bottom"/>
          </w:tcPr>
          <w:p>
            <w:pPr>
              <w:spacing w:after="0"/>
              <w:rPr>
                <w:sz w:val="1"/>
                <w:szCs w:val="1"/>
                <w:color w:val="auto"/>
              </w:rPr>
            </w:pPr>
          </w:p>
        </w:tc>
      </w:tr>
      <w:tr>
        <w:trPr>
          <w:trHeight w:val="205"/>
        </w:trPr>
        <w:tc>
          <w:tcPr>
            <w:tcW w:w="3560" w:type="dxa"/>
            <w:vAlign w:val="bottom"/>
            <w:shd w:val="clear" w:color="auto" w:fill="CFF0FC"/>
          </w:tcPr>
          <w:p>
            <w:pPr>
              <w:ind w:left="200"/>
              <w:spacing w:after="0"/>
              <w:rPr>
                <w:sz w:val="20"/>
                <w:szCs w:val="20"/>
                <w:color w:val="auto"/>
              </w:rPr>
            </w:pPr>
            <w:r>
              <w:rPr>
                <w:rFonts w:ascii="Arial" w:cs="Arial" w:eastAsia="Arial" w:hAnsi="Arial"/>
                <w:sz w:val="17"/>
                <w:szCs w:val="17"/>
                <w:color w:val="auto"/>
                <w:w w:val="97"/>
              </w:rPr>
              <w:t>Issuance of common stock in connection with</w:t>
            </w: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public offering, net of issuance costs</w:t>
            </w:r>
          </w:p>
        </w:tc>
        <w:tc>
          <w:tcPr>
            <w:tcW w:w="120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9,615,384</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94"/>
              </w:rPr>
              <w:t>10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117,336</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117,346</w:t>
            </w:r>
          </w:p>
        </w:tc>
        <w:tc>
          <w:tcPr>
            <w:tcW w:w="0" w:type="dxa"/>
            <w:vAlign w:val="bottom"/>
          </w:tcPr>
          <w:p>
            <w:pPr>
              <w:spacing w:after="0"/>
              <w:rPr>
                <w:sz w:val="1"/>
                <w:szCs w:val="1"/>
                <w:color w:val="auto"/>
              </w:rPr>
            </w:pPr>
          </w:p>
        </w:tc>
      </w:tr>
      <w:tr>
        <w:trPr>
          <w:trHeight w:val="198"/>
        </w:trPr>
        <w:tc>
          <w:tcPr>
            <w:tcW w:w="3560" w:type="dxa"/>
            <w:vAlign w:val="bottom"/>
          </w:tcPr>
          <w:p>
            <w:pPr>
              <w:ind w:left="200"/>
              <w:spacing w:after="0"/>
              <w:rPr>
                <w:sz w:val="20"/>
                <w:szCs w:val="20"/>
                <w:color w:val="auto"/>
              </w:rPr>
            </w:pPr>
            <w:r>
              <w:rPr>
                <w:rFonts w:ascii="Arial" w:cs="Arial" w:eastAsia="Arial" w:hAnsi="Arial"/>
                <w:sz w:val="17"/>
                <w:szCs w:val="17"/>
                <w:color w:val="auto"/>
              </w:rPr>
              <w:t>Issuance of common stock under employee</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60" w:type="dxa"/>
            <w:vAlign w:val="bottom"/>
          </w:tcPr>
          <w:p>
            <w:pPr>
              <w:ind w:left="200"/>
              <w:spacing w:after="0"/>
              <w:rPr>
                <w:sz w:val="20"/>
                <w:szCs w:val="20"/>
                <w:color w:val="auto"/>
              </w:rPr>
            </w:pPr>
            <w:r>
              <w:rPr>
                <w:rFonts w:ascii="Arial" w:cs="Arial" w:eastAsia="Arial" w:hAnsi="Arial"/>
                <w:sz w:val="17"/>
                <w:szCs w:val="17"/>
                <w:color w:val="auto"/>
              </w:rPr>
              <w:t>benefit plans</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38,903</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348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348</w:t>
            </w:r>
          </w:p>
        </w:tc>
        <w:tc>
          <w:tcPr>
            <w:tcW w:w="0" w:type="dxa"/>
            <w:vAlign w:val="bottom"/>
          </w:tcPr>
          <w:p>
            <w:pPr>
              <w:spacing w:after="0"/>
              <w:rPr>
                <w:sz w:val="1"/>
                <w:szCs w:val="1"/>
                <w:color w:val="auto"/>
              </w:rPr>
            </w:pPr>
          </w:p>
        </w:tc>
      </w:tr>
      <w:tr>
        <w:trPr>
          <w:trHeight w:val="238"/>
        </w:trPr>
        <w:tc>
          <w:tcPr>
            <w:tcW w:w="3560" w:type="dxa"/>
            <w:vAlign w:val="bottom"/>
            <w:shd w:val="clear" w:color="auto" w:fill="CFF0FC"/>
          </w:tcPr>
          <w:p>
            <w:pPr>
              <w:ind w:left="200"/>
              <w:spacing w:after="0"/>
              <w:rPr>
                <w:sz w:val="20"/>
                <w:szCs w:val="20"/>
                <w:color w:val="auto"/>
              </w:rPr>
            </w:pPr>
            <w:r>
              <w:rPr>
                <w:rFonts w:ascii="Arial" w:cs="Arial" w:eastAsia="Arial" w:hAnsi="Arial"/>
                <w:sz w:val="17"/>
                <w:szCs w:val="17"/>
                <w:color w:val="auto"/>
              </w:rPr>
              <w:t>Vesting of restricted stock awards</w:t>
            </w:r>
          </w:p>
        </w:tc>
        <w:tc>
          <w:tcPr>
            <w:tcW w:w="120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5,496</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3560" w:type="dxa"/>
            <w:vAlign w:val="bottom"/>
          </w:tcPr>
          <w:p>
            <w:pPr>
              <w:ind w:left="200"/>
              <w:spacing w:after="0"/>
              <w:rPr>
                <w:sz w:val="20"/>
                <w:szCs w:val="20"/>
                <w:color w:val="auto"/>
              </w:rPr>
            </w:pPr>
            <w:r>
              <w:rPr>
                <w:rFonts w:ascii="Arial" w:cs="Arial" w:eastAsia="Arial" w:hAnsi="Arial"/>
                <w:sz w:val="17"/>
                <w:szCs w:val="17"/>
                <w:color w:val="auto"/>
              </w:rPr>
              <w:t>Stock-based compensation expense</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4,253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4,253</w:t>
            </w:r>
          </w:p>
        </w:tc>
        <w:tc>
          <w:tcPr>
            <w:tcW w:w="0" w:type="dxa"/>
            <w:vAlign w:val="bottom"/>
          </w:tcPr>
          <w:p>
            <w:pPr>
              <w:spacing w:after="0"/>
              <w:rPr>
                <w:sz w:val="1"/>
                <w:szCs w:val="1"/>
                <w:color w:val="auto"/>
              </w:rPr>
            </w:pPr>
          </w:p>
        </w:tc>
      </w:tr>
      <w:tr>
        <w:trPr>
          <w:trHeight w:val="236"/>
        </w:trPr>
        <w:tc>
          <w:tcPr>
            <w:tcW w:w="3560" w:type="dxa"/>
            <w:vAlign w:val="bottom"/>
            <w:shd w:val="clear" w:color="auto" w:fill="CFF0FC"/>
          </w:tcPr>
          <w:p>
            <w:pPr>
              <w:ind w:left="200"/>
              <w:spacing w:after="0"/>
              <w:rPr>
                <w:sz w:val="20"/>
                <w:szCs w:val="20"/>
                <w:color w:val="auto"/>
              </w:rPr>
            </w:pPr>
            <w:r>
              <w:rPr>
                <w:rFonts w:ascii="Arial" w:cs="Arial" w:eastAsia="Arial" w:hAnsi="Arial"/>
                <w:sz w:val="17"/>
                <w:szCs w:val="17"/>
                <w:color w:val="auto"/>
              </w:rPr>
              <w:t>Unrealized gain on marketable securities</w:t>
            </w:r>
          </w:p>
        </w:tc>
        <w:tc>
          <w:tcPr>
            <w:tcW w:w="120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146</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23"/>
        </w:trPr>
        <w:tc>
          <w:tcPr>
            <w:tcW w:w="3560" w:type="dxa"/>
            <w:vAlign w:val="bottom"/>
          </w:tcPr>
          <w:p>
            <w:pPr>
              <w:ind w:left="200"/>
              <w:spacing w:after="0"/>
              <w:rPr>
                <w:sz w:val="20"/>
                <w:szCs w:val="20"/>
                <w:color w:val="auto"/>
              </w:rPr>
            </w:pPr>
            <w:r>
              <w:rPr>
                <w:rFonts w:ascii="Arial" w:cs="Arial" w:eastAsia="Arial" w:hAnsi="Arial"/>
                <w:sz w:val="17"/>
                <w:szCs w:val="17"/>
                <w:color w:val="auto"/>
              </w:rPr>
              <w:t>Net loss</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(24,779 )</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(24,779 )</w:t>
            </w:r>
          </w:p>
        </w:tc>
        <w:tc>
          <w:tcPr>
            <w:tcW w:w="0" w:type="dxa"/>
            <w:vAlign w:val="bottom"/>
          </w:tcPr>
          <w:p>
            <w:pPr>
              <w:spacing w:after="0"/>
              <w:rPr>
                <w:sz w:val="1"/>
                <w:szCs w:val="1"/>
                <w:color w:val="auto"/>
              </w:rPr>
            </w:pPr>
          </w:p>
        </w:tc>
      </w:tr>
      <w:tr>
        <w:trPr>
          <w:trHeight w:val="263"/>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Balance at March 31, 2023</w:t>
            </w:r>
          </w:p>
        </w:tc>
        <w:tc>
          <w:tcPr>
            <w:tcW w:w="12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61,758,994</w:t>
            </w:r>
          </w:p>
        </w:tc>
        <w:tc>
          <w:tcPr>
            <w:tcW w:w="14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635"/>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94"/>
              </w:rPr>
              <w:t>62</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rPr>
              <w:t>733,962</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(651 )</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(437,117 )</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296,256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-1482090</wp:posOffset>
            </wp:positionV>
            <wp:extent cx="337756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77565" cy="17145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-24765</wp:posOffset>
            </wp:positionV>
            <wp:extent cx="946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-7620</wp:posOffset>
            </wp:positionV>
            <wp:extent cx="946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-24765</wp:posOffset>
            </wp:positionV>
            <wp:extent cx="939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939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946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946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0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2022</w:t>
            </w:r>
          </w:p>
        </w:tc>
      </w:tr>
      <w:tr>
        <w:trPr>
          <w:trHeight w:val="223"/>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0"/>
        </w:trPr>
        <w:tc>
          <w:tcPr>
            <w:tcW w:w="7660" w:type="dxa"/>
            <w:vAlign w:val="bottom"/>
          </w:tcPr>
          <w:p>
            <w:pPr>
              <w:ind w:left="20"/>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ind w:right="76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(24,779 )</w:t>
            </w: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(25,928 )</w:t>
            </w:r>
          </w:p>
        </w:tc>
      </w:tr>
      <w:tr>
        <w:trPr>
          <w:trHeight w:val="23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20"/>
        </w:trPr>
        <w:tc>
          <w:tcPr>
            <w:tcW w:w="7660" w:type="dxa"/>
            <w:vAlign w:val="bottom"/>
          </w:tcPr>
          <w:p>
            <w:pPr>
              <w:ind w:left="200"/>
              <w:spacing w:after="0"/>
              <w:rPr>
                <w:sz w:val="20"/>
                <w:szCs w:val="20"/>
                <w:color w:val="auto"/>
              </w:rPr>
            </w:pPr>
            <w:r>
              <w:rPr>
                <w:rFonts w:ascii="Arial" w:cs="Arial" w:eastAsia="Arial" w:hAnsi="Arial"/>
                <w:sz w:val="16"/>
                <w:szCs w:val="16"/>
                <w:color w:val="auto"/>
              </w:rPr>
              <w:t>Depreciation expense</w:t>
            </w:r>
          </w:p>
        </w:tc>
        <w:tc>
          <w:tcPr>
            <w:tcW w:w="9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566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536</w:t>
            </w:r>
          </w:p>
        </w:tc>
      </w:tr>
      <w:tr>
        <w:trPr>
          <w:trHeight w:val="23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9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4,253</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3,847</w:t>
            </w:r>
          </w:p>
        </w:tc>
      </w:tr>
      <w:tr>
        <w:trPr>
          <w:trHeight w:val="220"/>
        </w:trPr>
        <w:tc>
          <w:tcPr>
            <w:tcW w:w="7660" w:type="dxa"/>
            <w:vAlign w:val="bottom"/>
          </w:tcPr>
          <w:p>
            <w:pPr>
              <w:ind w:left="200"/>
              <w:spacing w:after="0"/>
              <w:rPr>
                <w:sz w:val="20"/>
                <w:szCs w:val="20"/>
                <w:color w:val="auto"/>
              </w:rPr>
            </w:pPr>
            <w:r>
              <w:rPr>
                <w:rFonts w:ascii="Arial" w:cs="Arial" w:eastAsia="Arial" w:hAnsi="Arial"/>
                <w:sz w:val="16"/>
                <w:szCs w:val="16"/>
                <w:color w:val="auto"/>
              </w:rPr>
              <w:t>Net (accretion of discounts) amortization of premiums on marketable securities</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(1,366 )</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353</w:t>
            </w:r>
          </w:p>
        </w:tc>
      </w:tr>
      <w:tr>
        <w:trPr>
          <w:trHeight w:val="23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9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2,500</w:t>
            </w:r>
          </w:p>
        </w:tc>
      </w:tr>
      <w:tr>
        <w:trPr>
          <w:trHeight w:val="239"/>
        </w:trPr>
        <w:tc>
          <w:tcPr>
            <w:tcW w:w="7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Unbilled accounts receivable</w:t>
            </w:r>
          </w:p>
        </w:tc>
        <w:tc>
          <w:tcPr>
            <w:tcW w:w="9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130</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335</w:t>
            </w: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(522 )</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96</w:t>
            </w:r>
          </w:p>
        </w:tc>
      </w:tr>
      <w:tr>
        <w:trPr>
          <w:trHeight w:val="239"/>
        </w:trPr>
        <w:tc>
          <w:tcPr>
            <w:tcW w:w="7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lease assets and liabilities</w:t>
            </w:r>
          </w:p>
        </w:tc>
        <w:tc>
          <w:tcPr>
            <w:tcW w:w="9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(164 )</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107</w:t>
            </w: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9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74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(274 )</w:t>
            </w:r>
          </w:p>
        </w:tc>
      </w:tr>
      <w:tr>
        <w:trPr>
          <w:trHeight w:val="239"/>
        </w:trPr>
        <w:tc>
          <w:tcPr>
            <w:tcW w:w="7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w:t>
            </w:r>
          </w:p>
        </w:tc>
        <w:tc>
          <w:tcPr>
            <w:tcW w:w="9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88</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509</w:t>
            </w: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rPr>
              <w:t>Accrued expenses and other liabilities</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(2,199 )</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(2,397 )</w:t>
            </w:r>
          </w:p>
        </w:tc>
      </w:tr>
      <w:tr>
        <w:trPr>
          <w:trHeight w:val="233"/>
        </w:trPr>
        <w:tc>
          <w:tcPr>
            <w:tcW w:w="7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Deferred revenue</w:t>
            </w:r>
          </w:p>
        </w:tc>
        <w:tc>
          <w:tcPr>
            <w:tcW w:w="9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(197 )</w:t>
            </w: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(1,790 )</w:t>
            </w:r>
          </w:p>
        </w:tc>
      </w:tr>
      <w:tr>
        <w:trPr>
          <w:trHeight w:val="220"/>
        </w:trPr>
        <w:tc>
          <w:tcPr>
            <w:tcW w:w="7660" w:type="dxa"/>
            <w:vAlign w:val="bottom"/>
          </w:tcPr>
          <w:p>
            <w:pPr>
              <w:ind w:left="20"/>
              <w:spacing w:after="0"/>
              <w:rPr>
                <w:sz w:val="20"/>
                <w:szCs w:val="20"/>
                <w:color w:val="auto"/>
              </w:rPr>
            </w:pPr>
            <w:r>
              <w:rPr>
                <w:rFonts w:ascii="Arial" w:cs="Arial" w:eastAsia="Arial" w:hAnsi="Arial"/>
                <w:sz w:val="16"/>
                <w:szCs w:val="16"/>
                <w:color w:val="auto"/>
              </w:rPr>
              <w:t>Net cash used in operating activities</w:t>
            </w:r>
          </w:p>
        </w:tc>
        <w:tc>
          <w:tcPr>
            <w:tcW w:w="940" w:type="dxa"/>
            <w:vAlign w:val="bottom"/>
          </w:tcPr>
          <w:p>
            <w:pPr>
              <w:jc w:val="right"/>
              <w:ind w:right="76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(24,116 )</w:t>
            </w: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(22,106 )</w:t>
            </w:r>
          </w:p>
        </w:tc>
      </w:tr>
      <w:tr>
        <w:trPr>
          <w:trHeight w:val="23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20"/>
        </w:trPr>
        <w:tc>
          <w:tcPr>
            <w:tcW w:w="766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0"/>
              </w:rPr>
              <w:t>(126,504 )</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(4,990 )</w:t>
            </w:r>
          </w:p>
        </w:tc>
      </w:tr>
      <w:tr>
        <w:trPr>
          <w:trHeight w:val="23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Maturities of marketable securities</w:t>
            </w:r>
          </w:p>
        </w:tc>
        <w:tc>
          <w:tcPr>
            <w:tcW w:w="9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32,734</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24,895</w:t>
            </w:r>
          </w:p>
        </w:tc>
      </w:tr>
      <w:tr>
        <w:trPr>
          <w:trHeight w:val="223"/>
        </w:trPr>
        <w:tc>
          <w:tcPr>
            <w:tcW w:w="766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(171 )</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(246 )</w:t>
            </w: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(93,941 )</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19,659</w:t>
            </w:r>
          </w:p>
        </w:tc>
      </w:tr>
      <w:tr>
        <w:trPr>
          <w:trHeight w:val="220"/>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 in connection with public offerings, net of issuance costs</w:t>
            </w:r>
          </w:p>
        </w:tc>
        <w:tc>
          <w:tcPr>
            <w:tcW w:w="9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117,345</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7660" w:type="dxa"/>
            <w:vAlign w:val="bottom"/>
          </w:tcPr>
          <w:p>
            <w:pPr>
              <w:ind w:left="20"/>
              <w:spacing w:after="0"/>
              <w:rPr>
                <w:sz w:val="20"/>
                <w:szCs w:val="20"/>
                <w:color w:val="auto"/>
              </w:rPr>
            </w:pPr>
            <w:r>
              <w:rPr>
                <w:rFonts w:ascii="Arial" w:cs="Arial" w:eastAsia="Arial" w:hAnsi="Arial"/>
                <w:sz w:val="16"/>
                <w:szCs w:val="16"/>
                <w:color w:val="auto"/>
              </w:rPr>
              <w:t>Proceeds from issuance of common stock under benefit plans, net</w:t>
            </w: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348</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348</w:t>
            </w:r>
          </w:p>
        </w:tc>
      </w:tr>
      <w:tr>
        <w:trPr>
          <w:trHeight w:val="223"/>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117,693</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348</w:t>
            </w:r>
          </w:p>
        </w:tc>
      </w:tr>
      <w:tr>
        <w:trPr>
          <w:trHeight w:val="220"/>
        </w:trPr>
        <w:tc>
          <w:tcPr>
            <w:tcW w:w="7660" w:type="dxa"/>
            <w:vAlign w:val="bottom"/>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(364 )</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(2,099 )</w:t>
            </w:r>
          </w:p>
        </w:tc>
      </w:tr>
      <w:tr>
        <w:trPr>
          <w:trHeight w:val="233"/>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9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36,190</w:t>
            </w: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36,504</w:t>
            </w:r>
          </w:p>
        </w:tc>
      </w:tr>
      <w:tr>
        <w:trPr>
          <w:trHeight w:val="223"/>
        </w:trPr>
        <w:tc>
          <w:tcPr>
            <w:tcW w:w="76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940" w:type="dxa"/>
            <w:vAlign w:val="bottom"/>
          </w:tcPr>
          <w:p>
            <w:pPr>
              <w:jc w:val="right"/>
              <w:ind w:right="76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35,826</w:t>
            </w: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34,405</w:t>
            </w:r>
          </w:p>
        </w:tc>
      </w:tr>
      <w:tr>
        <w:trPr>
          <w:trHeight w:val="20"/>
        </w:trPr>
        <w:tc>
          <w:tcPr>
            <w:tcW w:w="7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20"/>
        </w:trPr>
        <w:tc>
          <w:tcPr>
            <w:tcW w:w="7660" w:type="dxa"/>
            <w:vAlign w:val="bottom"/>
          </w:tcPr>
          <w:p>
            <w:pPr>
              <w:ind w:left="20"/>
              <w:spacing w:after="0"/>
              <w:rPr>
                <w:sz w:val="20"/>
                <w:szCs w:val="20"/>
                <w:color w:val="auto"/>
              </w:rPr>
            </w:pPr>
            <w:r>
              <w:rPr>
                <w:rFonts w:ascii="Arial" w:cs="Arial" w:eastAsia="Arial" w:hAnsi="Arial"/>
                <w:sz w:val="16"/>
                <w:szCs w:val="16"/>
                <w:color w:val="auto"/>
              </w:rPr>
              <w:t>Cash paid for operating lease liabilities</w:t>
            </w:r>
          </w:p>
        </w:tc>
        <w:tc>
          <w:tcPr>
            <w:tcW w:w="940" w:type="dxa"/>
            <w:vAlign w:val="bottom"/>
          </w:tcPr>
          <w:p>
            <w:pPr>
              <w:jc w:val="right"/>
              <w:ind w:right="76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819</w:t>
            </w: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597</w:t>
            </w:r>
          </w:p>
        </w:tc>
      </w:tr>
      <w:tr>
        <w:trPr>
          <w:trHeight w:val="23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9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20"/>
        </w:trPr>
        <w:tc>
          <w:tcPr>
            <w:tcW w:w="7660" w:type="dxa"/>
            <w:vAlign w:val="bottom"/>
          </w:tcPr>
          <w:p>
            <w:pPr>
              <w:ind w:left="20"/>
              <w:spacing w:after="0"/>
              <w:rPr>
                <w:sz w:val="20"/>
                <w:szCs w:val="20"/>
                <w:color w:val="auto"/>
              </w:rPr>
            </w:pPr>
            <w:r>
              <w:rPr>
                <w:rFonts w:ascii="Arial" w:cs="Arial" w:eastAsia="Arial" w:hAnsi="Arial"/>
                <w:sz w:val="16"/>
                <w:szCs w:val="16"/>
                <w:color w:val="auto"/>
              </w:rPr>
              <w:t>Property and equipment purchases unpaid at end of period</w:t>
            </w:r>
          </w:p>
        </w:tc>
        <w:tc>
          <w:tcPr>
            <w:tcW w:w="940" w:type="dxa"/>
            <w:vAlign w:val="bottom"/>
          </w:tcPr>
          <w:p>
            <w:pPr>
              <w:jc w:val="right"/>
              <w:ind w:right="76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79</w:t>
            </w: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847</w:t>
            </w:r>
          </w:p>
        </w:tc>
      </w:tr>
      <w:tr>
        <w:trPr>
          <w:trHeight w:val="23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receivable</w:t>
            </w:r>
          </w:p>
        </w:tc>
        <w:tc>
          <w:tcPr>
            <w:tcW w:w="940" w:type="dxa"/>
            <w:vAlign w:val="bottom"/>
            <w:shd w:val="clear" w:color="auto" w:fill="CFF0FC"/>
          </w:tcPr>
          <w:p>
            <w:pPr>
              <w:jc w:val="right"/>
              <w:ind w:right="76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-2691130</wp:posOffset>
            </wp:positionV>
            <wp:extent cx="128905"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5430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-1207770</wp:posOffset>
            </wp:positionV>
            <wp:extent cx="12890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5430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-908050</wp:posOffset>
            </wp:positionV>
            <wp:extent cx="128905"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79705"/>
                    </a:xfrm>
                    <a:prstGeom prst="rect">
                      <a:avLst/>
                    </a:prstGeom>
                    <a:noFill/>
                  </pic:spPr>
                </pic:pic>
              </a:graphicData>
            </a:graphic>
          </wp:anchor>
        </w:drawing>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a reconciliation of the cash, cash equivalents, and restricted cash balances as of each of the periods shown above: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ind w:right="541"/>
              <w:spacing w:after="0"/>
              <w:rPr>
                <w:sz w:val="20"/>
                <w:szCs w:val="20"/>
                <w:color w:val="auto"/>
              </w:rPr>
            </w:pPr>
            <w:r>
              <w:rPr>
                <w:rFonts w:ascii="Arial" w:cs="Arial" w:eastAsia="Arial" w:hAnsi="Arial"/>
                <w:sz w:val="14"/>
                <w:szCs w:val="14"/>
                <w:b w:val="1"/>
                <w:bCs w:val="1"/>
                <w:color w:val="auto"/>
              </w:rPr>
              <w:t>March 31,</w:t>
            </w:r>
          </w:p>
        </w:tc>
      </w:tr>
      <w:tr>
        <w:trPr>
          <w:trHeight w:val="185"/>
        </w:trPr>
        <w:tc>
          <w:tcPr>
            <w:tcW w:w="7600" w:type="dxa"/>
            <w:vAlign w:val="bottom"/>
          </w:tcPr>
          <w:p>
            <w:pPr>
              <w:spacing w:after="0"/>
              <w:rPr>
                <w:sz w:val="16"/>
                <w:szCs w:val="16"/>
                <w:color w:val="auto"/>
              </w:rPr>
            </w:pPr>
          </w:p>
        </w:tc>
        <w:tc>
          <w:tcPr>
            <w:tcW w:w="112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2022</w:t>
            </w:r>
          </w:p>
        </w:tc>
      </w:tr>
      <w:tr>
        <w:trPr>
          <w:trHeight w:val="223"/>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1120" w:type="dxa"/>
            <w:vAlign w:val="bottom"/>
            <w:shd w:val="clear" w:color="auto" w:fill="CFF0FC"/>
          </w:tcPr>
          <w:p>
            <w:pPr>
              <w:jc w:val="right"/>
              <w:ind w:right="94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34,734</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7"/>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FF0FC"/>
          </w:tcPr>
          <w:p>
            <w:pPr>
              <w:jc w:val="right"/>
              <w:ind w:right="81"/>
              <w:spacing w:after="0"/>
              <w:rPr>
                <w:sz w:val="20"/>
                <w:szCs w:val="20"/>
                <w:color w:val="auto"/>
              </w:rPr>
            </w:pPr>
            <w:r>
              <w:rPr>
                <w:rFonts w:ascii="Arial" w:cs="Arial" w:eastAsia="Arial" w:hAnsi="Arial"/>
                <w:sz w:val="17"/>
                <w:szCs w:val="17"/>
                <w:color w:val="auto"/>
              </w:rPr>
              <w:t>33,313</w:t>
            </w:r>
          </w:p>
        </w:tc>
      </w:tr>
      <w:tr>
        <w:trPr>
          <w:trHeight w:val="223"/>
        </w:trPr>
        <w:tc>
          <w:tcPr>
            <w:tcW w:w="760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1,092</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81"/>
              <w:spacing w:after="0"/>
              <w:rPr>
                <w:sz w:val="20"/>
                <w:szCs w:val="20"/>
                <w:color w:val="auto"/>
              </w:rPr>
            </w:pPr>
            <w:r>
              <w:rPr>
                <w:rFonts w:ascii="Arial" w:cs="Arial" w:eastAsia="Arial" w:hAnsi="Arial"/>
                <w:sz w:val="17"/>
                <w:szCs w:val="17"/>
                <w:color w:val="auto"/>
              </w:rPr>
              <w:t>1,092</w:t>
            </w:r>
          </w:p>
        </w:tc>
      </w:tr>
      <w:tr>
        <w:trPr>
          <w:trHeight w:val="26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1120" w:type="dxa"/>
            <w:vAlign w:val="bottom"/>
            <w:tcBorders>
              <w:bottom w:val="single" w:sz="8" w:color="auto"/>
            </w:tcBorders>
            <w:shd w:val="clear" w:color="auto" w:fill="CFF0FC"/>
          </w:tcPr>
          <w:p>
            <w:pPr>
              <w:jc w:val="right"/>
              <w:ind w:right="94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35,826</w:t>
            </w:r>
          </w:p>
        </w:tc>
        <w:tc>
          <w:tcPr>
            <w:tcW w:w="2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7"/>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6"/>
                <w:szCs w:val="16"/>
                <w:color w:val="auto"/>
              </w:rPr>
              <w:t>34,405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1289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289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29" w:lineRule="exact"/>
        <w:rPr>
          <w:sz w:val="20"/>
          <w:szCs w:val="20"/>
          <w:color w:val="auto"/>
        </w:rPr>
      </w:pPr>
    </w:p>
    <w:p>
      <w:pPr>
        <w:ind w:right="680" w:firstLine="509"/>
        <w:spacing w:after="0" w:line="277" w:lineRule="auto"/>
        <w:rPr>
          <w:sz w:val="20"/>
          <w:szCs w:val="20"/>
          <w:color w:val="auto"/>
        </w:rPr>
      </w:pPr>
      <w:r>
        <w:rPr>
          <w:rFonts w:ascii="Arial" w:cs="Arial" w:eastAsia="Arial" w:hAnsi="Arial"/>
          <w:sz w:val="18"/>
          <w:szCs w:val="18"/>
          <w:color w:val="auto"/>
        </w:rPr>
        <w:t>Fulcrum Therapeutics, Inc. (the “Company” or “Fulcrum”) was incorporated in Delaware on August 18, 2015. The Company is focused on improving the lives of patients with genetically-defined rare diseases in areas of high unmet medical need.</w:t>
      </w:r>
    </w:p>
    <w:p>
      <w:pPr>
        <w:spacing w:after="0" w:line="170"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65"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accompanying consolidated financial statements and footnotes to the financial statements have been prepared on the same basis as the most recently audited annual consolidated financial statements and, in the opinion of management, reflect all normal recurring adjustments necessary for the fair presentation of the Company’s financial position as of March 31, 2023 and the results of its operations and its cash flows for the three months ended March 31, 2023 and 2022. The results for the three months ended March 31, 2023 are not necessarily indicative of results to be expected for the year ending December 31, 2023, any other interim periods, or any future year or period. These consolidated financial statements should be read in conjunction with the Company’s audited consolidated financial statements and the notes thereto for the year ended December 31, 2022 included in the Company’s Annual Report on Form 10-K filed with the Securities and Exchange Commission (the “SEC”) on March 9, 2023 (the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Common Stock</w:t>
      </w:r>
    </w:p>
    <w:p>
      <w:pPr>
        <w:spacing w:after="0" w:line="225"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In January 2023, the Company completed a public offering of its common stock and issued and sold 9,615,384 shares of common stock at a public offering price of $13.00 per share, resulting in net proceeds of $117.3 million after deducting underwriting discounts and commissions and offering expenses.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The Company has incurred recurring losses and negative cash flows from operations since inception and has primarily funded its operations with proceeds from the sale of shares of its capital stock and from upfront payments received from the collaboration and license agreements with Acceleron Pharma Inc. (“Acceleron”), a wholly-owned subsidiary of Merck &amp; Co., Inc. (“Merck”), and MyoKardia, Inc. (“MyoKardia”), a wholly owned subsidiary of Bristol Myers Squibb Company. As of March 31, 2023, the Company had an accumulated deficit of $437.1 million. The Company expects its operating losses and negative operating cash flows to continue into the foreseeable future as it continues to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95"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The significant accounting policies and estimates used in the preparation of the accompanying consolidated financial statements are described in the Company’s audited consolidated financial statements for the year ended December 31, 2022 included in the Company’s Annual Report on Form 10-K. There have been no material changes in the Company’s significant accounting policies during the three months ended March 31, 2023.</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revenue recognition,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 and Concentrations of Credit Risk</w:t>
      </w:r>
    </w:p>
    <w:p>
      <w:pPr>
        <w:spacing w:after="0" w:line="225"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U.S. Treasury securities, and commercial paper. The Company’s marketable securities consist of U.S. Treasury securities, corporate bonds, and commercial paper,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Recent Accounting Pronouncements—Adopted</w:t>
      </w:r>
    </w:p>
    <w:p>
      <w:pPr>
        <w:spacing w:after="0" w:line="225"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standard requires that credit losses be reported using an expected losses model rather than the incurred losses model that is currently used,</w:t>
      </w:r>
      <w:r>
        <w:rPr>
          <w:rFonts w:ascii="Arial" w:cs="Arial" w:eastAsia="Arial" w:hAnsi="Arial"/>
          <w:sz w:val="16"/>
          <w:szCs w:val="16"/>
          <w:i w:val="1"/>
          <w:iCs w:val="1"/>
          <w:color w:val="auto"/>
        </w:rPr>
        <w:t xml:space="preserve"> </w:t>
      </w:r>
      <w:r>
        <w:rPr>
          <w:rFonts w:ascii="Arial" w:cs="Arial" w:eastAsia="Arial" w:hAnsi="Arial"/>
          <w:sz w:val="16"/>
          <w:szCs w:val="16"/>
          <w:color w:val="auto"/>
        </w:rPr>
        <w:t>and establishes additional disclosures related to credit risks. For available-for-sale debt securities with unrealized losses, this standard requires allowances to be recorded instead of reducing the amortized cost of the investment. The Company adopted this guidance effective January 1, 2023. The adoption of this standard did not have a material impact on the Company's consolidated financial position and results of operations.</w:t>
      </w:r>
    </w:p>
    <w:p>
      <w:pPr>
        <w:spacing w:after="0" w:line="161"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Taxes-Simplifying the Accounting for Income Taxes</w:t>
      </w:r>
      <w:r>
        <w:rPr>
          <w:rFonts w:ascii="Arial" w:cs="Arial" w:eastAsia="Arial" w:hAnsi="Arial"/>
          <w:sz w:val="18"/>
          <w:szCs w:val="18"/>
          <w:color w:val="auto"/>
        </w:rPr>
        <w:t>. The standard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Company adopted this guidance effective January 1, 2023. The adoption of this standard did not have a material impact on the Company's consolidated financial position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fair value hierarchy classification of such fair values as of March 31, 2023 and December 31, 2022 (in thousands):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w w:val="98"/>
              </w:rPr>
              <w:t>Fair Value Measurements at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5"/>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March 31, 2023</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37"/>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34,734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34,734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4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19,365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19,365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49"/>
        </w:trPr>
        <w:tc>
          <w:tcPr>
            <w:tcW w:w="5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Government agency securities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67,399</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67,399</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63,270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63,270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Corporate bonds</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113,072</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113,072</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rPr>
              <w:t>—</w:t>
            </w:r>
          </w:p>
        </w:tc>
      </w:tr>
      <w:tr>
        <w:trPr>
          <w:trHeight w:val="236"/>
        </w:trPr>
        <w:tc>
          <w:tcPr>
            <w:tcW w:w="5040" w:type="dxa"/>
            <w:vAlign w:val="bottom"/>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297,840</w:t>
            </w:r>
          </w:p>
        </w:tc>
        <w:tc>
          <w:tcPr>
            <w:tcW w:w="1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34,734</w:t>
            </w:r>
          </w:p>
        </w:tc>
        <w:tc>
          <w:tcPr>
            <w:tcW w:w="1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263,106</w:t>
            </w:r>
          </w:p>
        </w:tc>
        <w:tc>
          <w:tcPr>
            <w:tcW w:w="1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96"/>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w w:val="98"/>
              </w:rPr>
              <w:t>Fair Value Measurements at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3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25,174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25,174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49"/>
        </w:trPr>
        <w:tc>
          <w:tcPr>
            <w:tcW w:w="5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9,924</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9,924</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9"/>
        </w:trPr>
        <w:tc>
          <w:tcPr>
            <w:tcW w:w="5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10,231</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10,231</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Government agency securities</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12,444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12,444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49"/>
        </w:trPr>
        <w:tc>
          <w:tcPr>
            <w:tcW w:w="5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48,476</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48,476</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96,672</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96,672</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r>
      <w:tr>
        <w:trPr>
          <w:trHeight w:val="276"/>
        </w:trPr>
        <w:tc>
          <w:tcPr>
            <w:tcW w:w="50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202,921</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25,174</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177,747</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-2116455</wp:posOffset>
            </wp:positionV>
            <wp:extent cx="85725"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-2116455</wp:posOffset>
            </wp:positionV>
            <wp:extent cx="85725"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-2116455</wp:posOffset>
            </wp:positionV>
            <wp:extent cx="94615"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857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857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946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946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fair value levels during the three months ended March 31, 2023.</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Cash Equivalents and Marketable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and marketable securities consisted of the following as of March 31, 2023 and December 31, 2022 (in thousands):</w:t>
      </w:r>
    </w:p>
    <w:p>
      <w:pPr>
        <w:spacing w:after="0" w:line="284" w:lineRule="exact"/>
        <w:rPr>
          <w:sz w:val="20"/>
          <w:szCs w:val="20"/>
          <w:color w:val="auto"/>
        </w:rPr>
      </w:pPr>
    </w:p>
    <w:p>
      <w:pPr>
        <w:jc w:val="center"/>
        <w:ind w:left="5480"/>
        <w:spacing w:after="0"/>
        <w:rPr>
          <w:sz w:val="20"/>
          <w:szCs w:val="20"/>
          <w:color w:val="auto"/>
        </w:rPr>
      </w:pPr>
      <w:r>
        <w:rPr>
          <w:rFonts w:ascii="Arial" w:cs="Arial" w:eastAsia="Arial" w:hAnsi="Arial"/>
          <w:sz w:val="14"/>
          <w:szCs w:val="14"/>
          <w:b w:val="1"/>
          <w:bCs w:val="1"/>
          <w:color w:val="auto"/>
        </w:rPr>
        <w:t>Fair Value Measurements at</w:t>
      </w:r>
    </w:p>
    <w:p>
      <w:pPr>
        <w:spacing w:after="0" w:line="4" w:lineRule="exact"/>
        <w:rPr>
          <w:sz w:val="20"/>
          <w:szCs w:val="20"/>
          <w:color w:val="auto"/>
        </w:rPr>
      </w:pPr>
    </w:p>
    <w:p>
      <w:pPr>
        <w:jc w:val="center"/>
        <w:ind w:left="5480"/>
        <w:spacing w:after="0"/>
        <w:rPr>
          <w:sz w:val="20"/>
          <w:szCs w:val="20"/>
          <w:color w:val="auto"/>
        </w:rPr>
      </w:pPr>
      <w:r>
        <w:rPr>
          <w:rFonts w:ascii="Arial" w:cs="Arial" w:eastAsia="Arial" w:hAnsi="Arial"/>
          <w:sz w:val="14"/>
          <w:szCs w:val="14"/>
          <w:b w:val="1"/>
          <w:bCs w:val="1"/>
          <w:color w:val="auto"/>
        </w:rPr>
        <w:t>March 31, 2023</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6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center"/>
              <w:ind w:right="233"/>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left="144"/>
              <w:spacing w:after="0" w:line="133" w:lineRule="exact"/>
              <w:rPr>
                <w:sz w:val="20"/>
                <w:szCs w:val="20"/>
                <w:color w:val="auto"/>
              </w:rPr>
            </w:pPr>
            <w:r>
              <w:rPr>
                <w:rFonts w:ascii="Arial" w:cs="Arial" w:eastAsia="Arial" w:hAnsi="Arial"/>
                <w:sz w:val="14"/>
                <w:szCs w:val="14"/>
                <w:b w:val="1"/>
                <w:bCs w:val="1"/>
                <w:color w:val="auto"/>
                <w:w w:val="88"/>
              </w:rPr>
              <w:t>Gross</w:t>
            </w: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215"/>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35"/>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6"/>
                <w:szCs w:val="16"/>
                <w:color w:val="auto"/>
              </w:rPr>
            </w:pPr>
          </w:p>
        </w:tc>
        <w:tc>
          <w:tcPr>
            <w:tcW w:w="940" w:type="dxa"/>
            <w:vAlign w:val="bottom"/>
            <w:tcBorders>
              <w:bottom w:val="single" w:sz="8" w:color="auto"/>
            </w:tcBorders>
          </w:tcPr>
          <w:p>
            <w:pPr>
              <w:jc w:val="center"/>
              <w:ind w:left="144"/>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34,734</w:t>
            </w:r>
          </w:p>
        </w:tc>
        <w:tc>
          <w:tcPr>
            <w:tcW w:w="1100" w:type="dxa"/>
            <w:vAlign w:val="bottom"/>
            <w:gridSpan w:val="2"/>
          </w:tcPr>
          <w:p>
            <w:pPr>
              <w:jc w:val="right"/>
              <w:ind w:right="764"/>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34,734</w:t>
            </w:r>
          </w:p>
        </w:tc>
        <w:tc>
          <w:tcPr>
            <w:tcW w:w="0" w:type="dxa"/>
            <w:vAlign w:val="bottom"/>
          </w:tcPr>
          <w:p>
            <w:pPr>
              <w:spacing w:after="0"/>
              <w:rPr>
                <w:sz w:val="1"/>
                <w:szCs w:val="1"/>
                <w:color w:val="auto"/>
              </w:rPr>
            </w:pPr>
          </w:p>
        </w:tc>
      </w:tr>
      <w:tr>
        <w:trPr>
          <w:trHeight w:val="243"/>
        </w:trPr>
        <w:tc>
          <w:tcPr>
            <w:tcW w:w="5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cash equivalents</w:t>
            </w:r>
          </w:p>
        </w:tc>
        <w:tc>
          <w:tcPr>
            <w:tcW w:w="18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34,734</w:t>
            </w:r>
          </w:p>
        </w:tc>
        <w:tc>
          <w:tcPr>
            <w:tcW w:w="160" w:type="dxa"/>
            <w:vAlign w:val="bottom"/>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34,734</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19,365</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9"/>
              </w:rPr>
              <w:t>23</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19,365</w:t>
            </w:r>
          </w:p>
        </w:tc>
        <w:tc>
          <w:tcPr>
            <w:tcW w:w="0" w:type="dxa"/>
            <w:vAlign w:val="bottom"/>
          </w:tcPr>
          <w:p>
            <w:pPr>
              <w:spacing w:after="0"/>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Government agency securities</w:t>
            </w:r>
          </w:p>
        </w:tc>
        <w:tc>
          <w:tcPr>
            <w:tcW w:w="180" w:type="dxa"/>
            <w:vAlign w:val="bottom"/>
          </w:tcPr>
          <w:p>
            <w:pPr>
              <w:spacing w:after="0"/>
              <w:rPr>
                <w:sz w:val="20"/>
                <w:szCs w:val="20"/>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67,460</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89"/>
              </w:rPr>
              <w:t>26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67,400</w:t>
            </w:r>
          </w:p>
        </w:tc>
        <w:tc>
          <w:tcPr>
            <w:tcW w:w="0" w:type="dxa"/>
            <w:vAlign w:val="bottom"/>
          </w:tcPr>
          <w:p>
            <w:pPr>
              <w:spacing w:after="0"/>
              <w:rPr>
                <w:sz w:val="1"/>
                <w:szCs w:val="1"/>
                <w:color w:val="auto"/>
              </w:rPr>
            </w:pP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63,410</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63,270</w:t>
            </w:r>
          </w:p>
        </w:tc>
        <w:tc>
          <w:tcPr>
            <w:tcW w:w="0" w:type="dxa"/>
            <w:vAlign w:val="bottom"/>
          </w:tcPr>
          <w:p>
            <w:pPr>
              <w:spacing w:after="0"/>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113,522</w:t>
            </w:r>
          </w:p>
        </w:tc>
        <w:tc>
          <w:tcPr>
            <w:tcW w:w="1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(453 )</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113,071</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263,757</w:t>
            </w: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9"/>
              </w:rPr>
              <w:t>51</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(702 )</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263,106</w:t>
            </w:r>
          </w:p>
        </w:tc>
        <w:tc>
          <w:tcPr>
            <w:tcW w:w="0" w:type="dxa"/>
            <w:vAlign w:val="bottom"/>
          </w:tcPr>
          <w:p>
            <w:pPr>
              <w:spacing w:after="0"/>
              <w:rPr>
                <w:sz w:val="1"/>
                <w:szCs w:val="1"/>
                <w:color w:val="auto"/>
              </w:rPr>
            </w:pPr>
          </w:p>
        </w:tc>
      </w:tr>
      <w:tr>
        <w:trPr>
          <w:trHeight w:val="237"/>
        </w:trPr>
        <w:tc>
          <w:tcPr>
            <w:tcW w:w="5640" w:type="dxa"/>
            <w:vAlign w:val="bottom"/>
          </w:tcPr>
          <w:p>
            <w:pPr>
              <w:ind w:left="380"/>
              <w:spacing w:after="0"/>
              <w:rPr>
                <w:sz w:val="20"/>
                <w:szCs w:val="20"/>
                <w:color w:val="auto"/>
              </w:rPr>
            </w:pPr>
            <w:r>
              <w:rPr>
                <w:rFonts w:ascii="Arial" w:cs="Arial" w:eastAsia="Arial" w:hAnsi="Arial"/>
                <w:sz w:val="18"/>
                <w:szCs w:val="18"/>
                <w:color w:val="auto"/>
              </w:rPr>
              <w:t>Total cash equivalents and marketable securities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298,491</w:t>
            </w:r>
          </w:p>
        </w:tc>
        <w:tc>
          <w:tcPr>
            <w:tcW w:w="160" w:type="dxa"/>
            <w:vAlign w:val="bottom"/>
          </w:tcPr>
          <w:p>
            <w:pPr>
              <w:spacing w:after="0"/>
              <w:rPr>
                <w:sz w:val="20"/>
                <w:szCs w:val="20"/>
                <w:color w:val="auto"/>
              </w:rPr>
            </w:pPr>
          </w:p>
        </w:tc>
        <w:tc>
          <w:tcPr>
            <w:tcW w:w="940" w:type="dxa"/>
            <w:vAlign w:val="bottom"/>
            <w:tcBorders>
              <w:bottom w:val="single" w:sz="8" w:color="auto"/>
            </w:tcBorders>
          </w:tcPr>
          <w:p>
            <w:pPr>
              <w:jc w:val="right"/>
              <w:ind w:right="76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51</w:t>
            </w:r>
          </w:p>
        </w:tc>
        <w:tc>
          <w:tcPr>
            <w:tcW w:w="1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(702 )</w:t>
            </w:r>
          </w:p>
        </w:tc>
        <w:tc>
          <w:tcPr>
            <w:tcW w:w="1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297,840</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gridSpan w:val="5"/>
          </w:tcPr>
          <w:p>
            <w:pPr>
              <w:jc w:val="right"/>
              <w:ind w:right="475"/>
              <w:spacing w:after="0"/>
              <w:rPr>
                <w:sz w:val="20"/>
                <w:szCs w:val="20"/>
                <w:color w:val="auto"/>
              </w:rPr>
            </w:pPr>
            <w:r>
              <w:rPr>
                <w:rFonts w:ascii="Arial" w:cs="Arial" w:eastAsia="Arial" w:hAnsi="Arial"/>
                <w:sz w:val="14"/>
                <w:szCs w:val="14"/>
                <w:b w:val="1"/>
                <w:bCs w:val="1"/>
                <w:color w:val="auto"/>
              </w:rPr>
              <w:t>Fair Value Measurements at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right"/>
              <w:ind w:right="755"/>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restart"/>
          </w:tcPr>
          <w:p>
            <w:pPr>
              <w:jc w:val="center"/>
              <w:ind w:right="233"/>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1"/>
                <w:szCs w:val="11"/>
                <w:color w:val="auto"/>
              </w:rPr>
            </w:pPr>
          </w:p>
        </w:tc>
        <w:tc>
          <w:tcPr>
            <w:tcW w:w="940" w:type="dxa"/>
            <w:vAlign w:val="bottom"/>
          </w:tcPr>
          <w:p>
            <w:pPr>
              <w:jc w:val="center"/>
              <w:ind w:left="144"/>
              <w:spacing w:after="0" w:line="133" w:lineRule="exact"/>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center"/>
              <w:ind w:right="215"/>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35"/>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6"/>
                <w:szCs w:val="16"/>
                <w:color w:val="auto"/>
              </w:rPr>
            </w:pPr>
          </w:p>
        </w:tc>
        <w:tc>
          <w:tcPr>
            <w:tcW w:w="940" w:type="dxa"/>
            <w:vAlign w:val="bottom"/>
            <w:tcBorders>
              <w:bottom w:val="single" w:sz="8" w:color="auto"/>
            </w:tcBorders>
          </w:tcPr>
          <w:p>
            <w:pPr>
              <w:jc w:val="center"/>
              <w:ind w:left="144"/>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25,174</w:t>
            </w:r>
          </w:p>
        </w:tc>
        <w:tc>
          <w:tcPr>
            <w:tcW w:w="1100" w:type="dxa"/>
            <w:vAlign w:val="bottom"/>
            <w:gridSpan w:val="2"/>
          </w:tcPr>
          <w:p>
            <w:pPr>
              <w:jc w:val="right"/>
              <w:ind w:right="764"/>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25,174</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9,928</w:t>
            </w: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9,924</w:t>
            </w:r>
          </w:p>
        </w:tc>
        <w:tc>
          <w:tcPr>
            <w:tcW w:w="0" w:type="dxa"/>
            <w:vAlign w:val="bottom"/>
          </w:tcPr>
          <w:p>
            <w:pPr>
              <w:spacing w:after="0"/>
              <w:rPr>
                <w:sz w:val="1"/>
                <w:szCs w:val="1"/>
                <w:color w:val="auto"/>
              </w:rPr>
            </w:pPr>
          </w:p>
        </w:tc>
      </w:tr>
      <w:tr>
        <w:trPr>
          <w:trHeight w:val="237"/>
        </w:trPr>
        <w:tc>
          <w:tcPr>
            <w:tcW w:w="5640" w:type="dxa"/>
            <w:vAlign w:val="bottom"/>
          </w:tcPr>
          <w:p>
            <w:pPr>
              <w:ind w:left="380"/>
              <w:spacing w:after="0"/>
              <w:rPr>
                <w:sz w:val="20"/>
                <w:szCs w:val="20"/>
                <w:color w:val="auto"/>
              </w:rPr>
            </w:pPr>
            <w:r>
              <w:rPr>
                <w:rFonts w:ascii="Arial" w:cs="Arial" w:eastAsia="Arial" w:hAnsi="Arial"/>
                <w:sz w:val="18"/>
                <w:szCs w:val="18"/>
                <w:color w:val="auto"/>
              </w:rPr>
              <w:t>Total cash equivalents</w:t>
            </w:r>
          </w:p>
        </w:tc>
        <w:tc>
          <w:tcPr>
            <w:tcW w:w="180" w:type="dxa"/>
            <w:vAlign w:val="bottom"/>
          </w:tcPr>
          <w:p>
            <w:pPr>
              <w:spacing w:after="0"/>
              <w:rPr>
                <w:sz w:val="20"/>
                <w:szCs w:val="20"/>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35,102</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35,098</w:t>
            </w:r>
          </w:p>
        </w:tc>
        <w:tc>
          <w:tcPr>
            <w:tcW w:w="0" w:type="dxa"/>
            <w:vAlign w:val="bottom"/>
          </w:tcPr>
          <w:p>
            <w:pPr>
              <w:spacing w:after="0"/>
              <w:rPr>
                <w:sz w:val="1"/>
                <w:szCs w:val="1"/>
                <w:color w:val="auto"/>
              </w:rPr>
            </w:pPr>
          </w:p>
        </w:tc>
      </w:tr>
      <w:tr>
        <w:trPr>
          <w:trHeight w:val="24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20"/>
                <w:szCs w:val="20"/>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10,267</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10,231</w:t>
            </w:r>
          </w:p>
        </w:tc>
        <w:tc>
          <w:tcPr>
            <w:tcW w:w="0" w:type="dxa"/>
            <w:vAlign w:val="bottom"/>
          </w:tcPr>
          <w:p>
            <w:pPr>
              <w:spacing w:after="0"/>
              <w:rPr>
                <w:sz w:val="1"/>
                <w:szCs w:val="1"/>
                <w:color w:val="auto"/>
              </w:rPr>
            </w:pP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Government agency securities</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12,493</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12,444</w:t>
            </w:r>
          </w:p>
        </w:tc>
        <w:tc>
          <w:tcPr>
            <w:tcW w:w="0" w:type="dxa"/>
            <w:vAlign w:val="bottom"/>
          </w:tcPr>
          <w:p>
            <w:pPr>
              <w:spacing w:after="0"/>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0"/>
                <w:szCs w:val="20"/>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48,661</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48,476</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97,195</w:t>
            </w: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(526 )</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96,672</w:t>
            </w:r>
          </w:p>
        </w:tc>
        <w:tc>
          <w:tcPr>
            <w:tcW w:w="0" w:type="dxa"/>
            <w:vAlign w:val="bottom"/>
          </w:tcPr>
          <w:p>
            <w:pPr>
              <w:spacing w:after="0"/>
              <w:rPr>
                <w:sz w:val="1"/>
                <w:szCs w:val="1"/>
                <w:color w:val="auto"/>
              </w:rPr>
            </w:pPr>
          </w:p>
        </w:tc>
      </w:tr>
      <w:tr>
        <w:trPr>
          <w:trHeight w:val="237"/>
        </w:trPr>
        <w:tc>
          <w:tcPr>
            <w:tcW w:w="5640" w:type="dxa"/>
            <w:vAlign w:val="bottom"/>
          </w:tcPr>
          <w:p>
            <w:pPr>
              <w:ind w:left="38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168,616</w:t>
            </w:r>
          </w:p>
        </w:tc>
        <w:tc>
          <w:tcPr>
            <w:tcW w:w="1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(796 )</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167,823</w:t>
            </w:r>
          </w:p>
        </w:tc>
        <w:tc>
          <w:tcPr>
            <w:tcW w:w="0" w:type="dxa"/>
            <w:vAlign w:val="bottom"/>
          </w:tcPr>
          <w:p>
            <w:pPr>
              <w:spacing w:after="0"/>
              <w:rPr>
                <w:sz w:val="1"/>
                <w:szCs w:val="1"/>
                <w:color w:val="auto"/>
              </w:rPr>
            </w:pPr>
          </w:p>
        </w:tc>
      </w:tr>
      <w:tr>
        <w:trPr>
          <w:trHeight w:val="277"/>
        </w:trPr>
        <w:tc>
          <w:tcPr>
            <w:tcW w:w="5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cash equivalents and marketable securities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203,718</w:t>
            </w:r>
          </w:p>
        </w:tc>
        <w:tc>
          <w:tcPr>
            <w:tcW w:w="1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6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(800 )</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202,921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-2630805</wp:posOffset>
            </wp:positionV>
            <wp:extent cx="10287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-2630805</wp:posOffset>
            </wp:positionV>
            <wp:extent cx="10287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-2630805</wp:posOffset>
            </wp:positionV>
            <wp:extent cx="10287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-1285240</wp:posOffset>
            </wp:positionV>
            <wp:extent cx="10287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-1285240</wp:posOffset>
            </wp:positionV>
            <wp:extent cx="10287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-1285240</wp:posOffset>
            </wp:positionV>
            <wp:extent cx="10287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-350520</wp:posOffset>
            </wp:positionV>
            <wp:extent cx="10287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-350520</wp:posOffset>
            </wp:positionV>
            <wp:extent cx="10287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-350520</wp:posOffset>
            </wp:positionV>
            <wp:extent cx="10287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1028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1028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1028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1028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1028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1028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300" w:firstLine="509"/>
        <w:spacing w:after="0" w:line="301" w:lineRule="auto"/>
        <w:rPr>
          <w:sz w:val="20"/>
          <w:szCs w:val="20"/>
          <w:color w:val="auto"/>
        </w:rPr>
      </w:pPr>
      <w:r>
        <w:rPr>
          <w:rFonts w:ascii="Arial" w:cs="Arial" w:eastAsia="Arial" w:hAnsi="Arial"/>
          <w:sz w:val="16"/>
          <w:szCs w:val="16"/>
          <w:color w:val="auto"/>
        </w:rPr>
        <w:t>There were no sales of marketable securities during the three months ended March 31, 2023. As of March 31, 2023, the Company held 77 debt securities that were in an unrealized loss position for less than 12 months with an aggregate fair value of $175.2 million. As of March 31, 2023, the Company held six debt securities that were in an unrealized loss position for greater than 12 months with an aggregate fair value of $16.8 million. As of March 31, 2023, the aggregate fair value of marketable securities with a remaining contractual maturity of greater than one year was $48.8 million.</w:t>
      </w:r>
    </w:p>
    <w:p>
      <w:pPr>
        <w:spacing w:after="0" w:line="157"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The Company has the intent and ability to hold its debt securities until recovery. As a result, the Company did not record any charges for credit-related impairments for its marketable securities for the three months ended March 31, 2023</w:t>
      </w:r>
      <w:r>
        <w:rPr>
          <w:rFonts w:ascii="Arial" w:cs="Arial" w:eastAsia="Arial" w:hAnsi="Arial"/>
          <w:sz w:val="18"/>
          <w:szCs w:val="18"/>
          <w:color w:val="212529"/>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7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253"/>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153"/>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5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r>
      <w:tr>
        <w:trPr>
          <w:trHeight w:val="23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9,232</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9,057</w:t>
            </w: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786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786</w:t>
            </w:r>
          </w:p>
        </w:tc>
      </w:tr>
      <w:tr>
        <w:trPr>
          <w:trHeight w:val="24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393</w:t>
            </w: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Software</w:t>
            </w:r>
          </w:p>
        </w:tc>
        <w:tc>
          <w:tcPr>
            <w:tcW w:w="18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199</w:t>
            </w:r>
          </w:p>
        </w:tc>
      </w:tr>
      <w:tr>
        <w:trPr>
          <w:trHeight w:val="24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7,102</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7,102</w:t>
            </w: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w:t>
            </w:r>
          </w:p>
        </w:tc>
      </w:tr>
      <w:tr>
        <w:trPr>
          <w:trHeight w:val="24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17,791</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17,568</w:t>
            </w: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(11,228 )</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(10,662 )</w:t>
            </w:r>
          </w:p>
        </w:tc>
      </w:tr>
      <w:tr>
        <w:trPr>
          <w:trHeight w:val="277"/>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6,563</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6,906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for the three months ended March 31, 2023 and 2022 was $0.6 million and $0.5 million,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Additional Balance Sheet Detail</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72"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76"/>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11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2023</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3,139</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Prepaid sign-on bonuses subject to vesting provisions</w:t>
            </w:r>
          </w:p>
        </w:tc>
        <w:tc>
          <w:tcPr>
            <w:tcW w:w="18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587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income receivable</w:t>
            </w:r>
          </w:p>
        </w:tc>
        <w:tc>
          <w:tcPr>
            <w:tcW w:w="1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1,165</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4,891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w w:val="92"/>
              </w:rPr>
              <w:t>Accrued expenses and other current liabilities consisted of the following (in thousands):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4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1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center"/>
              <w:ind w:right="176"/>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11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2023</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4,195</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Payroll and benefits</w:t>
            </w:r>
          </w:p>
        </w:tc>
        <w:tc>
          <w:tcPr>
            <w:tcW w:w="18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2,367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658</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4"/>
                <w:szCs w:val="24"/>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7,229</w:t>
            </w: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-1671320</wp:posOffset>
            </wp:positionV>
            <wp:extent cx="10287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1028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1028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Preferred Stock</w:t>
      </w:r>
    </w:p>
    <w:p>
      <w:pPr>
        <w:spacing w:after="0" w:line="229"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As of March 31, 2023 and December 31, 2022, 5,000,000 shares of undesignated preferred stock were authorized. No shares of preferred stock were issued or outstanding as of March 31, 2023 and December 31, 2022.</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dividends have been declared since inception.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2023 and December 31, 2022, 200,000,000 shares of common stock, $0.001 par value per share, were authorized.</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4" w:name="page15"/>
    <w:bookmarkEnd w:id="14"/>
    <w:p>
      <w:pPr>
        <w:ind w:left="520"/>
        <w:spacing w:after="0"/>
        <w:rPr>
          <w:sz w:val="20"/>
          <w:szCs w:val="20"/>
          <w:color w:val="auto"/>
        </w:rPr>
      </w:pPr>
      <w:r>
        <w:rPr>
          <w:rFonts w:ascii="Arial" w:cs="Arial" w:eastAsia="Arial" w:hAnsi="Arial"/>
          <w:sz w:val="16"/>
          <w:szCs w:val="16"/>
          <w:color w:val="auto"/>
        </w:rPr>
        <w:t>As of March 31, 2023 and December 31, 2022, the Company has reserved for future issuance the following number of shares of common stock:</w:t>
      </w:r>
    </w:p>
    <w:p>
      <w:pPr>
        <w:spacing w:after="0" w:line="29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40" w:type="dxa"/>
            <w:vAlign w:val="bottom"/>
          </w:tcPr>
          <w:p>
            <w:pPr>
              <w:jc w:val="right"/>
              <w:ind w:right="275"/>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240" w:type="dxa"/>
            <w:vAlign w:val="bottom"/>
          </w:tcPr>
          <w:p>
            <w:pPr>
              <w:jc w:val="right"/>
              <w:ind w:right="17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240" w:type="dxa"/>
            <w:vAlign w:val="bottom"/>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380" w:type="dxa"/>
            <w:vAlign w:val="bottom"/>
            <w:gridSpan w:val="2"/>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exercises of outstanding stock options</w:t>
            </w:r>
          </w:p>
        </w:tc>
        <w:tc>
          <w:tcPr>
            <w:tcW w:w="124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6,876,679</w:t>
            </w:r>
          </w:p>
        </w:tc>
        <w:tc>
          <w:tcPr>
            <w:tcW w:w="14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6,504,080</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Shares reserved for vesting of restricted stock units</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104,543</w:t>
            </w:r>
          </w:p>
        </w:tc>
        <w:tc>
          <w:tcPr>
            <w:tcW w:w="1380" w:type="dxa"/>
            <w:vAlign w:val="bottom"/>
            <w:gridSpan w:val="2"/>
          </w:tcPr>
          <w:p>
            <w:pPr>
              <w:jc w:val="right"/>
              <w:ind w:right="36"/>
              <w:spacing w:after="0"/>
              <w:rPr>
                <w:sz w:val="20"/>
                <w:szCs w:val="20"/>
                <w:color w:val="auto"/>
              </w:rPr>
            </w:pPr>
            <w:r>
              <w:rPr>
                <w:rFonts w:ascii="Arial" w:cs="Arial" w:eastAsia="Arial" w:hAnsi="Arial"/>
                <w:sz w:val="18"/>
                <w:szCs w:val="18"/>
                <w:color w:val="auto"/>
              </w:rPr>
              <w:t>76,718</w:t>
            </w:r>
          </w:p>
        </w:tc>
        <w:tc>
          <w:tcPr>
            <w:tcW w:w="0" w:type="dxa"/>
            <w:vAlign w:val="bottom"/>
          </w:tcPr>
          <w:p>
            <w:pPr>
              <w:spacing w:after="0"/>
              <w:rPr>
                <w:sz w:val="1"/>
                <w:szCs w:val="1"/>
                <w:color w:val="auto"/>
              </w:rPr>
            </w:pPr>
          </w:p>
        </w:tc>
      </w:tr>
      <w:tr>
        <w:trPr>
          <w:trHeight w:val="221"/>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w w:val="96"/>
              </w:rPr>
              <w:t>Shares reserved for future issuance under the 2019 Stock Incentive</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Plan</w:t>
            </w:r>
          </w:p>
        </w:tc>
        <w:tc>
          <w:tcPr>
            <w:tcW w:w="12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3,267,203</w:t>
            </w:r>
          </w:p>
        </w:tc>
        <w:tc>
          <w:tcPr>
            <w:tcW w:w="138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1,941,054</w:t>
            </w:r>
          </w:p>
        </w:tc>
        <w:tc>
          <w:tcPr>
            <w:tcW w:w="0" w:type="dxa"/>
            <w:vAlign w:val="bottom"/>
          </w:tcPr>
          <w:p>
            <w:pPr>
              <w:spacing w:after="0"/>
              <w:rPr>
                <w:sz w:val="1"/>
                <w:szCs w:val="1"/>
                <w:color w:val="auto"/>
              </w:rPr>
            </w:pPr>
          </w:p>
        </w:tc>
      </w:tr>
      <w:tr>
        <w:trPr>
          <w:trHeight w:val="215"/>
        </w:trPr>
        <w:tc>
          <w:tcPr>
            <w:tcW w:w="5240" w:type="dxa"/>
            <w:vAlign w:val="bottom"/>
          </w:tcPr>
          <w:p>
            <w:pPr>
              <w:spacing w:after="0"/>
              <w:rPr>
                <w:sz w:val="20"/>
                <w:szCs w:val="20"/>
                <w:color w:val="auto"/>
              </w:rPr>
            </w:pPr>
            <w:r>
              <w:rPr>
                <w:rFonts w:ascii="Arial" w:cs="Arial" w:eastAsia="Arial" w:hAnsi="Arial"/>
                <w:sz w:val="18"/>
                <w:szCs w:val="18"/>
                <w:color w:val="auto"/>
                <w:w w:val="95"/>
              </w:rPr>
              <w:t>Shares reserved for future issuance under the 2019 Employee Stock</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Purchase Plan</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1,489,850</w:t>
            </w:r>
          </w:p>
        </w:tc>
        <w:tc>
          <w:tcPr>
            <w:tcW w:w="1380" w:type="dxa"/>
            <w:vAlign w:val="bottom"/>
            <w:gridSpan w:val="2"/>
          </w:tcPr>
          <w:p>
            <w:pPr>
              <w:jc w:val="right"/>
              <w:ind w:right="36"/>
              <w:spacing w:after="0"/>
              <w:rPr>
                <w:sz w:val="20"/>
                <w:szCs w:val="20"/>
                <w:color w:val="auto"/>
              </w:rPr>
            </w:pPr>
            <w:r>
              <w:rPr>
                <w:rFonts w:ascii="Arial" w:cs="Arial" w:eastAsia="Arial" w:hAnsi="Arial"/>
                <w:sz w:val="18"/>
                <w:szCs w:val="18"/>
                <w:color w:val="auto"/>
              </w:rPr>
              <w:t>1,061,279</w:t>
            </w:r>
          </w:p>
        </w:tc>
        <w:tc>
          <w:tcPr>
            <w:tcW w:w="0" w:type="dxa"/>
            <w:vAlign w:val="bottom"/>
          </w:tcPr>
          <w:p>
            <w:pPr>
              <w:spacing w:after="0"/>
              <w:rPr>
                <w:sz w:val="1"/>
                <w:szCs w:val="1"/>
                <w:color w:val="auto"/>
              </w:rPr>
            </w:pPr>
          </w:p>
        </w:tc>
      </w:tr>
      <w:tr>
        <w:trPr>
          <w:trHeight w:val="222"/>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w w:val="93"/>
              </w:rPr>
              <w:t>Shares reserved for future issuance under the 2022 Inducement Stock</w:t>
            </w:r>
          </w:p>
        </w:tc>
        <w:tc>
          <w:tcPr>
            <w:tcW w:w="1240" w:type="dxa"/>
            <w:vAlign w:val="bottom"/>
            <w:vMerge w:val="restart"/>
            <w:shd w:val="clear" w:color="auto" w:fill="CFF0FC"/>
          </w:tcPr>
          <w:p>
            <w:pPr>
              <w:jc w:val="right"/>
              <w:ind w:right="15"/>
              <w:spacing w:after="0"/>
              <w:rPr>
                <w:sz w:val="20"/>
                <w:szCs w:val="20"/>
                <w:color w:val="auto"/>
              </w:rPr>
            </w:pPr>
            <w:r>
              <w:rPr>
                <w:rFonts w:ascii="Arial" w:cs="Arial" w:eastAsia="Arial" w:hAnsi="Arial"/>
                <w:sz w:val="18"/>
                <w:szCs w:val="18"/>
                <w:color w:val="auto"/>
              </w:rPr>
              <w:t>2,551,460</w:t>
            </w:r>
          </w:p>
        </w:tc>
        <w:tc>
          <w:tcPr>
            <w:tcW w:w="140" w:type="dxa"/>
            <w:vAlign w:val="bottom"/>
            <w:vMerge w:val="restart"/>
            <w:shd w:val="clear" w:color="auto" w:fill="CFF0FC"/>
          </w:tcPr>
          <w:p>
            <w:pPr>
              <w:spacing w:after="0"/>
              <w:rPr>
                <w:sz w:val="19"/>
                <w:szCs w:val="19"/>
                <w:color w:val="auto"/>
              </w:rPr>
            </w:pPr>
          </w:p>
        </w:tc>
        <w:tc>
          <w:tcPr>
            <w:tcW w:w="1240" w:type="dxa"/>
            <w:vAlign w:val="bottom"/>
            <w:vMerge w:val="restart"/>
            <w:shd w:val="clear" w:color="auto" w:fill="CFF0FC"/>
          </w:tcPr>
          <w:p>
            <w:pPr>
              <w:jc w:val="right"/>
              <w:ind w:right="36"/>
              <w:spacing w:after="0"/>
              <w:rPr>
                <w:sz w:val="20"/>
                <w:szCs w:val="20"/>
                <w:color w:val="auto"/>
              </w:rPr>
            </w:pPr>
            <w:r>
              <w:rPr>
                <w:rFonts w:ascii="Arial" w:cs="Arial" w:eastAsia="Arial" w:hAnsi="Arial"/>
                <w:sz w:val="18"/>
                <w:szCs w:val="18"/>
                <w:color w:val="auto"/>
              </w:rPr>
              <w:t>329,880</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Incentive Plan</w:t>
            </w:r>
          </w:p>
        </w:tc>
        <w:tc>
          <w:tcPr>
            <w:tcW w:w="12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vMerge w:val="continue"/>
            <w:shd w:val="clear" w:color="auto" w:fill="CFF0FC"/>
          </w:tcPr>
          <w:p>
            <w:pPr>
              <w:spacing w:after="0"/>
              <w:rPr>
                <w:sz w:val="20"/>
                <w:szCs w:val="20"/>
                <w:color w:val="auto"/>
              </w:rPr>
            </w:pPr>
          </w:p>
        </w:tc>
        <w:tc>
          <w:tcPr>
            <w:tcW w:w="124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14,289,735</w:t>
            </w:r>
          </w:p>
        </w:tc>
        <w:tc>
          <w:tcPr>
            <w:tcW w:w="1380" w:type="dxa"/>
            <w:vAlign w:val="bottom"/>
            <w:gridSpan w:val="2"/>
          </w:tcPr>
          <w:p>
            <w:pPr>
              <w:jc w:val="right"/>
              <w:ind w:right="36"/>
              <w:spacing w:after="0"/>
              <w:rPr>
                <w:sz w:val="20"/>
                <w:szCs w:val="20"/>
                <w:color w:val="auto"/>
              </w:rPr>
            </w:pPr>
            <w:r>
              <w:rPr>
                <w:rFonts w:ascii="Arial" w:cs="Arial" w:eastAsia="Arial" w:hAnsi="Arial"/>
                <w:sz w:val="18"/>
                <w:szCs w:val="18"/>
                <w:color w:val="auto"/>
              </w:rPr>
              <w:t>9,913,011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-187960</wp:posOffset>
            </wp:positionV>
            <wp:extent cx="7747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225"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March 31, 2023, no shares remained available for future issuance under the 2016 Plan. Any options or other awards outstanding under the 2016 Plan remain outstanding and effective.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Stock Incentive Plan</w:t>
      </w:r>
    </w:p>
    <w:p>
      <w:pPr>
        <w:spacing w:after="0" w:line="225"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annually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On January 1, 2023, the number of shares reserved for issuance under the 2019 Plan was increased by 2,000,000 shares. As of March 31, 2023, there were 3,267,203 shares available for future issuance under the 2019 Plan.</w:t>
      </w:r>
    </w:p>
    <w:p>
      <w:pPr>
        <w:spacing w:after="0" w:line="165"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Inducement Stock Incentive Plan</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Effective March 8, 2023, the Company's board of directors amended the Inducement Plan to increase the number of shares reserved for issuance by 2,000,000 shares. As of March 31, 2023, there were 2,551,460 shares available for future grant under the Inducement Plan.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Stock options granted by the Company typically vest over a four-year period and have a ten year contractual term. Shares issued upon the exercise of stock options are issued from the Company’s pool of authorized but unissued common 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three months ended March 31, 2023:</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45"/>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102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center"/>
              <w:ind w:right="23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2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2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12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Exercise Price</w:t>
            </w:r>
          </w:p>
        </w:tc>
        <w:tc>
          <w:tcPr>
            <w:tcW w:w="140" w:type="dxa"/>
            <w:vAlign w:val="bottom"/>
          </w:tcPr>
          <w:p>
            <w:pPr>
              <w:spacing w:after="0"/>
              <w:rPr>
                <w:sz w:val="16"/>
                <w:szCs w:val="16"/>
                <w:color w:val="auto"/>
              </w:rPr>
            </w:pPr>
          </w:p>
        </w:tc>
        <w:tc>
          <w:tcPr>
            <w:tcW w:w="102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37"/>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2022</w:t>
            </w:r>
          </w:p>
        </w:tc>
        <w:tc>
          <w:tcPr>
            <w:tcW w:w="12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6,504,080</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11.99</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5"/>
              <w:spacing w:after="0"/>
              <w:rPr>
                <w:sz w:val="20"/>
                <w:szCs w:val="20"/>
                <w:color w:val="auto"/>
              </w:rPr>
            </w:pPr>
            <w:r>
              <w:rPr>
                <w:rFonts w:ascii="Arial" w:cs="Arial" w:eastAsia="Arial" w:hAnsi="Arial"/>
                <w:sz w:val="18"/>
                <w:szCs w:val="18"/>
                <w:color w:val="auto"/>
              </w:rPr>
              <w:t>8.55</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1,885,160</w:t>
            </w:r>
          </w:p>
        </w:tc>
        <w:tc>
          <w:tcPr>
            <w:tcW w:w="0" w:type="dxa"/>
            <w:vAlign w:val="bottom"/>
          </w:tcPr>
          <w:p>
            <w:pPr>
              <w:spacing w:after="0"/>
              <w:rPr>
                <w:sz w:val="1"/>
                <w:szCs w:val="1"/>
                <w:color w:val="auto"/>
              </w:rPr>
            </w:pPr>
          </w:p>
        </w:tc>
      </w:tr>
      <w:tr>
        <w:trPr>
          <w:trHeight w:val="237"/>
        </w:trPr>
        <w:tc>
          <w:tcPr>
            <w:tcW w:w="47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1,735,601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12.17</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(38,903 )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8.96</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(1,324,099 )</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10.80</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2023</w:t>
            </w:r>
          </w:p>
        </w:tc>
        <w:tc>
          <w:tcPr>
            <w:tcW w:w="12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6,876,679</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ind w:right="56"/>
              <w:spacing w:after="0"/>
              <w:rPr>
                <w:sz w:val="20"/>
                <w:szCs w:val="20"/>
                <w:color w:val="auto"/>
              </w:rPr>
            </w:pPr>
            <w:r>
              <w:rPr>
                <w:rFonts w:ascii="Arial" w:cs="Arial" w:eastAsia="Arial" w:hAnsi="Arial"/>
                <w:sz w:val="18"/>
                <w:szCs w:val="18"/>
                <w:color w:val="auto"/>
              </w:rPr>
              <w:t>12.29</w:t>
            </w:r>
          </w:p>
        </w:tc>
        <w:tc>
          <w:tcPr>
            <w:tcW w:w="1160" w:type="dxa"/>
            <w:vAlign w:val="bottom"/>
            <w:tcBorders>
              <w:bottom w:val="single" w:sz="8" w:color="CFF0FC"/>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8.62</w:t>
            </w:r>
          </w:p>
        </w:tc>
        <w:tc>
          <w:tcPr>
            <w:tcW w:w="340" w:type="dxa"/>
            <w:vAlign w:val="bottom"/>
            <w:tcBorders>
              <w:bottom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Exercisable at March 31, 2023</w:t>
            </w:r>
          </w:p>
        </w:tc>
        <w:tc>
          <w:tcPr>
            <w:tcW w:w="12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2,357,480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13.29</w:t>
            </w:r>
          </w:p>
        </w:tc>
        <w:tc>
          <w:tcPr>
            <w:tcW w:w="1160" w:type="dxa"/>
            <w:vAlign w:val="bottom"/>
            <w:gridSpan w:val="2"/>
          </w:tcPr>
          <w:p>
            <w:pPr>
              <w:jc w:val="right"/>
              <w:ind w:right="45"/>
              <w:spacing w:after="0"/>
              <w:rPr>
                <w:sz w:val="20"/>
                <w:szCs w:val="20"/>
                <w:color w:val="auto"/>
              </w:rPr>
            </w:pPr>
            <w:r>
              <w:rPr>
                <w:rFonts w:ascii="Arial" w:cs="Arial" w:eastAsia="Arial" w:hAnsi="Arial"/>
                <w:sz w:val="18"/>
                <w:szCs w:val="18"/>
                <w:color w:val="auto"/>
              </w:rPr>
              <w:t>7.41</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-205105</wp:posOffset>
            </wp:positionV>
            <wp:extent cx="85725"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205740"/>
                    </a:xfrm>
                    <a:prstGeom prst="rect">
                      <a:avLst/>
                    </a:prstGeom>
                    <a:noFill/>
                  </pic:spPr>
                </pic:pic>
              </a:graphicData>
            </a:graphic>
          </wp:anchor>
        </w:drawing>
      </w:r>
    </w:p>
    <w:p>
      <w:pPr>
        <w:spacing w:after="0" w:line="209" w:lineRule="exact"/>
        <w:rPr>
          <w:sz w:val="20"/>
          <w:szCs w:val="20"/>
          <w:color w:val="auto"/>
        </w:rPr>
      </w:pPr>
    </w:p>
    <w:p>
      <w:pPr>
        <w:jc w:val="both"/>
        <w:ind w:right="40" w:firstLine="509"/>
        <w:spacing w:after="0" w:line="34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24"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The weighted average grant date fair value of stock options granted in the three months ended March 31, 2023 was $9.48 per share. The total intrinsic value of stock options exercised during the three months ended March 31, 2023 was $0.2 million.</w:t>
      </w:r>
    </w:p>
    <w:p>
      <w:pPr>
        <w:spacing w:after="0" w:line="170"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fair value of stock options granted during the three months ended March 31, 2023 and 2022 has been calculated on the date of grant using the following weighted average assumptions: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r>
      <w:tr>
        <w:trPr>
          <w:trHeight w:val="148"/>
        </w:trPr>
        <w:tc>
          <w:tcPr>
            <w:tcW w:w="6700" w:type="dxa"/>
            <w:vAlign w:val="bottom"/>
          </w:tcPr>
          <w:p>
            <w:pPr>
              <w:spacing w:after="0"/>
              <w:rPr>
                <w:sz w:val="12"/>
                <w:szCs w:val="12"/>
                <w:color w:val="auto"/>
              </w:rPr>
            </w:pPr>
          </w:p>
        </w:tc>
        <w:tc>
          <w:tcPr>
            <w:tcW w:w="1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1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6700" w:type="dxa"/>
            <w:vAlign w:val="bottom"/>
          </w:tcPr>
          <w:p>
            <w:pPr>
              <w:spacing w:after="0"/>
              <w:rPr>
                <w:sz w:val="16"/>
                <w:szCs w:val="16"/>
                <w:color w:val="auto"/>
              </w:rPr>
            </w:pPr>
          </w:p>
        </w:tc>
        <w:tc>
          <w:tcPr>
            <w:tcW w:w="16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March 31, 2023</w:t>
            </w:r>
          </w:p>
        </w:tc>
        <w:tc>
          <w:tcPr>
            <w:tcW w:w="140" w:type="dxa"/>
            <w:vAlign w:val="bottom"/>
          </w:tcPr>
          <w:p>
            <w:pPr>
              <w:spacing w:after="0"/>
              <w:rPr>
                <w:sz w:val="16"/>
                <w:szCs w:val="16"/>
                <w:color w:val="auto"/>
              </w:rPr>
            </w:pPr>
          </w:p>
        </w:tc>
        <w:tc>
          <w:tcPr>
            <w:tcW w:w="16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March 31, 2022</w:t>
            </w:r>
          </w:p>
        </w:tc>
        <w:tc>
          <w:tcPr>
            <w:tcW w:w="40" w:type="dxa"/>
            <w:vAlign w:val="bottom"/>
          </w:tcPr>
          <w:p>
            <w:pPr>
              <w:spacing w:after="0"/>
              <w:rPr>
                <w:sz w:val="16"/>
                <w:szCs w:val="16"/>
                <w:color w:val="auto"/>
              </w:rPr>
            </w:pPr>
          </w:p>
        </w:tc>
      </w:tr>
      <w:tr>
        <w:trPr>
          <w:trHeight w:val="224"/>
        </w:trPr>
        <w:tc>
          <w:tcPr>
            <w:tcW w:w="67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tcPr>
          <w:p>
            <w:pPr>
              <w:jc w:val="right"/>
              <w:spacing w:after="0"/>
              <w:rPr>
                <w:sz w:val="20"/>
                <w:szCs w:val="20"/>
                <w:color w:val="auto"/>
              </w:rPr>
            </w:pPr>
            <w:r>
              <w:rPr>
                <w:rFonts w:ascii="Arial" w:cs="Arial" w:eastAsia="Arial" w:hAnsi="Arial"/>
                <w:sz w:val="18"/>
                <w:szCs w:val="18"/>
                <w:color w:val="auto"/>
              </w:rPr>
              <w:t>3.8 %</w:t>
            </w:r>
          </w:p>
        </w:tc>
        <w:tc>
          <w:tcPr>
            <w:tcW w:w="14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49"/>
        </w:trPr>
        <w:tc>
          <w:tcPr>
            <w:tcW w:w="67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0.0 %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0.0 %</w:t>
            </w:r>
          </w:p>
        </w:tc>
      </w:tr>
      <w:tr>
        <w:trPr>
          <w:trHeight w:val="25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64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21"/>
                <w:szCs w:val="2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94.3 %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88.6 %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-608330</wp:posOffset>
            </wp:positionV>
            <wp:extent cx="641223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Company has also granted restricted stock units. The shares of common stock underlying restricted stock units typically vest over a four-year period. The shares of common stock are recorded in stockholders’ equity as they vest.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restricted stock unit activity during the three months ended March 31, 2023:</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238"/>
              <w:spacing w:after="0"/>
              <w:rPr>
                <w:sz w:val="20"/>
                <w:szCs w:val="20"/>
                <w:color w:val="auto"/>
              </w:rPr>
            </w:pPr>
            <w:r>
              <w:rPr>
                <w:rFonts w:ascii="Arial" w:cs="Arial" w:eastAsia="Arial" w:hAnsi="Arial"/>
                <w:sz w:val="14"/>
                <w:szCs w:val="14"/>
                <w:b w:val="1"/>
                <w:bCs w:val="1"/>
                <w:color w:val="auto"/>
                <w:w w:val="91"/>
              </w:rPr>
              <w:t>Weighted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8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6"/>
              </w:rPr>
              <w:t>Date Fair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5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2022</w:t>
            </w:r>
          </w:p>
        </w:tc>
        <w:tc>
          <w:tcPr>
            <w:tcW w:w="314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76,718</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9.73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Granted</w:t>
            </w:r>
          </w:p>
        </w:tc>
        <w:tc>
          <w:tcPr>
            <w:tcW w:w="4720" w:type="dxa"/>
            <w:vAlign w:val="bottom"/>
            <w:gridSpan w:val="2"/>
          </w:tcPr>
          <w:p>
            <w:pPr>
              <w:jc w:val="right"/>
              <w:ind w:right="59"/>
              <w:spacing w:after="0"/>
              <w:rPr>
                <w:sz w:val="20"/>
                <w:szCs w:val="20"/>
                <w:color w:val="auto"/>
              </w:rPr>
            </w:pPr>
            <w:r>
              <w:rPr>
                <w:rFonts w:ascii="Arial" w:cs="Arial" w:eastAsia="Arial" w:hAnsi="Arial"/>
                <w:sz w:val="18"/>
                <w:szCs w:val="18"/>
                <w:color w:val="auto"/>
              </w:rPr>
              <w:t>37,045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8"/>
              <w:spacing w:after="0"/>
              <w:rPr>
                <w:sz w:val="20"/>
                <w:szCs w:val="20"/>
                <w:color w:val="auto"/>
              </w:rPr>
            </w:pPr>
            <w:r>
              <w:rPr>
                <w:rFonts w:ascii="Arial" w:cs="Arial" w:eastAsia="Arial" w:hAnsi="Arial"/>
                <w:sz w:val="18"/>
                <w:szCs w:val="18"/>
                <w:color w:val="auto"/>
              </w:rPr>
              <w:t>12.59</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3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4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(5,496 )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12.46</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(3,724 )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8"/>
              <w:spacing w:after="0"/>
              <w:rPr>
                <w:sz w:val="20"/>
                <w:szCs w:val="20"/>
                <w:color w:val="auto"/>
              </w:rPr>
            </w:pPr>
            <w:r>
              <w:rPr>
                <w:rFonts w:ascii="Arial" w:cs="Arial" w:eastAsia="Arial" w:hAnsi="Arial"/>
                <w:sz w:val="18"/>
                <w:szCs w:val="18"/>
                <w:color w:val="auto"/>
              </w:rPr>
              <w:t>12.59</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March 31, 2023</w:t>
            </w:r>
          </w:p>
        </w:tc>
        <w:tc>
          <w:tcPr>
            <w:tcW w:w="314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104,543</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10.50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140" w:type="dxa"/>
            <w:vAlign w:val="bottom"/>
          </w:tcPr>
          <w:p>
            <w:pPr>
              <w:jc w:val="right"/>
              <w:ind w:right="1550"/>
              <w:spacing w:after="0"/>
              <w:rPr>
                <w:sz w:val="20"/>
                <w:szCs w:val="20"/>
                <w:color w:val="auto"/>
              </w:rPr>
            </w:pPr>
            <w:r>
              <w:rPr>
                <w:rFonts w:ascii="Arial" w:cs="Arial" w:eastAsia="Arial" w:hAnsi="Arial"/>
                <w:sz w:val="18"/>
                <w:szCs w:val="18"/>
                <w:color w:val="auto"/>
              </w:rPr>
              <w:t>11</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-522605</wp:posOffset>
            </wp:positionV>
            <wp:extent cx="93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-505460</wp:posOffset>
            </wp:positionV>
            <wp:extent cx="93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The total compensation cost recognized in the statements of operations and comprehensive loss associated with all stock-based compensation awards granted by the Company is as follows (in thousands):</w:t>
      </w:r>
    </w:p>
    <w:p>
      <w:pPr>
        <w:spacing w:after="0" w:line="229"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82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2022</w:t>
            </w:r>
          </w:p>
        </w:tc>
      </w:tr>
      <w:tr>
        <w:trPr>
          <w:trHeight w:val="23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7"/>
              </w:rPr>
              <w:t>3,408</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2,465</w:t>
            </w:r>
          </w:p>
        </w:tc>
      </w:tr>
      <w:tr>
        <w:trPr>
          <w:trHeight w:val="237"/>
        </w:trPr>
        <w:tc>
          <w:tcPr>
            <w:tcW w:w="68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845</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1,382</w:t>
            </w:r>
          </w:p>
        </w:tc>
      </w:tr>
      <w:tr>
        <w:trPr>
          <w:trHeight w:val="277"/>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7"/>
              </w:rPr>
              <w:t>4,253</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3,847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120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120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9"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As of March 31, 2023, the Company had an aggregate of $37.7 million of unrecognized stock-based compensation expense, which is expected to be recognized over a weighted average period of 2.98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was increased on January 1, 2020, and will be increased annually on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2023, the number of shares reserved for issuance under the 2019 ESPP was increased by 428,571 shares. As of March 31, 2023, there were 1,489,850 shares available for future issuance under the ESPP.</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Collaboration and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Acceleron Collaboration Agreement</w:t>
      </w:r>
    </w:p>
    <w:p>
      <w:pPr>
        <w:spacing w:after="0" w:line="225"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On December 20, 2019, the Company entered into the Acceleron Collaboration Agreement to identify biological targets to modulate specific pathways associated with a targeted indication within the pulmonary disease space (the “Indication”). Under the terms of the Acceleron Collaboration Agreement, the Company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the Company for the treatment, prophylaxis, or diagnosis of the Indication.</w:t>
      </w:r>
    </w:p>
    <w:p>
      <w:pPr>
        <w:spacing w:after="0" w:line="161"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On June 3, 2022, Acceleron notified the Company of its termination of the Acceleron Collaboration Agreement for convenience, which became effective 120 days after the Company's receipt of the notice, or October 1, 2022.</w:t>
      </w:r>
    </w:p>
    <w:p>
      <w:pPr>
        <w:spacing w:after="0" w:line="170"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During the three months ended March 31, 2023, the Company recognized no collaboration revenue associated with the Acceleron Collaboration Agreement. During the three months ended March 31, 2022, the Company recognized $0.9 million of collaboration revenue under the Acceleron Collaboration Agreement, which includes $0.5 million of revenue recognized that was included in deferred revenue as of December 31, 2021. As of March 31, 2023 and December 31, 2022, the Company recorded no deferred revenue, unbilled accounts receivable, or accounts receivable associated with the Acceleron Collaboration Agreement. As of March 31, 2023 and December 31, 2022, the Company had received $4.9 million of cost reimbursement payment under the Acceleron Collaboration Agreement and $2.0 million associated with the achievement of specified research milestones.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MyoKardia Collaboration Agreement</w:t>
      </w:r>
    </w:p>
    <w:p>
      <w:pPr>
        <w:spacing w:after="0" w:line="225"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On July 20, 2020, the Company entered into the MyoKardia Collaboration Agreement, as amended, pursuant to which the Company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w:t>
      </w:r>
    </w:p>
    <w:p>
      <w:pPr>
        <w:spacing w:after="0" w:line="176"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Pursuant to a mutually agreed research plan, the Company will perform assay screening and related research activities to identify and validate up to a specified number of potential cardiomyopathy gene targets (“Identified Targets”) for further research, development, manufacture and commercialization by MyoKardia. The Company and MyoKardia will work together to determine how</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7" w:name="page18"/>
    <w:bookmarkEnd w:id="17"/>
    <w:p>
      <w:pPr>
        <w:spacing w:after="0" w:line="254" w:lineRule="auto"/>
        <w:rPr>
          <w:sz w:val="20"/>
          <w:szCs w:val="20"/>
          <w:color w:val="auto"/>
        </w:rPr>
      </w:pPr>
      <w:r>
        <w:rPr>
          <w:rFonts w:ascii="Arial" w:cs="Arial" w:eastAsia="Arial" w:hAnsi="Arial"/>
          <w:sz w:val="18"/>
          <w:szCs w:val="18"/>
          <w:color w:val="auto"/>
        </w:rPr>
        <w:t>best to advance at each stage of the research activities under the research plan and to identify which of the Identified Targets, if any, meet the criteria set forth in the research plan (the “Cardiomyopathy Target Candidates”). Upon completion of the research plan, the parties will work together to prepare a final data package and MyoKardia may designate certain Cardiomyopathy Target Candidates for MyoKardia’s further exploitation under the MyoKardia Collaboration Agreement (the “Cardiomyopathy Targets”). If MyoKardia does not designate any Cardiomyopathy Targets during the designated period, then the MyoKardia Collaboration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p>
    <w:p>
      <w:pPr>
        <w:spacing w:after="0" w:line="195" w:lineRule="exact"/>
        <w:rPr>
          <w:sz w:val="20"/>
          <w:szCs w:val="20"/>
          <w:color w:val="auto"/>
        </w:rPr>
      </w:pPr>
    </w:p>
    <w:p>
      <w:pPr>
        <w:ind w:right="220" w:firstLine="509"/>
        <w:spacing w:after="0" w:line="272" w:lineRule="auto"/>
        <w:rPr>
          <w:sz w:val="20"/>
          <w:szCs w:val="20"/>
          <w:color w:val="auto"/>
        </w:rPr>
      </w:pPr>
      <w:r>
        <w:rPr>
          <w:rFonts w:ascii="Arial" w:cs="Arial" w:eastAsia="Arial" w:hAnsi="Arial"/>
          <w:sz w:val="17"/>
          <w:szCs w:val="17"/>
          <w:color w:val="auto"/>
        </w:rPr>
        <w:t>During the period in which the Company is performing the research activities pursuant to the research plan (the “Research Term”) and for a specified period beyond the Research Term if MyoKardia designates a Cardiomyopathy Target, the Company may only use the data generated from such research activities for MyoKardia in accordance with the MyoKardia Collaboration Agreement. During the Research Term and for a specified period thereafter, the Company may not research, develop, manufacture, commercialize, use, or otherwise exploit any compound or product (a) that is a Compound or Product under the MyoKardia Collaboration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177"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auto"/>
        </w:rPr>
        <w:t>Under the MyoKardia Collaboration Agreement, MyoKardia made a $10.0 million upfront payment and a $2.5 million payment as prepaid research funding to the Company in July 2020. MyoKardia will also reimburse the Company for the costs of the research activities not covered by the prepaid research funding, up to a maximum amount of total research funding (including the prepaid research funding). Upon the achievement of specified preclinical, development and sales milestones, the Company will be entitled to preclinical milestone payments, development milestone payments and sales milestone payments of up to $298.5 million in the aggregate per target for certain Identified Targets, and of up to $150.0 million in the aggregate per target for certain other Identified Targets. To date, the Company has achieved a $2.5 million specified preclinical milestone. MyoKardia will also pay the Company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66"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The MyoKardia Collaboration Agreement continues on a country-by-country and product-by-product basis until the last to expire royalty term for a product, at which time the MyoKardia Collaboration Agreement expires with respect to such product in such country. Either party has the right to terminate the MyoKardia Collaboration Agreement if the other party has materially breached in the performance of its obligations under the MyoKardia Collaboration Agreement and such breach has not been cured within the applicable cure period. MyoKardia also has the right to terminate the MyoKardia Collaboration Agreement for convenience in its entirety or on a target-by-target, product-by-product or molecule-by-molecule basis.</w:t>
      </w:r>
    </w:p>
    <w:p>
      <w:pPr>
        <w:spacing w:after="0" w:line="161"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On April 20, 2023, the Company entered into an amendment to the MyoKardia Collaboration Agreement, pursuant to which the Company and MyoKardia agreed to modify the research plan to increase the scope of activities to be performed by the Company and to increase the maximum amount of total research funding. The Company is currently evaluating the accounting treatment for the amendment to the MyoKardia Collaboration Agreement.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Contract</w:t>
      </w:r>
    </w:p>
    <w:p>
      <w:pPr>
        <w:spacing w:after="0" w:line="225"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The Company assessed the MyoKardia Collaboration Agreement and concluded that it represents a contract with a customer within the scope of ASC 606.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Identification of the Promises and Performance Obligations</w:t>
      </w:r>
    </w:p>
    <w:p>
      <w:pPr>
        <w:spacing w:after="0" w:line="225"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Company determined that the MyoKardia Collaboration Agreement contains the following promises: (i) an exclusive worldwide license under certain intellectual property rights, including rights to a specified number of potential cardiomyopathy gene targets identified by the Company for further research, development, manufacture and commercialization for the treatment, prophylaxis, or diagnosis of certain genetically defined cardiomyopathies that was conveyed at the inception of the arrangement (the “MyoKardia License”), (ii) research services to identify and validate potential biological targets (the “MyoKardia Research Services”), and (iii) participation in the joint steering committee (the “MyoKardia JSC”).</w:t>
      </w:r>
    </w:p>
    <w:p>
      <w:pPr>
        <w:spacing w:after="0" w:line="176"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The Company assessed the above promises and concluded that the MyoKardia License is not capable of being distinct from the MyoKardia Research Services given that the MyoKardia License has limited value without the performance of the MyoKardia Research Services and the MyoKardia Research Services can only be performed by the Company due to their specialized nature. Therefore, the Company has concluded that the MyoKardia License and the MyoKardia Research Services represent a single combined performance obligation.</w:t>
      </w:r>
    </w:p>
    <w:p>
      <w:pPr>
        <w:spacing w:after="0" w:line="171"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Company also assessed the participation on the MyoKardia JSC and concluded that the promise is quantitatively and qualitatively immaterial in the context of the MyoKardia Collaboration Agreement. Accordingly, the Company has disregarded its participation on the MyoKardia JSC as a performance obligation.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225"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The Company received a non-refundable upfront payment of $10.0 million, which the Company included in the transaction price. In December 2021, the Company achieved a $2.5 million specified preclinical milestone associated with the MyoKardia Collaboration Agreement, which was previously constrained due to the significant uncertainty regarding whether such preclinical milestone would be achieved. The Company included this amount in the transaction price as of December 31, 2021. Based on the continued uncertainty associated with the achievement of any of the remaining preclinical and development milestone payments that the Company is eligible to receive, the Company has constrained the variable consideration associated with those milestone payments and excluded them from the transaction price. As part of its evaluation of constraining the preclinical and development milestones, the Company considered numerous factors, including the fact that the achievement of the preclinical and development milestones are contingent upon the results of the underlying preclinical and development activities and are thus outside of the control of the Company.</w:t>
      </w:r>
    </w:p>
    <w:p>
      <w:pPr>
        <w:spacing w:after="0" w:line="165"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Company also included in the transaction price the expected amount of costs to be reimbursed for the MyoKardia Research Services, which includes the $2.5 million prepaid research funding payment that the Company received in the third quarter of 2020.</w:t>
      </w:r>
    </w:p>
    <w:p>
      <w:pPr>
        <w:spacing w:after="0" w:line="170" w:lineRule="exact"/>
        <w:rPr>
          <w:sz w:val="20"/>
          <w:szCs w:val="20"/>
          <w:color w:val="auto"/>
        </w:rPr>
      </w:pPr>
    </w:p>
    <w:p>
      <w:pPr>
        <w:jc w:val="both"/>
        <w:ind w:right="840" w:firstLine="509"/>
        <w:spacing w:after="0" w:line="263" w:lineRule="auto"/>
        <w:rPr>
          <w:sz w:val="20"/>
          <w:szCs w:val="20"/>
          <w:color w:val="auto"/>
        </w:rPr>
      </w:pPr>
      <w:r>
        <w:rPr>
          <w:rFonts w:ascii="Arial" w:cs="Arial" w:eastAsia="Arial" w:hAnsi="Arial"/>
          <w:sz w:val="18"/>
          <w:szCs w:val="18"/>
          <w:color w:val="auto"/>
        </w:rPr>
        <w:t>The Company reassesses the transaction price at the end of each reporting period and as uncertain events are resolved or other changes in circumstances occur, and, if necessary, adjusts its estimate of the transaction price. There was no change in the amount of variable consideration constrained during the three months ended March 31, 2023.</w:t>
      </w:r>
    </w:p>
    <w:p>
      <w:pPr>
        <w:spacing w:after="0" w:line="184"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Any consideration related to sales milestone payments (including royalties) will be recognized when the related sales occur as these amounts have been determined to relate predominantly to the license granted to MyoKardia and therefore are recognized at the later of when the related sales occur or the performance obligation is satisfied.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the Transaction Price to Performance Obligations</w:t>
      </w:r>
    </w:p>
    <w:p>
      <w:pPr>
        <w:spacing w:after="0" w:line="225"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As noted above, the Company has identified a single performance obligation associated with the MyoKardia Collaboration Agreement. Therefore, the Company will allocate the entire amount of the transaction price to the identified single performance obligation.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Recognition of Revenue</w:t>
      </w:r>
    </w:p>
    <w:p>
      <w:pPr>
        <w:spacing w:after="0" w:line="225" w:lineRule="exact"/>
        <w:rPr>
          <w:sz w:val="20"/>
          <w:szCs w:val="20"/>
          <w:color w:val="auto"/>
        </w:rPr>
      </w:pPr>
    </w:p>
    <w:p>
      <w:pPr>
        <w:ind w:right="140" w:firstLine="509"/>
        <w:spacing w:after="0" w:line="293" w:lineRule="auto"/>
        <w:rPr>
          <w:sz w:val="20"/>
          <w:szCs w:val="20"/>
          <w:color w:val="auto"/>
        </w:rPr>
      </w:pPr>
      <w:r>
        <w:rPr>
          <w:rFonts w:ascii="Arial" w:cs="Arial" w:eastAsia="Arial" w:hAnsi="Arial"/>
          <w:sz w:val="16"/>
          <w:szCs w:val="16"/>
          <w:color w:val="auto"/>
        </w:rPr>
        <w:t>The Company recognizes revenue related to the MyoKardia Collaboration Agreement over time as the MyoKardia Research Services are rendered. The Company has concluded that an input method is a representative depiction of the transfer of services under the MyoKardia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MyoKardia Research Services. Changes in estimates of total internal and external costs expected to be incurred are recognized in the period of change as a cumulative catch-up adjustment.</w:t>
      </w:r>
    </w:p>
    <w:p>
      <w:pPr>
        <w:spacing w:after="0" w:line="164"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During the three months ended March 31, 2023, the Company recognized $0.3 million of collaboration revenue associated with the MyoKardia Collaboration Agreement, which includes $0.2 million of revenue recognized that was included in deferred revenue as of December 31, 2022. During the three months ended March 31, 2022, the Company recognized $1.7 million of collaboration revenue associated with the MyoKardia Collaboration Agreement, which includes $1.3 million of revenue recognized that was in deferred revenue as of December 31, 2021. As of March 31, 2023 and December 31, 2022, the Company recorded deferred revenue of $0.7 million and $0.9 million, respectively, associated with the MyoKardia Collaboration Agreement, which is classified as either current or net of current portion in the accompanying consolidated balance sheets based on the period over which the revenue is expected to be recognized. The aggregate deferred revenue balance represents the aggregate amount of the transaction price allocated to the performance obligations that are unsatisfied as of March 31, 2023 and December 31, 2022. As of March 31, 2023, the Company had received $5.8 million of cost reimbursement payments under the MyoKardia Collaboration Agreement and $2.5 million associated with the achievement of a preclinical milestone. As of December 31, 2022, the Company had received $5.6 million of cost reimbursement payments under the MyoKardia Collaboration Agreement and $2.5 million associated with the achievement of a preclinical milestone. As of March 31, 2023, the Company recorded unbilled accounts receivable of $0.1 million related to reimbursable research and development costs under the MyoKardia Collaboration Agreement for activities performed during the three months ended March 31, 2023. As of December 31, 2022, the Company recorded unbilled accounts receivable of $0.2 million related to reimbursable research and development costs under the MyoKardia Collaboration Agreement for activities performed during the three months ended December 31, 2021. As of March 31, 2023 and December 31, 2022, the Company recorded no accounts receivable under the MyoKardia Collaboration Agreement.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Right of Reference and License Agreement</w:t>
      </w:r>
    </w:p>
    <w:p>
      <w:pPr>
        <w:spacing w:after="0" w:line="229"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In February 2019, the Company entered into the right of reference and license agreement, as amended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64"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Under the GSK Agreement, the Company issued 12,500,000 shares of Series B Preferred Stock to GSK. In addition, the Company may owe GSK up to $37.5 million in certain specified clinical and regulatory milestones, including a $5.0 million milestone that was achieved during the second quarter of 2022 and a $2.5 million milestone previously achieved and paid during 2019, and up to $60.0 million in certain specified sales milestones. The Company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w:t>
      </w:r>
    </w:p>
    <w:p>
      <w:pPr>
        <w:spacing w:after="0" w:line="161" w:lineRule="exact"/>
        <w:rPr>
          <w:sz w:val="20"/>
          <w:szCs w:val="20"/>
          <w:color w:val="auto"/>
        </w:rPr>
      </w:pPr>
    </w:p>
    <w:p>
      <w:pPr>
        <w:ind w:right="340" w:firstLine="509"/>
        <w:spacing w:after="0" w:line="259" w:lineRule="auto"/>
        <w:rPr>
          <w:sz w:val="20"/>
          <w:szCs w:val="20"/>
          <w:color w:val="auto"/>
        </w:rPr>
      </w:pPr>
      <w:r>
        <w:rPr>
          <w:rFonts w:ascii="Arial" w:cs="Arial" w:eastAsia="Arial" w:hAnsi="Arial"/>
          <w:sz w:val="18"/>
          <w:szCs w:val="18"/>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87"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The Company recognizes clinical and regulatory milestone payments when the underlying contingency is resolved and the consideration is paid or becomes payable. The milestone payments are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12.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26 Landsdowne Street</w:t>
      </w:r>
    </w:p>
    <w:p>
      <w:pPr>
        <w:spacing w:after="0" w:line="225"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March 31, 2023 and December 31, 2022. Operating lease expense and variable lease expense associated with this lease for the three months ended March 31, 2023 was approximately $0.5 million and $0.2 million, respectively.</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future minimum lease payments associated with the 26 Landsdowne Street lease as of March 31, 2023, are as follows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2023(1)</w:t>
            </w:r>
          </w:p>
        </w:tc>
        <w:tc>
          <w:tcPr>
            <w:tcW w:w="78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w:t>
            </w:r>
          </w:p>
        </w:tc>
        <w:tc>
          <w:tcPr>
            <w:tcW w:w="140" w:type="dxa"/>
            <w:vAlign w:val="bottom"/>
            <w:shd w:val="clear" w:color="auto" w:fill="CFF0FC"/>
          </w:tcPr>
          <w:p>
            <w:pPr>
              <w:spacing w:after="0"/>
              <w:rPr>
                <w:sz w:val="21"/>
                <w:szCs w:val="21"/>
                <w:color w:val="auto"/>
              </w:rPr>
            </w:pPr>
          </w:p>
        </w:tc>
      </w:tr>
      <w:tr>
        <w:trPr>
          <w:trHeight w:val="237"/>
        </w:trPr>
        <w:tc>
          <w:tcPr>
            <w:tcW w:w="1360" w:type="dxa"/>
            <w:vAlign w:val="bottom"/>
          </w:tcPr>
          <w:p>
            <w:pPr>
              <w:ind w:left="20"/>
              <w:spacing w:after="0"/>
              <w:rPr>
                <w:sz w:val="20"/>
                <w:szCs w:val="20"/>
                <w:color w:val="auto"/>
              </w:rPr>
            </w:pPr>
            <w:r>
              <w:rPr>
                <w:rFonts w:ascii="Arial" w:cs="Arial" w:eastAsia="Arial" w:hAnsi="Arial"/>
                <w:sz w:val="18"/>
                <w:szCs w:val="18"/>
                <w:color w:val="auto"/>
              </w:rPr>
              <w:t>2024</w:t>
            </w:r>
          </w:p>
        </w:tc>
        <w:tc>
          <w:tcPr>
            <w:tcW w:w="7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2,572</w:t>
            </w:r>
          </w:p>
        </w:tc>
        <w:tc>
          <w:tcPr>
            <w:tcW w:w="140" w:type="dxa"/>
            <w:vAlign w:val="bottom"/>
          </w:tcPr>
          <w:p>
            <w:pPr>
              <w:spacing w:after="0"/>
              <w:rPr>
                <w:sz w:val="20"/>
                <w:szCs w:val="20"/>
                <w:color w:val="auto"/>
              </w:rPr>
            </w:pPr>
          </w:p>
        </w:tc>
      </w:tr>
      <w:tr>
        <w:trPr>
          <w:trHeight w:val="249"/>
        </w:trPr>
        <w:tc>
          <w:tcPr>
            <w:tcW w:w="1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78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w:t>
            </w:r>
          </w:p>
        </w:tc>
        <w:tc>
          <w:tcPr>
            <w:tcW w:w="140" w:type="dxa"/>
            <w:vAlign w:val="bottom"/>
            <w:shd w:val="clear" w:color="auto" w:fill="CFF0FC"/>
          </w:tcPr>
          <w:p>
            <w:pPr>
              <w:spacing w:after="0"/>
              <w:rPr>
                <w:sz w:val="21"/>
                <w:szCs w:val="21"/>
                <w:color w:val="auto"/>
              </w:rPr>
            </w:pPr>
          </w:p>
        </w:tc>
      </w:tr>
      <w:tr>
        <w:trPr>
          <w:trHeight w:val="237"/>
        </w:trPr>
        <w:tc>
          <w:tcPr>
            <w:tcW w:w="1360" w:type="dxa"/>
            <w:vAlign w:val="bottom"/>
          </w:tcPr>
          <w:p>
            <w:pPr>
              <w:ind w:left="20"/>
              <w:spacing w:after="0"/>
              <w:rPr>
                <w:sz w:val="20"/>
                <w:szCs w:val="20"/>
                <w:color w:val="auto"/>
              </w:rPr>
            </w:pPr>
            <w:r>
              <w:rPr>
                <w:rFonts w:ascii="Arial" w:cs="Arial" w:eastAsia="Arial" w:hAnsi="Arial"/>
                <w:sz w:val="18"/>
                <w:szCs w:val="18"/>
                <w:color w:val="auto"/>
              </w:rPr>
              <w:t>2026</w:t>
            </w:r>
          </w:p>
        </w:tc>
        <w:tc>
          <w:tcPr>
            <w:tcW w:w="7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2,729</w:t>
            </w:r>
          </w:p>
        </w:tc>
        <w:tc>
          <w:tcPr>
            <w:tcW w:w="140" w:type="dxa"/>
            <w:vAlign w:val="bottom"/>
          </w:tcPr>
          <w:p>
            <w:pPr>
              <w:spacing w:after="0"/>
              <w:rPr>
                <w:sz w:val="20"/>
                <w:szCs w:val="20"/>
                <w:color w:val="auto"/>
              </w:rPr>
            </w:pPr>
          </w:p>
        </w:tc>
      </w:tr>
      <w:tr>
        <w:trPr>
          <w:trHeight w:val="249"/>
        </w:trPr>
        <w:tc>
          <w:tcPr>
            <w:tcW w:w="1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78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2,811</w:t>
            </w:r>
          </w:p>
        </w:tc>
        <w:tc>
          <w:tcPr>
            <w:tcW w:w="140" w:type="dxa"/>
            <w:vAlign w:val="bottom"/>
            <w:shd w:val="clear" w:color="auto" w:fill="CFF0FC"/>
          </w:tcPr>
          <w:p>
            <w:pPr>
              <w:spacing w:after="0"/>
              <w:rPr>
                <w:sz w:val="21"/>
                <w:szCs w:val="21"/>
                <w:color w:val="auto"/>
              </w:rPr>
            </w:pPr>
          </w:p>
        </w:tc>
      </w:tr>
      <w:tr>
        <w:trPr>
          <w:trHeight w:val="237"/>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7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40" w:type="dxa"/>
            <w:vAlign w:val="bottom"/>
          </w:tcPr>
          <w:p>
            <w:pPr>
              <w:spacing w:after="0"/>
              <w:rPr>
                <w:sz w:val="20"/>
                <w:szCs w:val="20"/>
                <w:color w:val="auto"/>
              </w:rPr>
            </w:pPr>
          </w:p>
        </w:tc>
      </w:tr>
      <w:tr>
        <w:trPr>
          <w:trHeight w:val="243"/>
        </w:trPr>
        <w:tc>
          <w:tcPr>
            <w:tcW w:w="91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Total minimum lease payments</w:t>
            </w:r>
          </w:p>
        </w:tc>
        <w:tc>
          <w:tcPr>
            <w:tcW w:w="7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14,070</w:t>
            </w:r>
          </w:p>
        </w:tc>
        <w:tc>
          <w:tcPr>
            <w:tcW w:w="140" w:type="dxa"/>
            <w:vAlign w:val="bottom"/>
            <w:shd w:val="clear" w:color="auto" w:fill="CFF0FC"/>
          </w:tcPr>
          <w:p>
            <w:pPr>
              <w:spacing w:after="0"/>
              <w:rPr>
                <w:sz w:val="21"/>
                <w:szCs w:val="21"/>
                <w:color w:val="auto"/>
              </w:rPr>
            </w:pPr>
          </w:p>
        </w:tc>
      </w:tr>
      <w:tr>
        <w:trPr>
          <w:trHeight w:val="237"/>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Less: imputed interest</w:t>
            </w:r>
          </w:p>
        </w:tc>
        <w:tc>
          <w:tcPr>
            <w:tcW w:w="76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(2,093 )</w:t>
            </w:r>
          </w:p>
        </w:tc>
      </w:tr>
      <w:tr>
        <w:trPr>
          <w:trHeight w:val="276"/>
        </w:trPr>
        <w:tc>
          <w:tcPr>
            <w:tcW w:w="91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lease liability</w:t>
            </w: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11,977</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122"/>
        </w:trPr>
        <w:tc>
          <w:tcPr>
            <w:tcW w:w="1360" w:type="dxa"/>
            <w:vAlign w:val="bottom"/>
            <w:tcBorders>
              <w:bottom w:val="single" w:sz="8" w:color="auto"/>
            </w:tcBorders>
          </w:tcPr>
          <w:p>
            <w:pPr>
              <w:spacing w:after="0"/>
              <w:rPr>
                <w:sz w:val="10"/>
                <w:szCs w:val="10"/>
                <w:color w:val="auto"/>
              </w:rPr>
            </w:pPr>
          </w:p>
        </w:tc>
        <w:tc>
          <w:tcPr>
            <w:tcW w:w="7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-119380</wp:posOffset>
            </wp:positionV>
            <wp:extent cx="857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-102235</wp:posOffset>
            </wp:positionV>
            <wp:extent cx="857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 w:lineRule="exact"/>
        <w:rPr>
          <w:sz w:val="20"/>
          <w:szCs w:val="20"/>
          <w:color w:val="auto"/>
        </w:rPr>
      </w:pPr>
    </w:p>
    <w:p>
      <w:pPr>
        <w:ind w:left="520" w:right="6320" w:hanging="512"/>
        <w:spacing w:after="0" w:line="500"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Amounts are for the nine months ending December 31, 2023. </w:t>
      </w:r>
      <w:r>
        <w:rPr>
          <w:rFonts w:ascii="Arial" w:cs="Arial" w:eastAsia="Arial" w:hAnsi="Arial"/>
          <w:sz w:val="18"/>
          <w:szCs w:val="18"/>
          <w:i w:val="1"/>
          <w:iCs w:val="1"/>
          <w:color w:val="auto"/>
        </w:rPr>
        <w:t>125 Sidney Street</w:t>
      </w:r>
    </w:p>
    <w:p>
      <w:pPr>
        <w:spacing w:after="0" w:line="2"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In November 2021, the Company entered into a lease agreement comprising approximately 12,196 square feet of office space at 125 Sidney Street in Cambridge, Massachusetts, commencing November 2021. The Company began recognizing rent expense associated with this lease during November 2021. The lease ends on March 31, 2024. The Company has the option to extend the term of the lease for two successive one-year periods, at the market rate, by giving the landlord written notice of its election to exercise the extension at least nine months prior to the original expiration of the lease term. The lease has a total commitment of $1.7 million over the initial term, and includes escalating rent payments. Operating lease expense associated with this lease for the three months ended March 31, 2023 was approximately $0.2 million. No variable lease expense was recorded associated with this lease for the three months ended March 31, 2023.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8740" w:type="dxa"/>
            <w:vAlign w:val="bottom"/>
            <w:gridSpan w:val="2"/>
          </w:tcPr>
          <w:p>
            <w:pPr>
              <w:ind w:left="80"/>
              <w:spacing w:after="0"/>
              <w:rPr>
                <w:sz w:val="20"/>
                <w:szCs w:val="20"/>
                <w:color w:val="auto"/>
              </w:rPr>
            </w:pPr>
            <w:r>
              <w:rPr>
                <w:rFonts w:ascii="Arial" w:cs="Arial" w:eastAsia="Arial" w:hAnsi="Arial"/>
                <w:sz w:val="18"/>
                <w:szCs w:val="18"/>
                <w:color w:val="auto"/>
                <w:w w:val="94"/>
              </w:rPr>
              <w:t>The future minimum lease payments associated with this lease as of March 31, 2023, are as follows (in thousands):</w:t>
            </w: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0"/>
        </w:trPr>
        <w:tc>
          <w:tcPr>
            <w:tcW w:w="1360" w:type="dxa"/>
            <w:vAlign w:val="bottom"/>
            <w:gridSpan w:val="2"/>
          </w:tcPr>
          <w:p>
            <w:pPr>
              <w:spacing w:after="0"/>
              <w:rPr>
                <w:sz w:val="23"/>
                <w:szCs w:val="23"/>
                <w:color w:val="auto"/>
              </w:rPr>
            </w:pPr>
          </w:p>
        </w:tc>
        <w:tc>
          <w:tcPr>
            <w:tcW w:w="78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43"/>
        </w:trPr>
        <w:tc>
          <w:tcPr>
            <w:tcW w:w="1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2023(1)</w:t>
            </w:r>
          </w:p>
        </w:tc>
        <w:tc>
          <w:tcPr>
            <w:tcW w:w="78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40" w:type="dxa"/>
            <w:vAlign w:val="bottom"/>
            <w:shd w:val="clear" w:color="auto" w:fill="CFF0FC"/>
          </w:tcPr>
          <w:p>
            <w:pPr>
              <w:spacing w:after="0"/>
              <w:rPr>
                <w:sz w:val="21"/>
                <w:szCs w:val="21"/>
                <w:color w:val="auto"/>
              </w:rPr>
            </w:pPr>
          </w:p>
        </w:tc>
      </w:tr>
      <w:tr>
        <w:trPr>
          <w:trHeight w:val="237"/>
        </w:trPr>
        <w:tc>
          <w:tcPr>
            <w:tcW w:w="440" w:type="dxa"/>
            <w:vAlign w:val="bottom"/>
          </w:tcPr>
          <w:p>
            <w:pPr>
              <w:ind w:left="20"/>
              <w:spacing w:after="0"/>
              <w:rPr>
                <w:sz w:val="20"/>
                <w:szCs w:val="20"/>
                <w:color w:val="auto"/>
              </w:rPr>
            </w:pPr>
            <w:r>
              <w:rPr>
                <w:rFonts w:ascii="Arial" w:cs="Arial" w:eastAsia="Arial" w:hAnsi="Arial"/>
                <w:sz w:val="18"/>
                <w:szCs w:val="18"/>
                <w:color w:val="auto"/>
                <w:w w:val="99"/>
              </w:rPr>
              <w:t>2024</w:t>
            </w:r>
          </w:p>
        </w:tc>
        <w:tc>
          <w:tcPr>
            <w:tcW w:w="9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20"/>
                <w:szCs w:val="20"/>
                <w:color w:val="auto"/>
              </w:rPr>
            </w:pPr>
          </w:p>
        </w:tc>
      </w:tr>
      <w:tr>
        <w:trPr>
          <w:trHeight w:val="243"/>
        </w:trPr>
        <w:tc>
          <w:tcPr>
            <w:tcW w:w="91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Total minimum lease payments</w:t>
            </w:r>
          </w:p>
        </w:tc>
        <w:tc>
          <w:tcPr>
            <w:tcW w:w="8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140" w:type="dxa"/>
            <w:vAlign w:val="bottom"/>
            <w:shd w:val="clear" w:color="auto" w:fill="CFF0FC"/>
          </w:tcPr>
          <w:p>
            <w:pPr>
              <w:spacing w:after="0"/>
              <w:rPr>
                <w:sz w:val="21"/>
                <w:szCs w:val="21"/>
                <w:color w:val="auto"/>
              </w:rPr>
            </w:pPr>
          </w:p>
        </w:tc>
      </w:tr>
      <w:tr>
        <w:trPr>
          <w:trHeight w:val="237"/>
        </w:trPr>
        <w:tc>
          <w:tcPr>
            <w:tcW w:w="9180" w:type="dxa"/>
            <w:vAlign w:val="bottom"/>
            <w:gridSpan w:val="3"/>
          </w:tcPr>
          <w:p>
            <w:pPr>
              <w:ind w:left="20"/>
              <w:spacing w:after="0"/>
              <w:rPr>
                <w:sz w:val="20"/>
                <w:szCs w:val="20"/>
                <w:color w:val="auto"/>
              </w:rPr>
            </w:pPr>
            <w:r>
              <w:rPr>
                <w:rFonts w:ascii="Arial" w:cs="Arial" w:eastAsia="Arial" w:hAnsi="Arial"/>
                <w:sz w:val="18"/>
                <w:szCs w:val="18"/>
                <w:color w:val="auto"/>
              </w:rPr>
              <w:t>Less: imputed interest</w:t>
            </w:r>
          </w:p>
        </w:tc>
        <w:tc>
          <w:tcPr>
            <w:tcW w:w="8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(18 )</w:t>
            </w:r>
          </w:p>
        </w:tc>
      </w:tr>
      <w:tr>
        <w:trPr>
          <w:trHeight w:val="277"/>
        </w:trPr>
        <w:tc>
          <w:tcPr>
            <w:tcW w:w="91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Total lease liability</w:t>
            </w:r>
          </w:p>
        </w:tc>
        <w:tc>
          <w:tcPr>
            <w:tcW w:w="86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135"/>
        </w:trPr>
        <w:tc>
          <w:tcPr>
            <w:tcW w:w="4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7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63"/>
        </w:trPr>
        <w:tc>
          <w:tcPr>
            <w:tcW w:w="440" w:type="dxa"/>
            <w:vAlign w:val="bottom"/>
          </w:tcPr>
          <w:p>
            <w:pPr>
              <w:spacing w:after="0"/>
              <w:rPr>
                <w:sz w:val="20"/>
                <w:szCs w:val="20"/>
                <w:color w:val="auto"/>
              </w:rPr>
            </w:pPr>
            <w:r>
              <w:rPr>
                <w:rFonts w:ascii="Arial" w:cs="Arial" w:eastAsia="Arial" w:hAnsi="Arial"/>
                <w:sz w:val="18"/>
                <w:szCs w:val="18"/>
                <w:color w:val="auto"/>
              </w:rPr>
              <w:t>1.</w:t>
            </w:r>
          </w:p>
        </w:tc>
        <w:tc>
          <w:tcPr>
            <w:tcW w:w="8740" w:type="dxa"/>
            <w:vAlign w:val="bottom"/>
            <w:gridSpan w:val="2"/>
          </w:tcPr>
          <w:p>
            <w:pPr>
              <w:ind w:left="80"/>
              <w:spacing w:after="0"/>
              <w:rPr>
                <w:sz w:val="20"/>
                <w:szCs w:val="20"/>
                <w:color w:val="auto"/>
              </w:rPr>
            </w:pPr>
            <w:r>
              <w:rPr>
                <w:rFonts w:ascii="Arial" w:cs="Arial" w:eastAsia="Arial" w:hAnsi="Arial"/>
                <w:sz w:val="18"/>
                <w:szCs w:val="18"/>
                <w:color w:val="auto"/>
              </w:rPr>
              <w:t>Amounts are for the nine months ending December 31, 2023.</w:t>
            </w:r>
          </w:p>
        </w:tc>
        <w:tc>
          <w:tcPr>
            <w:tcW w:w="8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-299720</wp:posOffset>
            </wp:positionV>
            <wp:extent cx="857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-281940</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arising out of the relationship between such parties and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ind w:right="180"/>
        <w:spacing w:after="0" w:line="296" w:lineRule="auto"/>
        <w:rPr>
          <w:sz w:val="20"/>
          <w:szCs w:val="20"/>
          <w:color w:val="auto"/>
        </w:rPr>
      </w:pPr>
      <w:r>
        <w:rPr>
          <w:rFonts w:ascii="Arial" w:cs="Arial" w:eastAsia="Arial" w:hAnsi="Arial"/>
          <w:sz w:val="16"/>
          <w:szCs w:val="16"/>
          <w:color w:val="auto"/>
        </w:rPr>
        <w:t>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March 31, 2023 or December 31, 2022.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 xml:space="preserve">On April 28, 2023, a class action complaint, </w:t>
      </w:r>
      <w:r>
        <w:rPr>
          <w:rFonts w:ascii="Arial" w:cs="Arial" w:eastAsia="Arial" w:hAnsi="Arial"/>
          <w:sz w:val="18"/>
          <w:szCs w:val="18"/>
          <w:i w:val="1"/>
          <w:iCs w:val="1"/>
          <w:color w:val="auto"/>
        </w:rPr>
        <w:t>Celano v. Fulcrum Therapeutics, Inc., et al</w:t>
      </w:r>
      <w:r>
        <w:rPr>
          <w:rFonts w:ascii="Arial" w:cs="Arial" w:eastAsia="Arial" w:hAnsi="Arial"/>
          <w:sz w:val="18"/>
          <w:szCs w:val="18"/>
          <w:color w:val="auto"/>
        </w:rPr>
        <w:t>., Case No. 1:23cv2360, was filed in the United States District Court for the District of New Jersey against the Company and current and former officers (the “Securities Action”). The Securities Action alleges violations of Section 10(b) of the Securities Exchange Act of 1934, as amended, and Rule 10b-5 promulgated thereunder against all defendants and control person violations of Section 20(a) against the individuals, related to the Company's February 2023 announcement that the U.S. Food and Drug Administrationissued a clinical hold regarding the investigational new drug application for FTX-6058 for the potential treatment of sickle cell disease. The Securities Action alleges that the defendants made misleading statements and omitted to disclose material information related to the clinical hold and seeks, among other things, compensatory damages in connection with an allegedly inflated stock price between March 3, 2022, and March 8, 2023, as well as attorneys’ fees and costs. The Company has reviewed the allegations and believes they are without merit. The Company intends to defend vigorously against this litigation.</w:t>
      </w:r>
    </w:p>
    <w:p>
      <w:pPr>
        <w:spacing w:after="0" w:line="196" w:lineRule="exact"/>
        <w:rPr>
          <w:sz w:val="20"/>
          <w:szCs w:val="20"/>
          <w:color w:val="auto"/>
        </w:rPr>
      </w:pPr>
    </w:p>
    <w:p>
      <w:pPr>
        <w:ind w:right="340" w:firstLine="509"/>
        <w:spacing w:after="0" w:line="311" w:lineRule="auto"/>
        <w:rPr>
          <w:sz w:val="20"/>
          <w:szCs w:val="20"/>
          <w:color w:val="auto"/>
        </w:rPr>
      </w:pPr>
      <w:r>
        <w:rPr>
          <w:rFonts w:ascii="Arial" w:cs="Arial" w:eastAsia="Arial" w:hAnsi="Arial"/>
          <w:sz w:val="16"/>
          <w:szCs w:val="16"/>
          <w:color w:val="auto"/>
        </w:rPr>
        <w:t>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during the three months ended March 31, 2023 and 2022.</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Contribution Plan</w:t>
      </w:r>
    </w:p>
    <w:p>
      <w:pPr>
        <w:spacing w:after="0" w:line="229"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$0.2 million in contributions to the 401(k) Plan for the three months ended March 31, 2023 and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per Share</w:t>
      </w:r>
    </w:p>
    <w:p>
      <w:pPr>
        <w:spacing w:after="0" w:line="229"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for the periods indicated because including them would have had an anti-dilutive effect:</w:t>
      </w:r>
    </w:p>
    <w:p>
      <w:pPr>
        <w:spacing w:after="0" w:line="229" w:lineRule="exact"/>
        <w:rPr>
          <w:sz w:val="20"/>
          <w:szCs w:val="20"/>
          <w:color w:val="auto"/>
        </w:rPr>
      </w:pPr>
    </w:p>
    <w:p>
      <w:pPr>
        <w:jc w:val="center"/>
        <w:ind w:left="41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14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tcBorders>
              <w:top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2023</w:t>
            </w:r>
          </w:p>
        </w:tc>
        <w:tc>
          <w:tcPr>
            <w:tcW w:w="1880" w:type="dxa"/>
            <w:vAlign w:val="bottom"/>
            <w:tcBorders>
              <w:top w:val="single" w:sz="8" w:color="auto"/>
            </w:tcBorders>
            <w:gridSpan w:val="2"/>
          </w:tcPr>
          <w:p>
            <w:pPr>
              <w:jc w:val="right"/>
              <w:ind w:right="690"/>
              <w:spacing w:after="0"/>
              <w:rPr>
                <w:sz w:val="20"/>
                <w:szCs w:val="20"/>
                <w:color w:val="auto"/>
              </w:rPr>
            </w:pPr>
            <w:r>
              <w:rPr>
                <w:rFonts w:ascii="Arial" w:cs="Arial" w:eastAsia="Arial" w:hAnsi="Arial"/>
                <w:sz w:val="14"/>
                <w:szCs w:val="14"/>
                <w:b w:val="1"/>
                <w:bCs w:val="1"/>
                <w:color w:val="auto"/>
              </w:rPr>
              <w:t>2022</w:t>
            </w:r>
          </w:p>
        </w:tc>
        <w:tc>
          <w:tcPr>
            <w:tcW w:w="1680" w:type="dxa"/>
            <w:vAlign w:val="bottom"/>
          </w:tcPr>
          <w:p>
            <w:pPr>
              <w:spacing w:after="0"/>
              <w:rPr>
                <w:sz w:val="14"/>
                <w:szCs w:val="14"/>
                <w:color w:val="auto"/>
              </w:rPr>
            </w:pPr>
          </w:p>
        </w:tc>
      </w:tr>
      <w:tr>
        <w:trPr>
          <w:trHeight w:val="237"/>
        </w:trPr>
        <w:tc>
          <w:tcPr>
            <w:tcW w:w="1700" w:type="dxa"/>
            <w:vAlign w:val="bottom"/>
          </w:tcPr>
          <w:p>
            <w:pPr>
              <w:spacing w:after="0"/>
              <w:rPr>
                <w:sz w:val="20"/>
                <w:szCs w:val="20"/>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220" w:type="dxa"/>
            <w:vAlign w:val="bottom"/>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6,876,679</w:t>
            </w:r>
          </w:p>
        </w:tc>
        <w:tc>
          <w:tcPr>
            <w:tcW w:w="140" w:type="dxa"/>
            <w:vAlign w:val="bottom"/>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6,526,973</w:t>
            </w:r>
          </w:p>
        </w:tc>
        <w:tc>
          <w:tcPr>
            <w:tcW w:w="1680" w:type="dxa"/>
            <w:vAlign w:val="bottom"/>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Unvested restricted stock units</w:t>
            </w:r>
          </w:p>
        </w:tc>
        <w:tc>
          <w:tcPr>
            <w:tcW w:w="2960" w:type="dxa"/>
            <w:vAlign w:val="bottom"/>
            <w:gridSpan w:val="2"/>
          </w:tcPr>
          <w:p>
            <w:pPr>
              <w:jc w:val="right"/>
              <w:ind w:right="16"/>
              <w:spacing w:after="0"/>
              <w:rPr>
                <w:sz w:val="20"/>
                <w:szCs w:val="20"/>
                <w:color w:val="auto"/>
              </w:rPr>
            </w:pPr>
            <w:r>
              <w:rPr>
                <w:rFonts w:ascii="Arial" w:cs="Arial" w:eastAsia="Arial" w:hAnsi="Arial"/>
                <w:sz w:val="18"/>
                <w:szCs w:val="18"/>
                <w:color w:val="auto"/>
              </w:rPr>
              <w:t>104,543</w:t>
            </w:r>
          </w:p>
        </w:tc>
        <w:tc>
          <w:tcPr>
            <w:tcW w:w="1880" w:type="dxa"/>
            <w:vAlign w:val="bottom"/>
            <w:gridSpan w:val="2"/>
          </w:tcPr>
          <w:p>
            <w:pPr>
              <w:jc w:val="right"/>
              <w:ind w:right="30"/>
              <w:spacing w:after="0"/>
              <w:rPr>
                <w:sz w:val="20"/>
                <w:szCs w:val="20"/>
                <w:color w:val="auto"/>
              </w:rPr>
            </w:pPr>
            <w:r>
              <w:rPr>
                <w:rFonts w:ascii="Arial" w:cs="Arial" w:eastAsia="Arial" w:hAnsi="Arial"/>
                <w:sz w:val="18"/>
                <w:szCs w:val="18"/>
                <w:color w:val="auto"/>
              </w:rPr>
              <w:t>44,847</w:t>
            </w:r>
          </w:p>
        </w:tc>
        <w:tc>
          <w:tcPr>
            <w:tcW w:w="1680" w:type="dxa"/>
            <w:vAlign w:val="bottom"/>
          </w:tcPr>
          <w:p>
            <w:pPr>
              <w:spacing w:after="0"/>
              <w:rPr>
                <w:sz w:val="20"/>
                <w:szCs w:val="20"/>
                <w:color w:val="auto"/>
              </w:rPr>
            </w:pPr>
          </w:p>
        </w:tc>
      </w:tr>
      <w:tr>
        <w:trPr>
          <w:trHeight w:val="276"/>
        </w:trPr>
        <w:tc>
          <w:tcPr>
            <w:tcW w:w="1700" w:type="dxa"/>
            <w:vAlign w:val="bottom"/>
          </w:tcPr>
          <w:p>
            <w:pPr>
              <w:spacing w:after="0"/>
              <w:rPr>
                <w:sz w:val="24"/>
                <w:szCs w:val="24"/>
                <w:color w:val="auto"/>
              </w:rPr>
            </w:pPr>
          </w:p>
        </w:tc>
        <w:tc>
          <w:tcPr>
            <w:tcW w:w="3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6,981,222</w:t>
            </w:r>
          </w:p>
        </w:tc>
        <w:tc>
          <w:tcPr>
            <w:tcW w:w="14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6,571,820</w:t>
            </w:r>
          </w:p>
        </w:tc>
        <w:tc>
          <w:tcPr>
            <w:tcW w:w="1680" w:type="dxa"/>
            <w:vAlign w:val="bottom"/>
          </w:tcPr>
          <w:p>
            <w:pPr>
              <w:spacing w:after="0"/>
              <w:rPr>
                <w:sz w:val="24"/>
                <w:szCs w:val="24"/>
                <w:color w:val="auto"/>
              </w:rPr>
            </w:pPr>
          </w:p>
        </w:tc>
      </w:tr>
      <w:tr>
        <w:trPr>
          <w:trHeight w:val="635"/>
        </w:trPr>
        <w:tc>
          <w:tcPr>
            <w:tcW w:w="17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-521970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-505460</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consolidated financial statements and related notes appearing elsewhere in this Quarterly Report on Form 10-Q and our Annual Report on Form 10-K filed with the Securities and Exchange Commission, or SEC, on March 9, 2023.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We are a clinical-stage biopharmaceutical company focused on improving the lives of patients with genetically defined rare diseases in areas of high unmet medical need. Our most advanced clinical product candidate, losmapimod, is being developed for the potential treatment of FSHD. Our other clinical product candidate is FTX-6058, which is being developed for the potential treatment of certain hemoglobinopathies, including SCD. We initiated REACH, a randomized, double-blind, placebo-controlled, multi-national Phase 3 clinical trial of losmapimod in the second quarter of 2022 and plan to complete enrollment in the second half of 2023. In January 2023, we announced interim data from our Phase 1b clinical trial of FTX-6058 in SCD. We have completed enrollment in the 6 mg and 2 mg dose cohorts, and we do not plan to enroll additional subjects in these cohorts. Although we commenced enrollment in the 12 mg dose cohort, on February 23, 2023, the FDA placed a full clinical hold on the IND for FTX-6058 for SCD. We have suspended enrollment and dosing in the Phase 1b trial of FTX-6058, withdrew our separate IND for FTX-6058 for beta thalassemia and are working diligently with FDA to resolve the hold as soon as possible.</w:t>
      </w:r>
    </w:p>
    <w:p>
      <w:pPr>
        <w:spacing w:after="0" w:line="181"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We have developed a proprietary product engine, FulcrumSeek, that we employ to systematically identify and validate cellular drug targets that can potentially modulate gene expression to treat known root causes of genetically defined diseases. Our product engine integrates patient-derived tissue- and disease-relevant cell models that we interrogate using our pharmacologically diverse and highly annotated small-molecule compound library and customized CRISPR and RNAi libraries. These screens generate tens of millions of data points and high-content imaging. We then apply computational biology and analytics to identify targets with specificity and selectivity accompanied by a comprehensive data set that significantly accelerates development. This approach led to the identification of both losmapimod for FSHD and FTX-6058 for hemoglobinopathies, as well as a robust discovery pipeline.</w:t>
      </w:r>
    </w:p>
    <w:p>
      <w:pPr>
        <w:spacing w:after="0" w:line="195"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product engine, identifying drug targets and potential product candidates, in-licensing assets, producing drug substance and drug product material for use in clinical trials and conducting preclinical studies and clinical trials. To date, we have funded our operations primarily from the sale of shares of our capital stock and from upfront payments received under our collaboration and license agreements.</w:t>
      </w:r>
    </w:p>
    <w:p>
      <w:pPr>
        <w:spacing w:after="0" w:line="188" w:lineRule="exact"/>
        <w:rPr>
          <w:sz w:val="20"/>
          <w:szCs w:val="20"/>
          <w:color w:val="auto"/>
        </w:rPr>
      </w:pPr>
    </w:p>
    <w:p>
      <w:pPr>
        <w:jc w:val="both"/>
        <w:ind w:right="220" w:firstLine="509"/>
        <w:spacing w:after="0" w:line="263" w:lineRule="auto"/>
        <w:rPr>
          <w:sz w:val="20"/>
          <w:szCs w:val="20"/>
          <w:color w:val="auto"/>
        </w:rPr>
      </w:pPr>
      <w:r>
        <w:rPr>
          <w:rFonts w:ascii="Arial" w:cs="Arial" w:eastAsia="Arial" w:hAnsi="Arial"/>
          <w:sz w:val="18"/>
          <w:szCs w:val="18"/>
          <w:color w:val="auto"/>
        </w:rPr>
        <w:t>In January 2023, we issued and sold 9,615,384 shares of our common stock in a public offering at a public offering price of $13.00 per share, less underwriting discounts and commissions. The net proceeds of the offering were $117.3 million, after deducting underwriting discounts and commissions and offering expenses.</w:t>
      </w:r>
    </w:p>
    <w:p>
      <w:pPr>
        <w:spacing w:after="0" w:line="184"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 was $24.8 million for the three months ended March 31, 2023 and $25.9 million for the three months ended March 31, 2022. As of March 31, 2023, we had an accumulated deficit of $437.1 million. We expect our expenses and operating losses will increase substantially over the next several years in connection with our ongoing activities, as we:</w:t>
      </w:r>
    </w:p>
    <w:p>
      <w:pPr>
        <w:spacing w:after="0" w:line="53" w:lineRule="exact"/>
        <w:rPr>
          <w:sz w:val="20"/>
          <w:szCs w:val="20"/>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our clinical development of losmapimod and FTX-6058, including efforts to resolve the clinical hold on FTX-6058;</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our ongoing preclinical studies;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117" w:lineRule="exact"/>
        <w:rPr>
          <w:rFonts w:ascii="Arial" w:cs="Arial" w:eastAsia="Arial" w:hAnsi="Arial"/>
          <w:sz w:val="18"/>
          <w:szCs w:val="18"/>
          <w:color w:val="auto"/>
        </w:rPr>
      </w:pPr>
    </w:p>
    <w:p>
      <w:pPr>
        <w:ind w:left="900" w:right="520" w:hanging="383"/>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pursue the discovery of drug targets for other genetically-defined rare diseases and the subsequent development of any resulting product candidates;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3" w:name="page24"/>
    <w:bookmarkEnd w:id="23"/>
    <w:p>
      <w:pPr>
        <w:ind w:left="900" w:right="300" w:hanging="383"/>
        <w:spacing w:after="0" w:line="30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117" w:lineRule="exact"/>
        <w:rPr>
          <w:rFonts w:ascii="Arial" w:cs="Arial" w:eastAsia="Arial" w:hAnsi="Arial"/>
          <w:sz w:val="18"/>
          <w:szCs w:val="18"/>
          <w:color w:val="auto"/>
        </w:rPr>
      </w:pPr>
    </w:p>
    <w:p>
      <w:pPr>
        <w:ind w:left="900" w:right="440" w:hanging="383"/>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any milestone payments to affiliates of GSK under our right of reference and license agreement with GSK upon the achievement of specified clinical or regulatory milestones;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17" w:lineRule="exact"/>
        <w:rPr>
          <w:rFonts w:ascii="Arial" w:cs="Arial" w:eastAsia="Arial" w:hAnsi="Arial"/>
          <w:sz w:val="18"/>
          <w:szCs w:val="18"/>
          <w:color w:val="auto"/>
        </w:rPr>
      </w:pPr>
    </w:p>
    <w:p>
      <w:pPr>
        <w:ind w:left="900" w:right="240" w:hanging="383"/>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0"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6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As of March 31, 2023, we had $297.8 million in cash, cash equivalents, and marketable securities. We believe that our existing cash, cash equivalents, and marketable securities as of March 31, 2023 will enable us to fund our operating expenses and capital expenditure requirements into mid-2025. We have based this estimate on assumptions that may prove to be wrong, and we could exhaust our available capital resources sooner than we expect. See “—Liquidity and Capital Resources.”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60" w:firstLine="509"/>
        <w:spacing w:after="0" w:line="279" w:lineRule="auto"/>
        <w:rPr>
          <w:sz w:val="20"/>
          <w:szCs w:val="20"/>
          <w:color w:val="auto"/>
        </w:rPr>
      </w:pPr>
      <w:r>
        <w:rPr>
          <w:rFonts w:ascii="Arial" w:cs="Arial" w:eastAsia="Arial" w:hAnsi="Arial"/>
          <w:sz w:val="17"/>
          <w:szCs w:val="17"/>
          <w:color w:val="auto"/>
        </w:rPr>
        <w:t>We have not generated any revenue from product sales and do not expect to generate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71"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In December 2019, we entered into a collaboration and license agreement with Acceleron to identify biological targets to modulate specific pathways associated with a targeted indication within the pulmonary disease space. The agreement terminated effective October 1, 2022, following notification from Acceleron in June 2022 of its decision to terminate the agreement for convenience. For the three months ended March 31, 2023 and 2022, we recognized zero and $0.9 million, respectively, of collaboration revenue under the Acceleron collaboration agreement.</w:t>
      </w:r>
    </w:p>
    <w:p>
      <w:pPr>
        <w:spacing w:after="0" w:line="171"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In July 2020, we entered into a collaboration and license agreement with MyoKardia, which we amended in April 2023, pursuant to which we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us that are capable of modulating up to a certain number of genes of interest with relevance to certain genetically defined cardiomyopathies. MyoKardia was subsequently acquired by Bristol-Myers Squibb Company in November 2020. The primary goal of the collaboration is to identify and validate potential biological targets for further research, in order to support the development, manufacture and commercialization of product candidates by MyoKardia for the potential treatment of certain genetically defined cardiomyopathies.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ind w:right="20" w:firstLine="509"/>
        <w:spacing w:after="0" w:line="289" w:lineRule="auto"/>
        <w:rPr>
          <w:sz w:val="20"/>
          <w:szCs w:val="20"/>
          <w:color w:val="auto"/>
        </w:rPr>
      </w:pPr>
      <w:r>
        <w:rPr>
          <w:rFonts w:ascii="Arial" w:cs="Arial" w:eastAsia="Arial" w:hAnsi="Arial"/>
          <w:sz w:val="16"/>
          <w:szCs w:val="16"/>
          <w:color w:val="auto"/>
        </w:rPr>
        <w:t>Under the terms of the MyoKardia collaboration agreement, we received a $10.0 million upfront payment and a $2.5 million payment as prepaid research funding in July 2020. MyoKardia will also reimburse us for the costs of the research activities not covered by the prepaid research funding, up to a maximum amount of total research funding (including the prepaid research funding). Upon the achievement of specified preclinical, development and sales milestones, we will be entitled to preclinical milestone payments, development milestone payments and sales milestone payments of up to $298.5 million in the aggregate per target for certain potential cardiomyopathy gene targets, and of up to $150.0 million in the aggregate per target for certain other potential cardiomyopathy gene targets. To date, we have achieved a $2.5 million specified preclinical milestone. MyoKardia will also pay us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66" w:lineRule="exact"/>
        <w:rPr>
          <w:sz w:val="20"/>
          <w:szCs w:val="20"/>
          <w:color w:val="auto"/>
        </w:rPr>
      </w:pPr>
    </w:p>
    <w:p>
      <w:pPr>
        <w:ind w:right="60" w:firstLine="509"/>
        <w:spacing w:after="0" w:line="258" w:lineRule="auto"/>
        <w:rPr>
          <w:sz w:val="20"/>
          <w:szCs w:val="20"/>
          <w:color w:val="auto"/>
        </w:rPr>
      </w:pPr>
      <w:r>
        <w:rPr>
          <w:rFonts w:ascii="Arial" w:cs="Arial" w:eastAsia="Arial" w:hAnsi="Arial"/>
          <w:sz w:val="18"/>
          <w:szCs w:val="18"/>
          <w:color w:val="auto"/>
        </w:rPr>
        <w:t>For the three months ended March 31, 2023 and 2022, we recognized $0.3 million and $1.7 million, respectively, of collaboration revenue under the MyoKardia collaboration agreement. As of March 31, 2023 and December 31, 2022, we have recorded $0.7 million and $0.9 million, respectively, of deferred revenue associated with the MyoKardia collaboration agreement, which is classified as either current or noncurrent, net of current portion in our consolidated balance sheets based on the period over which the revenue is expected to be recognized. As of March 31, 2023, we had received $5.8 million of cost reimbursement payments and $2.5 million of milestone payments under the MyoKardia collaboration agreement. As of March 31, 2023, we recorded unbilled accounts receivable of $0.1 million related to reimbursable research and development costs under the MyoKardia collaboration agreement for activities performed during the three months ended March 31, 2023. As of March 31, 2023, we recorded no accounts receivable under the MyoKardia collaboration agreement.</w:t>
      </w:r>
    </w:p>
    <w:p>
      <w:pPr>
        <w:spacing w:after="0" w:line="191" w:lineRule="exact"/>
        <w:rPr>
          <w:sz w:val="20"/>
          <w:szCs w:val="20"/>
          <w:color w:val="auto"/>
        </w:rPr>
      </w:pPr>
    </w:p>
    <w:p>
      <w:pPr>
        <w:ind w:right="240" w:firstLine="509"/>
        <w:spacing w:after="0" w:line="255" w:lineRule="auto"/>
        <w:rPr>
          <w:sz w:val="20"/>
          <w:szCs w:val="20"/>
          <w:color w:val="auto"/>
        </w:rPr>
      </w:pPr>
      <w:r>
        <w:rPr>
          <w:rFonts w:ascii="Arial" w:cs="Arial" w:eastAsia="Arial" w:hAnsi="Arial"/>
          <w:sz w:val="18"/>
          <w:szCs w:val="18"/>
          <w:color w:val="auto"/>
        </w:rPr>
        <w:t>In the future, we will recognize additional revenue associated with the $10.0 million upfront payment and the $2.5 million preclinical milestone achieved in December 2021 as we satisfy our performance obligation, and from reimbursement of costs incurred under the MyoKardia collaboration agreement. In the future, we may also generate additional revenue from milestones and royalty payments under the MyoKardia collaboration agreement. We expect that our revenue will fluctuate from quarter-to-quarter and year-to-year based upon our pattern of performance under the MyoKardia collaboration agreement and as a result of the timing, amount, and achievement of milestones and reimbursement of costs incurred under the MyoKardia collaboration agreement.</w:t>
      </w:r>
    </w:p>
    <w:p>
      <w:pPr>
        <w:spacing w:after="0" w:line="192"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We may also in the future enter into additional license or collaboration agreements for our product candidates or intellectual property, and we may generate revenue in the future from payments as a result of such license or collaboration agreements.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Research and development expenses represent costs incurred by us for the discovery, development, and manufacture of our product candidates and include:</w:t>
      </w:r>
    </w:p>
    <w:p>
      <w:pPr>
        <w:spacing w:after="0" w:line="62" w:lineRule="exact"/>
        <w:rPr>
          <w:sz w:val="20"/>
          <w:szCs w:val="20"/>
          <w:color w:val="auto"/>
        </w:rPr>
      </w:pPr>
    </w:p>
    <w:p>
      <w:pPr>
        <w:ind w:left="900" w:right="780" w:hanging="383"/>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contract manufacturing organizations, and consultants;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salaries, payroll taxes, employee benefits and stock-based compensation expenses for individuals involved in research and development efforts;</w:t>
      </w:r>
    </w:p>
    <w:p>
      <w:pPr>
        <w:spacing w:after="0" w:line="140" w:lineRule="exact"/>
        <w:rPr>
          <w:rFonts w:ascii="Arial" w:cs="Arial" w:eastAsia="Arial" w:hAnsi="Arial"/>
          <w:sz w:val="16"/>
          <w:szCs w:val="16"/>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laboratory supplies;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117" w:lineRule="exact"/>
        <w:rPr>
          <w:rFonts w:ascii="Arial" w:cs="Arial" w:eastAsia="Arial" w:hAnsi="Arial"/>
          <w:sz w:val="18"/>
          <w:szCs w:val="18"/>
          <w:color w:val="auto"/>
        </w:rPr>
      </w:pPr>
    </w:p>
    <w:p>
      <w:pPr>
        <w:ind w:left="900" w:right="160" w:hanging="383"/>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other operating costs;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milestone expenses associated with our right of reference and license agreement with GlaxoSmithKline plc, or GSK.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ind w:firstLine="509"/>
        <w:spacing w:after="0" w:line="255" w:lineRule="auto"/>
        <w:rPr>
          <w:sz w:val="20"/>
          <w:szCs w:val="20"/>
          <w:color w:val="auto"/>
        </w:rPr>
      </w:pPr>
      <w:r>
        <w:rPr>
          <w:rFonts w:ascii="Arial" w:cs="Arial" w:eastAsia="Arial" w:hAnsi="Arial"/>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92"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8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The following table summarizes our external research and development expenses by program following nomination as a development candidate for the three months ended March 31, 2023 and 2022. Pre-development candidate expenses, unallocated expenses and internal research and development expenses are classified separately.</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r>
      <w:tr>
        <w:trPr>
          <w:trHeight w:val="185"/>
        </w:trPr>
        <w:tc>
          <w:tcPr>
            <w:tcW w:w="6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69"/>
        </w:trPr>
        <w:tc>
          <w:tcPr>
            <w:tcW w:w="68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w w:val="96"/>
              </w:rPr>
              <w:t>2022</w:t>
            </w:r>
          </w:p>
        </w:tc>
      </w:tr>
      <w:tr>
        <w:trPr>
          <w:trHeight w:val="237"/>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Losmapimod external expenses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6,329</w:t>
            </w: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2,976</w:t>
            </w:r>
          </w:p>
        </w:tc>
      </w:tr>
      <w:tr>
        <w:trPr>
          <w:trHeight w:val="237"/>
        </w:trPr>
        <w:tc>
          <w:tcPr>
            <w:tcW w:w="6820" w:type="dxa"/>
            <w:vAlign w:val="bottom"/>
          </w:tcPr>
          <w:p>
            <w:pPr>
              <w:spacing w:after="0"/>
              <w:rPr>
                <w:sz w:val="20"/>
                <w:szCs w:val="20"/>
                <w:color w:val="auto"/>
              </w:rPr>
            </w:pPr>
            <w:r>
              <w:rPr>
                <w:rFonts w:ascii="Arial" w:cs="Arial" w:eastAsia="Arial" w:hAnsi="Arial"/>
                <w:sz w:val="18"/>
                <w:szCs w:val="18"/>
                <w:color w:val="auto"/>
              </w:rPr>
              <w:t>FTX-6058 external expenses</w:t>
            </w:r>
          </w:p>
        </w:tc>
        <w:tc>
          <w:tcPr>
            <w:tcW w:w="340" w:type="dxa"/>
            <w:vAlign w:val="bottom"/>
          </w:tcPr>
          <w:p>
            <w:pPr>
              <w:spacing w:after="0"/>
              <w:rPr>
                <w:sz w:val="20"/>
                <w:szCs w:val="20"/>
                <w:color w:val="auto"/>
              </w:rPr>
            </w:pP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2,568</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4,538</w:t>
            </w:r>
          </w:p>
        </w:tc>
      </w:tr>
      <w:tr>
        <w:trPr>
          <w:trHeight w:val="249"/>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Pre-development candidate expenses and unallocated expenses</w:t>
            </w: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3,011</w:t>
            </w: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4,097</w:t>
            </w:r>
          </w:p>
        </w:tc>
      </w:tr>
      <w:tr>
        <w:trPr>
          <w:trHeight w:val="237"/>
        </w:trPr>
        <w:tc>
          <w:tcPr>
            <w:tcW w:w="682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4,807</w:t>
            </w:r>
          </w:p>
        </w:tc>
        <w:tc>
          <w:tcPr>
            <w:tcW w:w="2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6,220</w:t>
            </w:r>
          </w:p>
        </w:tc>
      </w:tr>
      <w:tr>
        <w:trPr>
          <w:trHeight w:val="277"/>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16,715</w:t>
            </w:r>
          </w:p>
        </w:tc>
        <w:tc>
          <w:tcPr>
            <w:tcW w:w="20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17,831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1200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1200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9"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79" w:lineRule="exact"/>
        <w:rPr>
          <w:sz w:val="20"/>
          <w:szCs w:val="20"/>
          <w:color w:val="auto"/>
        </w:rPr>
      </w:pPr>
    </w:p>
    <w:p>
      <w:pPr>
        <w:ind w:left="900" w:hanging="383"/>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timing and progress of preclinical and clinical development activities, including our efforts to resolve the clinical hold on FTX-6058;</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raise additional funds necessary to complete clinical development of and commercialize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may enter into collaboration arrangements;</w:t>
      </w:r>
    </w:p>
    <w:p>
      <w:pPr>
        <w:spacing w:after="0" w:line="117" w:lineRule="exact"/>
        <w:rPr>
          <w:rFonts w:ascii="Arial" w:cs="Arial" w:eastAsia="Arial" w:hAnsi="Arial"/>
          <w:sz w:val="18"/>
          <w:szCs w:val="18"/>
          <w:color w:val="auto"/>
        </w:rPr>
      </w:pPr>
    </w:p>
    <w:p>
      <w:pPr>
        <w:ind w:left="900" w:right="280" w:hanging="383"/>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successful initiation and completion of clinical trials with safety, tolerability and efficacy profiles that are satisfactory to the FDA or any comparable foreign regulatory authority;</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raw materials and active pharmaceutical ingredient, or API, for use in production of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establish and operate a manufacturing facility, or secure manufacturing supply through relationships with third parties;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 in quantities sufficient for use in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obtain and maintain intellectual property protection and regulatory exclusivity, both in the United States and internationally;</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enforce, defend and protect our rights in our intellectual property portfolio;</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and when approved;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and maintain third-party coverage and adequate reimbursement for our product candidates, if approved;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acceptance of our product candidates, if approved, by patients, the medical community and third-party payors;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with other products;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continued acceptable safety profile of our products following receipt of any regulatory approvals.</w:t>
      </w:r>
    </w:p>
    <w:p>
      <w:pPr>
        <w:spacing w:after="0" w:line="225"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70"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for the treatment of FSHD, advancing FTX-6058 for the treatment of certain hemoglobinopathies, including SCD, if we are able to resolve the current clinical hold,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87" w:lineRule="exact"/>
        <w:rPr>
          <w:sz w:val="20"/>
          <w:szCs w:val="20"/>
          <w:color w:val="auto"/>
        </w:rPr>
      </w:pPr>
    </w:p>
    <w:p>
      <w:pPr>
        <w:ind w:right="220" w:firstLine="509"/>
        <w:spacing w:after="0" w:line="279" w:lineRule="auto"/>
        <w:rPr>
          <w:sz w:val="20"/>
          <w:szCs w:val="20"/>
          <w:color w:val="auto"/>
        </w:rPr>
      </w:pPr>
      <w:r>
        <w:rPr>
          <w:rFonts w:ascii="Arial" w:cs="Arial" w:eastAsia="Arial" w:hAnsi="Arial"/>
          <w:sz w:val="17"/>
          <w:szCs w:val="17"/>
          <w:color w:val="auto"/>
        </w:rPr>
        <w:t>We expect our general and administrative expenses will increase for the foreseeable future to support our expanded infrastructure and increased costs of expanding our operations and operating as a public company. These increases will likely include increased expenses related to accounting,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net consists primarily of interest income related to our investments in cash equivalents and marketable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2023 and 2022</w:t>
      </w:r>
    </w:p>
    <w:p>
      <w:pPr>
        <w:spacing w:after="0" w:line="225" w:lineRule="exact"/>
        <w:rPr>
          <w:sz w:val="20"/>
          <w:szCs w:val="20"/>
          <w:color w:val="auto"/>
        </w:rPr>
      </w:pPr>
    </w:p>
    <w:p>
      <w:pPr>
        <w:ind w:right="200" w:firstLine="509"/>
        <w:spacing w:after="0" w:line="269" w:lineRule="auto"/>
        <w:rPr>
          <w:sz w:val="20"/>
          <w:szCs w:val="20"/>
          <w:color w:val="auto"/>
        </w:rPr>
      </w:pPr>
      <w:r>
        <w:rPr>
          <w:rFonts w:ascii="Arial" w:cs="Arial" w:eastAsia="Arial" w:hAnsi="Arial"/>
          <w:sz w:val="18"/>
          <w:szCs w:val="18"/>
          <w:color w:val="auto"/>
        </w:rPr>
        <w:t>The following summarizes our results of operations for the three months ended March 31, 2023 and 2022 along with the changes in those items in dollars:</w:t>
      </w: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gridSpan w:val="5"/>
          </w:tcPr>
          <w:p>
            <w:pPr>
              <w:jc w:val="right"/>
              <w:ind w:right="800"/>
              <w:spacing w:after="0" w:line="149" w:lineRule="exact"/>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2"/>
                <w:szCs w:val="12"/>
                <w:color w:val="auto"/>
              </w:rPr>
            </w:pPr>
          </w:p>
        </w:tc>
        <w:tc>
          <w:tcPr>
            <w:tcW w:w="98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33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7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p>
        </w:tc>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17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3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Research and development</w:t>
            </w:r>
          </w:p>
        </w:tc>
        <w:tc>
          <w:tcPr>
            <w:tcW w:w="1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16,715</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(1,116 )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33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11,520</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10,759</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p>
        </w:tc>
        <w:tc>
          <w:tcPr>
            <w:tcW w:w="3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17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28,235</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28,590</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(27,940 )</w:t>
            </w:r>
          </w:p>
        </w:tc>
        <w:tc>
          <w:tcPr>
            <w:tcW w:w="3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(25,998 )</w:t>
            </w: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(1,942 )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3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17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3,161</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3,091</w:t>
            </w: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(24,779 )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(25,928 )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780" w:type="dxa"/>
            <w:vAlign w:val="bottom"/>
            <w:vMerge w:val="restart"/>
          </w:tcPr>
          <w:p>
            <w:pPr>
              <w:jc w:val="right"/>
              <w:ind w:right="470"/>
              <w:spacing w:after="0"/>
              <w:rPr>
                <w:sz w:val="20"/>
                <w:szCs w:val="20"/>
                <w:color w:val="auto"/>
              </w:rPr>
            </w:pPr>
            <w:r>
              <w:rPr>
                <w:rFonts w:ascii="Arial" w:cs="Arial" w:eastAsia="Arial" w:hAnsi="Arial"/>
                <w:sz w:val="18"/>
                <w:szCs w:val="18"/>
                <w:color w:val="auto"/>
              </w:rPr>
              <w:t>22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-1002030</wp:posOffset>
            </wp:positionV>
            <wp:extent cx="68580"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-1002030</wp:posOffset>
            </wp:positionV>
            <wp:extent cx="68580" cy="162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-1002030</wp:posOffset>
            </wp:positionV>
            <wp:extent cx="77470" cy="16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-685165</wp:posOffset>
            </wp:positionV>
            <wp:extent cx="6858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-685165</wp:posOffset>
            </wp:positionV>
            <wp:extent cx="6858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-685165</wp:posOffset>
            </wp:positionV>
            <wp:extent cx="7747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Collaboration revenue decreased by $2.3 million from $2.6 million for the three months ended March 31, 2022 to $0.3 million for the three months ended March 31, 2023. We recognize revenue under each of the Acceleron and MyoKardia collaboration agreements based on our pattern of performance related to the respective identified performance obligation, which is the period over which we will perform research services under each of the agreements. For the three months ended March 31, 2023 and 2022, we recognized zero and $0.9 million, respectively, of collaboration revenue under the Acceleron collaboration agreement and $0.3 million and $1.7 million, respectively, of collaboration revenue under the MyoKardia collaboration agreement. The Acceleron collaboration agreement terminated effective October 1, 2022.</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three months ended March 31, 2023 and 2022:</w:t>
      </w:r>
    </w:p>
    <w:p>
      <w:pPr>
        <w:spacing w:after="0" w:line="353"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research and development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8,377</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Employee compensation</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4,807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6,220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(1,413 )</w:t>
            </w: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supplies</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(577 )</w:t>
            </w: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Facility costs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(291 )</w:t>
            </w: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6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16,715</w:t>
            </w:r>
          </w:p>
        </w:tc>
        <w:tc>
          <w:tcPr>
            <w:tcW w:w="2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17,831</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(1,116 )</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-187960</wp:posOffset>
            </wp:positionV>
            <wp:extent cx="6858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-187960</wp:posOffset>
            </wp:positionV>
            <wp:extent cx="6858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7747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82" w:lineRule="exact"/>
        <w:rPr>
          <w:sz w:val="20"/>
          <w:szCs w:val="20"/>
          <w:color w:val="auto"/>
        </w:rPr>
      </w:pPr>
    </w:p>
    <w:p>
      <w:pPr>
        <w:ind w:right="140" w:firstLine="509"/>
        <w:spacing w:after="0" w:line="308" w:lineRule="auto"/>
        <w:rPr>
          <w:sz w:val="20"/>
          <w:szCs w:val="20"/>
          <w:color w:val="auto"/>
        </w:rPr>
      </w:pPr>
      <w:r>
        <w:rPr>
          <w:rFonts w:ascii="Arial" w:cs="Arial" w:eastAsia="Arial" w:hAnsi="Arial"/>
          <w:sz w:val="17"/>
          <w:szCs w:val="17"/>
          <w:color w:val="auto"/>
        </w:rPr>
        <w:t>Research and development expense decreased by $1.1 million from $17.8 million for the three months ended March 31, 2022 to $16.7 million for the three months ended March 31, 2023. The decrease in research and development expense was primarily attributable to the following:</w:t>
      </w:r>
    </w:p>
    <w:p>
      <w:pPr>
        <w:spacing w:after="0" w:line="38" w:lineRule="exact"/>
        <w:rPr>
          <w:sz w:val="20"/>
          <w:szCs w:val="20"/>
          <w:color w:val="auto"/>
        </w:rPr>
      </w:pPr>
    </w:p>
    <w:p>
      <w:pPr>
        <w:ind w:left="900" w:hanging="383"/>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$1.4 million in decreased employee compensation costs, including a $0.5 million decrease in stock-based compensation expense, primarily due to decreased research and development headcount;</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$0.6 million in decreased laboratory supplies costs;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$0.3 million in decreased facilities costs; and</w:t>
      </w:r>
    </w:p>
    <w:p>
      <w:pPr>
        <w:spacing w:after="0" w:line="117" w:lineRule="exact"/>
        <w:rPr>
          <w:rFonts w:ascii="Arial" w:cs="Arial" w:eastAsia="Arial" w:hAnsi="Arial"/>
          <w:sz w:val="18"/>
          <w:szCs w:val="18"/>
          <w:color w:val="auto"/>
        </w:rPr>
      </w:pPr>
    </w:p>
    <w:p>
      <w:pPr>
        <w:ind w:left="900" w:right="200" w:hanging="383"/>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$0.1 million in decreased other costs; offset by a $1.2 million increase in external research and development costs, primarily due to the advancement of REACH.</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general and administrative expenses for the three months ended March 31, 2023 and 2022:</w:t>
      </w:r>
    </w:p>
    <w:p>
      <w:pPr>
        <w:spacing w:after="0" w:line="27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compensation</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7,267</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5,826</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3,921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(1,103 )</w:t>
            </w: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Facility costs</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11,520</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10,759</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ind w:right="140" w:firstLine="509"/>
        <w:spacing w:after="0" w:line="308" w:lineRule="auto"/>
        <w:rPr>
          <w:sz w:val="20"/>
          <w:szCs w:val="20"/>
          <w:color w:val="auto"/>
        </w:rPr>
      </w:pPr>
      <w:r>
        <w:rPr>
          <w:rFonts w:ascii="Arial" w:cs="Arial" w:eastAsia="Arial" w:hAnsi="Arial"/>
          <w:sz w:val="17"/>
          <w:szCs w:val="17"/>
          <w:color w:val="auto"/>
        </w:rPr>
        <w:t>General and administrative expenses increased by $0.8 million from $10.8 million for the three months ended March 31, 2022 to $11.5 million for the three months ended March 31, 2023. The increase in general and administrative expenses was primarily attributable to the following:</w:t>
      </w:r>
    </w:p>
    <w:p>
      <w:pPr>
        <w:spacing w:after="0" w:line="38" w:lineRule="exact"/>
        <w:rPr>
          <w:sz w:val="20"/>
          <w:szCs w:val="20"/>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$1.4 million in increased employee compensation costs, including a $0.9 million increase in stock-based compensation expense;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$0.2 million in increased facility-related costs;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8" w:name="page29"/>
    <w:bookmarkEnd w:id="28"/>
    <w:p>
      <w:pPr>
        <w:ind w:left="900" w:right="220" w:hanging="383"/>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$0.2 million in increased other costs; offset by a $1.1 million in decreased professional services costs, primarily due to decreased consulting, insurance, and legal costs.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460" w:firstLine="509"/>
        <w:spacing w:after="0" w:line="263" w:lineRule="auto"/>
        <w:rPr>
          <w:sz w:val="20"/>
          <w:szCs w:val="20"/>
          <w:color w:val="auto"/>
        </w:rPr>
      </w:pPr>
      <w:r>
        <w:rPr>
          <w:rFonts w:ascii="Arial" w:cs="Arial" w:eastAsia="Arial" w:hAnsi="Arial"/>
          <w:sz w:val="18"/>
          <w:szCs w:val="18"/>
          <w:color w:val="auto"/>
        </w:rPr>
        <w:t>Other income, net increased by $3.1 million from $0.1 million for the three months ended March 31, 2022 to $3.2 million for the three months ended March 31, 2023. The increase in other income, net was primarily attributable to an increased rate of return on our cash, cash equivalents, and marketable securities and an increase in the Company's average cash and investment balance.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As of March 31, 2023, we have funded our operations primarily with aggregate gross proceeds of $712.5 million from the sale of shares of our capital stock and from upfront payments received under our collaboration and license agreements. As of March 31, 2023, we had cash, cash equivalents, and marketable securities of $297.8 million.</w:t>
      </w:r>
    </w:p>
    <w:p>
      <w:pPr>
        <w:spacing w:after="0" w:line="161" w:lineRule="exact"/>
        <w:rPr>
          <w:sz w:val="20"/>
          <w:szCs w:val="20"/>
          <w:color w:val="auto"/>
        </w:rPr>
      </w:pPr>
    </w:p>
    <w:p>
      <w:pPr>
        <w:ind w:right="240" w:firstLine="509"/>
        <w:spacing w:after="0" w:line="342" w:lineRule="auto"/>
        <w:rPr>
          <w:sz w:val="20"/>
          <w:szCs w:val="20"/>
          <w:color w:val="auto"/>
        </w:rPr>
      </w:pPr>
      <w:r>
        <w:rPr>
          <w:rFonts w:ascii="Arial" w:cs="Arial" w:eastAsia="Arial" w:hAnsi="Arial"/>
          <w:sz w:val="16"/>
          <w:szCs w:val="16"/>
          <w:color w:val="auto"/>
        </w:rPr>
        <w:t>In January 2023, we completed a public offering of our common stock and issued and sold 9,615,384 shares of common stock at a public offering price of $13.00 per share, resulting in net proceeds of $117.3 million after deducting underwriting discounts and commissions and offering expenses.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information regarding our cash flows for the three months ended March 31, 2023 and 2022:</w:t>
      </w:r>
    </w:p>
    <w:p>
      <w:pPr>
        <w:spacing w:after="0" w:line="27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5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69"/>
        </w:trPr>
        <w:tc>
          <w:tcPr>
            <w:tcW w:w="53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r>
      <w:tr>
        <w:trPr>
          <w:trHeight w:val="237"/>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(24,116 )</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(22,106 )</w:t>
            </w: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(93,941 )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19,659</w:t>
            </w:r>
          </w:p>
        </w:tc>
      </w:tr>
      <w:tr>
        <w:trPr>
          <w:trHeight w:val="243"/>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117,693</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348</w:t>
            </w: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(364 )</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(2,099 )</w:t>
            </w:r>
          </w:p>
        </w:tc>
      </w:tr>
      <w:tr>
        <w:trPr>
          <w:trHeight w:val="20"/>
        </w:trPr>
        <w:tc>
          <w:tcPr>
            <w:tcW w:w="5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-187960</wp:posOffset>
            </wp:positionV>
            <wp:extent cx="85725"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Net cash used in operating activities was $24.1 million during the three months ended March 31, 2023 compared to $22.1 million during the three months ended March 31, 2022. The increase in net cash used in operating activities of $2.0 million was primarily due to increased external research and development costs as we continue to advance our lead programs and address the clinical hold on FTX-6058, increased employee compensation costs, and increased general and administrative costs to support the growth of our organization.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Investing Activities</w:t>
      </w:r>
    </w:p>
    <w:p>
      <w:pPr>
        <w:spacing w:after="0" w:line="225"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Net cash used in investing activities was $93.9 million during the three months ended March 31, 2023 compared to net cash provided by investing activities of $19.7 million during the three months ended March 31, 2022. The increase in net cash used in investing activities of $113.6 million was primarily due to net purchases of marketable securities during the three months ended March 31, 2023, as compared to net maturities of marketable securities during the three months ended March 31, 2022.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Net cash provided by financing activities was $117.7 million during the three months ended March 31, 2023 compared to net cash provided by financing activities of $0.3 million during the three months ended March 31, 2022. Net cash provided by financing activities during the three months ended March 31, 2023 primarily consisted of net proceeds of $117.3 million from the completion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right="660"/>
        <w:spacing w:after="0" w:line="277" w:lineRule="auto"/>
        <w:rPr>
          <w:sz w:val="20"/>
          <w:szCs w:val="20"/>
          <w:color w:val="auto"/>
        </w:rPr>
      </w:pPr>
      <w:r>
        <w:rPr>
          <w:rFonts w:ascii="Arial" w:cs="Arial" w:eastAsia="Arial" w:hAnsi="Arial"/>
          <w:sz w:val="18"/>
          <w:szCs w:val="18"/>
          <w:color w:val="auto"/>
        </w:rPr>
        <w:t>the public offering of our common stock in January 2023. Net cash provided by financing activities during the three months ended March 31, 2022 consisted of net proceeds of $0.3 million from the issuance of common stock under our benefit plans.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we expect to incur additional costs to support the growth of our organization. As a result, we expect to incur substantial operating losses and negative operating cash flows for the foreseeable future.</w:t>
      </w:r>
    </w:p>
    <w:p>
      <w:pPr>
        <w:spacing w:after="0" w:line="187"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Based on our current operating plan, including successful implementation of the operational realignment, we believe that our existing cash, cash equivalents, and marketable securities as of March 31, 2023, will enable us to fund our operating expenses and capital expenditure requirements into mid-2025. However, we have based this estimate on assumptions that may prove to be wrong and we could exhaust our capital resources sooner than we expect.</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900" w:right="320" w:hanging="383"/>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costs and results of our clinical trials of losmapimod and FTX-6058, including our efforts to resolve the clinical hold on FTX-6058;</w:t>
      </w:r>
    </w:p>
    <w:p>
      <w:pPr>
        <w:spacing w:after="0" w:line="62" w:lineRule="exact"/>
        <w:rPr>
          <w:rFonts w:ascii="Arial" w:cs="Arial" w:eastAsia="Arial" w:hAnsi="Arial"/>
          <w:sz w:val="18"/>
          <w:szCs w:val="18"/>
          <w:color w:val="auto"/>
        </w:rPr>
      </w:pPr>
    </w:p>
    <w:p>
      <w:pPr>
        <w:ind w:left="900" w:right="560" w:hanging="383"/>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900" w:right="320" w:hanging="383"/>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API and manufacture of our product candidates and the terms of such arrangements;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our collaboration with MyoKardia;</w:t>
      </w:r>
    </w:p>
    <w:p>
      <w:pPr>
        <w:spacing w:after="0" w:line="117" w:lineRule="exact"/>
        <w:rPr>
          <w:rFonts w:ascii="Arial" w:cs="Arial" w:eastAsia="Arial" w:hAnsi="Arial"/>
          <w:sz w:val="18"/>
          <w:szCs w:val="18"/>
          <w:color w:val="auto"/>
        </w:rPr>
      </w:pPr>
    </w:p>
    <w:p>
      <w:pPr>
        <w:ind w:left="900" w:right="660" w:hanging="383"/>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117" w:lineRule="exact"/>
        <w:rPr>
          <w:rFonts w:ascii="Arial" w:cs="Arial" w:eastAsia="Arial" w:hAnsi="Arial"/>
          <w:sz w:val="18"/>
          <w:szCs w:val="18"/>
          <w:color w:val="auto"/>
        </w:rPr>
      </w:pPr>
    </w:p>
    <w:p>
      <w:pPr>
        <w:ind w:left="900" w:right="160" w:hanging="383"/>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140" w:lineRule="exact"/>
        <w:rPr>
          <w:rFonts w:ascii="Arial" w:cs="Arial" w:eastAsia="Arial" w:hAnsi="Arial"/>
          <w:sz w:val="16"/>
          <w:szCs w:val="16"/>
          <w:color w:val="auto"/>
        </w:rPr>
      </w:pPr>
    </w:p>
    <w:p>
      <w:pPr>
        <w:ind w:left="900" w:right="820" w:hanging="383"/>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w:t>
      </w:r>
    </w:p>
    <w:p>
      <w:pPr>
        <w:spacing w:after="0" w:line="225"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84"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65"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ind w:right="20"/>
        <w:spacing w:after="0" w:line="293" w:lineRule="auto"/>
        <w:rPr>
          <w:sz w:val="20"/>
          <w:szCs w:val="20"/>
          <w:color w:val="auto"/>
        </w:rPr>
      </w:pPr>
      <w:r>
        <w:rPr>
          <w:rFonts w:ascii="Arial" w:cs="Arial" w:eastAsia="Arial" w:hAnsi="Arial"/>
          <w:sz w:val="16"/>
          <w:szCs w:val="16"/>
          <w:color w:val="auto"/>
        </w:rPr>
        <w:t>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 licensing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 During the three months ended March 31, 2023, there were no material changes to our critical accounting policies from those described in our Annual Report on Form 10-K filed with the SEC on March 9, 2023.</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consolidated financial statements appearing elsewhere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We are a smaller reporting company, as defined in Rule 12b-2 under the Securities Exchange Act of 1934, as amended, for this reporting period and are not required to provide the information required under this item.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management, with the participation of our Chief Executive Officer (our principal executive officer and principal financial officer), evaluated the effectiveness of our disclosure controls and procedures as of March 31, 2023.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March 31, 2023, our Chief Executive Officer concluded that, as of such date, our disclosure controls and procedures were effective at the reasonable assurance level.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320" w:firstLine="509"/>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 xml:space="preserve">On April 28, 2023, a class action complaint, </w:t>
      </w:r>
      <w:r>
        <w:rPr>
          <w:rFonts w:ascii="Arial" w:cs="Arial" w:eastAsia="Arial" w:hAnsi="Arial"/>
          <w:sz w:val="17"/>
          <w:szCs w:val="17"/>
          <w:i w:val="1"/>
          <w:iCs w:val="1"/>
          <w:color w:val="auto"/>
        </w:rPr>
        <w:t>Celano v. Fulcrum Therapeutics, Inc., et al</w:t>
      </w:r>
      <w:r>
        <w:rPr>
          <w:rFonts w:ascii="Arial" w:cs="Arial" w:eastAsia="Arial" w:hAnsi="Arial"/>
          <w:sz w:val="17"/>
          <w:szCs w:val="17"/>
          <w:color w:val="auto"/>
        </w:rPr>
        <w:t>., Case No. 1:23cv2360, was filed in the United States District Court for the District of New Jersey against our company and current and former officers, or the Securities Action. The Securities Action alleges violations of Section 10(b) of the Exchange Act and Rule 10b-5 promulgated thereunder against all defendants and control person violations of Section 20(a) against the individuals, related to our February 2023 announcement that the FDA issued a clinical hold regarding the IND application for FTX-6058 for the potential treatment of SCD. The Securities Action alleges that the defendants made misleading statements and omitted to disclose material information related to the clinical hold and seeks, among other things, compensatory damages in connection with an allegedly inflated stock price between March 3, 2022, and March 8, 2023, as well as attorneys’ fees and costs. We have reviewed the allegations and believe they are without merit. We intend to defend vigorously against this litigation.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“Cautionary Note Regarding Forward-Looking Statements” on page i of this Quarterly Report on Form 10-Q for a discussion of some of the forward-looking statements that are qualified by these risk factors. Factors that could cause or contribute to such differences include those factors discussed below.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170" w:lineRule="exact"/>
        <w:rPr>
          <w:sz w:val="20"/>
          <w:szCs w:val="20"/>
          <w:color w:val="auto"/>
        </w:rPr>
      </w:pPr>
    </w:p>
    <w:p>
      <w:pPr>
        <w:ind w:right="140" w:firstLine="509"/>
        <w:spacing w:after="0" w:line="272" w:lineRule="auto"/>
        <w:rPr>
          <w:sz w:val="20"/>
          <w:szCs w:val="20"/>
          <w:color w:val="auto"/>
        </w:rPr>
      </w:pPr>
      <w:r>
        <w:rPr>
          <w:rFonts w:ascii="Arial" w:cs="Arial" w:eastAsia="Arial" w:hAnsi="Arial"/>
          <w:sz w:val="17"/>
          <w:szCs w:val="17"/>
          <w:color w:val="auto"/>
        </w:rPr>
        <w:t>Since inception, we have incurred significant operating losses. Our net loss was $109.9 million for the year ended December 31, 2022 and $24.8 million for the three months ended March 31, 2023. As of March 31, 2023, we had an accumulated deficit of $437.1 million. To date, we have funded our operations primarily from the sale of shares of our capital stock and from upfront payments received under our collaboration and license agreements.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69" w:lineRule="exact"/>
        <w:rPr>
          <w:sz w:val="20"/>
          <w:szCs w:val="20"/>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our clinical development of losmapimod and seek to resolve the clinical hold on FTX-6058;</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our ongoing preclinical studies;</w:t>
      </w:r>
    </w:p>
    <w:p>
      <w:pPr>
        <w:spacing w:after="0" w:line="117" w:lineRule="exact"/>
        <w:rPr>
          <w:rFonts w:ascii="Arial" w:cs="Arial" w:eastAsia="Arial" w:hAnsi="Arial"/>
          <w:sz w:val="18"/>
          <w:szCs w:val="18"/>
          <w:color w:val="auto"/>
        </w:rPr>
      </w:pPr>
    </w:p>
    <w:p>
      <w:pPr>
        <w:ind w:left="900" w:right="60" w:hanging="383"/>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 clinical-stage product candidates through later stage trials, such as REACH, the Phase 3 clinical trial of losmapimod for the treatment of FSHD;</w:t>
      </w:r>
    </w:p>
    <w:p>
      <w:pPr>
        <w:spacing w:after="0" w:line="62" w:lineRule="exact"/>
        <w:rPr>
          <w:rFonts w:ascii="Arial" w:cs="Arial" w:eastAsia="Arial" w:hAnsi="Arial"/>
          <w:sz w:val="18"/>
          <w:szCs w:val="18"/>
          <w:color w:val="auto"/>
        </w:rPr>
      </w:pPr>
    </w:p>
    <w:p>
      <w:pPr>
        <w:ind w:left="900" w:right="500" w:hanging="383"/>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pursue the discovery of drug targets for other genetically-defined rare diseases and the subsequent development of any resulting product candidates;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900" w:right="260" w:hanging="383"/>
        <w:spacing w:after="0" w:line="308"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3" w:name="page34"/>
    <w:bookmarkEnd w:id="33"/>
    <w:p>
      <w:pPr>
        <w:ind w:left="900" w:right="380" w:hanging="383"/>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any milestone payments to affiliates of GSK, under our right of reference and license agreement with GSK upon the achievement of specified clinical or regulatory milestones;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17" w:lineRule="exact"/>
        <w:rPr>
          <w:rFonts w:ascii="Arial" w:cs="Arial" w:eastAsia="Arial" w:hAnsi="Arial"/>
          <w:sz w:val="18"/>
          <w:szCs w:val="18"/>
          <w:color w:val="auto"/>
        </w:rPr>
      </w:pPr>
    </w:p>
    <w:p>
      <w:pPr>
        <w:ind w:left="900" w:right="220" w:hanging="383"/>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0" w:lineRule="exact"/>
        <w:rPr>
          <w:sz w:val="20"/>
          <w:szCs w:val="20"/>
          <w:color w:val="auto"/>
        </w:rPr>
      </w:pPr>
    </w:p>
    <w:p>
      <w:pPr>
        <w:ind w:right="160" w:firstLine="509"/>
        <w:spacing w:after="0" w:line="291" w:lineRule="auto"/>
        <w:rPr>
          <w:sz w:val="20"/>
          <w:szCs w:val="20"/>
          <w:color w:val="auto"/>
        </w:rPr>
      </w:pPr>
      <w:r>
        <w:rPr>
          <w:rFonts w:ascii="Arial" w:cs="Arial" w:eastAsia="Arial" w:hAnsi="Arial"/>
          <w:sz w:val="16"/>
          <w:szCs w:val="16"/>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58" w:lineRule="exact"/>
        <w:rPr>
          <w:sz w:val="20"/>
          <w:szCs w:val="20"/>
          <w:color w:val="auto"/>
        </w:rPr>
      </w:pPr>
    </w:p>
    <w:p>
      <w:pPr>
        <w:ind w:left="900" w:right="620" w:hanging="383"/>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required by the FDA, the EMA, or other regulatory authorities to perform trials or studies in addition to, or different than, those expected (including as may be required to address the recent clinical hold on FTX-6058);</w:t>
      </w:r>
    </w:p>
    <w:p>
      <w:pPr>
        <w:spacing w:after="0" w:line="62" w:lineRule="exact"/>
        <w:rPr>
          <w:rFonts w:ascii="Arial" w:cs="Arial" w:eastAsia="Arial" w:hAnsi="Arial"/>
          <w:sz w:val="18"/>
          <w:szCs w:val="18"/>
          <w:color w:val="auto"/>
        </w:rPr>
      </w:pPr>
    </w:p>
    <w:p>
      <w:pPr>
        <w:ind w:left="900" w:right="460" w:hanging="383"/>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are any delays in completing our clinical trials or the development of any of our product candidates, such as the recent clinical hold imposed by the FDA on the FTX-6058 IND; or</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there are any third-party challenges to our intellectual property or we need to defend against any intellectual property-related claim.</w:t>
      </w:r>
    </w:p>
    <w:p>
      <w:pPr>
        <w:spacing w:after="0" w:line="23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62"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We expect to devote substantial financial resources to our ongoing and planned activities, particularly as we continue our ongoing and planned clinical trials of losmapimod and FTX-6058, continue research and development and initiate additional clinical trials of, and seek regulatory approval for, 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Accordingly, we will need to obtain substantial additional funding in connection with our continuing operations. Given current uncertainty in the capital markets and other factors, such funding may not be available on terms favorable to us or at all. If we are unable to raise capital when needed or on acceptable terms, we could be forced to delay, reduce or eliminate our research and development programs or any future commercialization efforts.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jc w:val="both"/>
        <w:ind w:left="900" w:right="60" w:hanging="383"/>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progress, costs and results of our ongoing clinical trials of losmapimod, including REACH, the Phase 3 clinical trial of losmapimod for the treatment of FSHD, which enrolled its first patient in June 2022, and our ability to resolve the clinical hold on the Phase 1b trial of FTX-6058;</w:t>
      </w:r>
    </w:p>
    <w:p>
      <w:pPr>
        <w:spacing w:after="0" w:line="15" w:lineRule="exact"/>
        <w:rPr>
          <w:rFonts w:ascii="Arial" w:cs="Arial" w:eastAsia="Arial" w:hAnsi="Arial"/>
          <w:sz w:val="16"/>
          <w:szCs w:val="16"/>
          <w:color w:val="auto"/>
        </w:rPr>
      </w:pPr>
    </w:p>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additional planned clinical trials;</w:t>
      </w:r>
    </w:p>
    <w:p>
      <w:pPr>
        <w:spacing w:after="0" w:line="117" w:lineRule="exact"/>
        <w:rPr>
          <w:rFonts w:ascii="Arial" w:cs="Arial" w:eastAsia="Arial" w:hAnsi="Arial"/>
          <w:sz w:val="18"/>
          <w:szCs w:val="18"/>
          <w:color w:val="auto"/>
        </w:rPr>
      </w:pPr>
    </w:p>
    <w:p>
      <w:pPr>
        <w:ind w:left="900" w:right="540" w:hanging="383"/>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900" w:right="220" w:hanging="383"/>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active pharmaceutical ingredient, or API, and manufacture of our product candidates and the terms of such arrangements;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 of our collaboration with MyoKardia;</w:t>
      </w:r>
    </w:p>
    <w:p>
      <w:pPr>
        <w:spacing w:after="0" w:line="117" w:lineRule="exact"/>
        <w:rPr>
          <w:rFonts w:ascii="Arial" w:cs="Arial" w:eastAsia="Arial" w:hAnsi="Arial"/>
          <w:sz w:val="18"/>
          <w:szCs w:val="18"/>
          <w:color w:val="auto"/>
        </w:rPr>
      </w:pPr>
    </w:p>
    <w:p>
      <w:pPr>
        <w:ind w:left="900" w:right="640" w:hanging="383"/>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117" w:lineRule="exact"/>
        <w:rPr>
          <w:rFonts w:ascii="Arial" w:cs="Arial" w:eastAsia="Arial" w:hAnsi="Arial"/>
          <w:sz w:val="18"/>
          <w:szCs w:val="18"/>
          <w:color w:val="auto"/>
        </w:rPr>
      </w:pPr>
    </w:p>
    <w:p>
      <w:pPr>
        <w:ind w:left="900" w:right="100" w:hanging="383"/>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140" w:lineRule="exact"/>
        <w:rPr>
          <w:rFonts w:ascii="Arial" w:cs="Arial" w:eastAsia="Arial" w:hAnsi="Arial"/>
          <w:sz w:val="16"/>
          <w:szCs w:val="16"/>
          <w:color w:val="auto"/>
        </w:rPr>
      </w:pPr>
    </w:p>
    <w:p>
      <w:pPr>
        <w:ind w:left="900" w:right="760" w:hanging="383"/>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As of March 31, 2023, we had cash, cash equivalents, and marketable securities of approximately $297.8 million. We believe that our cash, cash equivalents, and marketable securities as of March 31, 2023 will enable us to fund our operating expenses and capital expenditure requirements into mid-2025.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71"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many years, if at all. Accordingly, we will need to continue to rely on additional financing to achieve our business objectives. Adequate additional financing may not be available to us on acceptable terms, or at all, and may become even more difficult to obtain due to rising interest rates and the current downturn in the U.S. capital markets and the biotechnology sector in general.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commercialize our product candidates. We may also choose to further realign our operations to achieve additional operational efficiencies beyond our recently announced strategic realignment.</w:t>
      </w:r>
    </w:p>
    <w:p>
      <w:pPr>
        <w:spacing w:after="0" w:line="28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70"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64"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9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We have in the past relied in part on sales of our common stock through an at-the-market, or ATM, offering program. Increased volatility and decreases in market prices of equity securities generally and of our common stock in particular may have an adverse impact on our willingness and/or ability to continue to sell our common stock through our ATM offering program. Decreases in these sales could affect the cost or availability of equity capital, which could in turn have an adverse effect on our business, including current operations, future growth, revenues, net income and the market prices of our common stock.</w:t>
      </w:r>
    </w:p>
    <w:p>
      <w:pPr>
        <w:spacing w:after="0" w:line="188"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In May 2022, we established a new ATM offering program to sell shares of our common stock having an aggregate offering price of up to $50.0 million from time to time. In January 2023, immediately prior to commencing our underwritten public offering of common stock, we suspended our use of and terminated the prospectus supplement related to the ATM offering program. We may not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35" w:name="page36"/>
    <w:bookmarkEnd w:id="35"/>
    <w:p>
      <w:pPr>
        <w:ind w:right="60"/>
        <w:spacing w:after="0" w:line="259" w:lineRule="auto"/>
        <w:rPr>
          <w:sz w:val="20"/>
          <w:szCs w:val="20"/>
          <w:color w:val="auto"/>
        </w:rPr>
      </w:pPr>
      <w:r>
        <w:rPr>
          <w:rFonts w:ascii="Arial" w:cs="Arial" w:eastAsia="Arial" w:hAnsi="Arial"/>
          <w:sz w:val="18"/>
          <w:szCs w:val="18"/>
          <w:color w:val="auto"/>
        </w:rPr>
        <w:t>make any sales of securities pursuant to the ATM offering program unless and until we file a new prospectus supplement. However, given the overall volatility in the capital markets, even if a new prospectus supplement is filed, we may not be willing or able to continue to raise equity capital through our ATM offering program. We may, therefore, need to turn to other sources of funding that may have terms that are not favorable to us, or reduce our business operations given capital constraints.</w:t>
      </w:r>
    </w:p>
    <w:p>
      <w:pPr>
        <w:spacing w:after="0" w:line="18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Alternative financing arrangements could involve issuances of one or more types of securities, including common stock, preferred stock, convertible debt, warrants to acquire common stock or other securities. These securities could be issued at or below the then prevailing market price for our common stock.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our equity ownership in the subsidiary, which would adversely affect the rights of holders of both our equity securities and, if any, our debt and debt securities.</w:t>
      </w:r>
    </w:p>
    <w:p>
      <w:pPr>
        <w:spacing w:after="0" w:line="164"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Interest on any newly-issued debt securities and/or newly-incurred borrowings would increase our operating costs and reduce our net income, and these impacts may be material. If the issuance of new securities results in diminished rights to holders of our common stock, the market price of our common stock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stockholders to evaluate the success of our business to date and to assess our future viability.</w:t>
      </w:r>
    </w:p>
    <w:p>
      <w:pPr>
        <w:spacing w:after="0" w:line="260"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We commenced activities in 2015 and are a clinical-stage biotechnology company. Our operations to date have been limited to organizing and staffing our company, business planning, raising capital, establishing our intellectual property, building our discovery platform, identifying drug targets and potential product candidates, in-licensing assets, producing drug substance and drug product material for use in clinical trials and conducting preclinical studies and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stockholders make about our future success or viability may not be as accurate as they could be if we had a longer operating history or a history of successfully developing and commercializing products.</w:t>
      </w:r>
    </w:p>
    <w:p>
      <w:pPr>
        <w:spacing w:after="0" w:line="177"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84"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292"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b w:val="1"/>
          <w:bCs w:val="1"/>
          <w:i w:val="1"/>
          <w:iCs w:val="1"/>
          <w:color w:val="auto"/>
        </w:rPr>
        <w:t>Our business was negatively impacted by the COVID-19 pandemic and may in the future be impacted by any future pandemics. In addition, this pandemic may continue to, and any future pandemics may, adversely impact economies worldwide, which could result in adverse effects on our business and operations.</w:t>
      </w:r>
    </w:p>
    <w:p>
      <w:pPr>
        <w:spacing w:after="0" w:line="184"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We experienced enrollment delays in our ReDUX4 clinical trial due to the COVID-19 pandemic as the clinical trial sites for our ReDUX4 clinical trial temporarily postponed trial-related activities. We also saw temporary disruptions in other business activities due to a temporary reduction in workforce presence at our Cambridge research facility. Although our employees have returned to work, there are a number of vaccines available, and many restrictions have been lifted, there is still uncertainty about the overall impact of COVID-19 on our business, as well as its continuing impact on economies worldwide. Future pandemics may arise, and they, like COVID-19, could impact our company, our CMOs and contract research organizations, or CROs, creating disruptions that affect our ability to initiate and complete preclinical studies or clinical trials, disrupt our supply chain for our research and development activities, and disrupt any then planned or ongoing clinical trials for any number of reasons. Any future pandemics could similarly impact patient recruitment or retention for clinical trials, or result in resources being redirected in a way that adversely impacts our ability to progress regulatory approvals and protect our intellectual property. In addition, as with COVID-19 pandemic, we may face impediments to regulatory meetings and approvals due to recommended safety measures intended to limit in-person interactions in any future pandemic.</w:t>
      </w:r>
    </w:p>
    <w:p>
      <w:pPr>
        <w:spacing w:after="0" w:line="168"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COVID-19 pandemic has already caused significant disruptions in the financial markets, and it may continue to, and any future pandemic could similarly, cause such disruptions, which could impact our ability to raise additional funds through public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ind w:right="380"/>
        <w:spacing w:after="0" w:line="286" w:lineRule="auto"/>
        <w:rPr>
          <w:sz w:val="20"/>
          <w:szCs w:val="20"/>
          <w:color w:val="auto"/>
        </w:rPr>
      </w:pPr>
      <w:r>
        <w:rPr>
          <w:rFonts w:ascii="Arial" w:cs="Arial" w:eastAsia="Arial" w:hAnsi="Arial"/>
          <w:sz w:val="17"/>
          <w:szCs w:val="17"/>
          <w:color w:val="auto"/>
        </w:rPr>
        <w:t>offerings and may also impact the volatility of our stock price and trading in our stock. We cannot be certain what the overall impact of the COVID-19 pandemic or any future pandemic will be on our business. The extent of the impact of COVID-19 and any future pandemic on our business, financial condition, results of operations and prospects will depend on future developments that are uncertain.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225"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For example, under Section 174 of the U.S. Internal Revenue Code of 1986, as amended, or the Code, in taxable years beginning after December 31, 2021, expenses that are incurred for research and development in the United States will be capitalized and amortized, which may have an adverse effect on our cash flow.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170"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As of December 31, 2022, we had federal and state net operating loss carryforwards of $275.1 million and $272.6 million, respectively, which begin to expire in 2036. Approximately $251.5 million of the federal net operating losses can be carried forward indefinitely. As of December 31, 2022, we also had federal orphan drug credits of $14.6 million, which begin to expire in 2040. As of December 31, 2022, we also had federal and state research and development tax credit carryforwards of $6.9 million and $4.0 million, respectively, which begin to expire in 2035 and 2030, respectively. These net operating loss and tax credit carryforwards could expire unused and be unavailable to offset future income tax liabilities.</w:t>
      </w:r>
    </w:p>
    <w:p>
      <w:pPr>
        <w:spacing w:after="0" w:line="68"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In general, under Section 382 of the Code,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conducted an analysis under Section 382 of the Code to determine if historical changes in ownership through December 31, 2021 would limit or otherwise restrict our ability to utilize our pre-change net operating losses and research and development tax credit carryforwards to offset future taxable income. As a result of the analysis, we do not believe that there are any significant limitations on our ability to utilize our net operating losses and research and development tax credit carryforwards to offset future taxable income. However, we may experience such ownership changes in the future (which may be outside our control). As a result, if, and to the extent that, we earn net taxable income, our ability to use our pre-change net operating losses and research and development tax credit carryforwards to offset such taxable income may be subject to limitations. Our net operating losses or credits may also be impaired under state law.</w:t>
      </w:r>
    </w:p>
    <w:p>
      <w:pPr>
        <w:spacing w:after="0" w:line="77"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23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84" w:lineRule="exact"/>
        <w:rPr>
          <w:sz w:val="20"/>
          <w:szCs w:val="20"/>
          <w:color w:val="auto"/>
        </w:rPr>
      </w:pPr>
    </w:p>
    <w:p>
      <w:pPr>
        <w:ind w:right="100" w:firstLine="509"/>
        <w:spacing w:after="0" w:line="269" w:lineRule="auto"/>
        <w:rPr>
          <w:sz w:val="20"/>
          <w:szCs w:val="20"/>
          <w:color w:val="auto"/>
        </w:rPr>
      </w:pPr>
      <w:r>
        <w:rPr>
          <w:rFonts w:ascii="Arial" w:cs="Arial" w:eastAsia="Arial" w:hAnsi="Arial"/>
          <w:sz w:val="17"/>
          <w:szCs w:val="17"/>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 March 2023, a number of banks (e.g., Silicon Valley Bank (SVB), Signature Bank and Silvergate Capital Corp.) were placed into receivership, followed by First Republic Bank in May 2023. Although the Federal Deposit Insurance Corporation (FDIC) and others have taken steps to reduce risk to uninsured depositors, borrowers under credit agreements, letters of credit and certain other financial instruments with such banks or any other financial institution that is placed into receivership by the FDIC may be unable to access undrawn amounts thereunder. Even 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affecting the financial services industry or economy in general, such as these recent bank failures. These factors could also include, among others, liquidity constraints or failures, the ability to perform obligations under various types of financial, credit or liquidity agreements or arrangements, disruptions or instability in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ind w:right="220"/>
        <w:spacing w:after="0" w:line="291" w:lineRule="auto"/>
        <w:rPr>
          <w:sz w:val="20"/>
          <w:szCs w:val="20"/>
          <w:color w:val="auto"/>
        </w:rPr>
      </w:pPr>
      <w:r>
        <w:rPr>
          <w:rFonts w:ascii="Arial" w:cs="Arial" w:eastAsia="Arial" w:hAnsi="Arial"/>
          <w:sz w:val="16"/>
          <w:szCs w:val="16"/>
          <w:color w:val="auto"/>
        </w:rPr>
        <w:t>financial services industry or financial markets, or concerns or negative expectations about the prospects for companies in the financial services industry and the supervision thereof. In addition, investor concerns regarding the United States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which could have material adverse effect on our liquidity and on our business, financial condition or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are early in our development efforts, and we only have two clinical-stage product candidates. If we are unable to commercialize our product candidates or experience significant delays in doing so, our business will be materially harmed.</w:t>
      </w:r>
    </w:p>
    <w:p>
      <w:pPr>
        <w:spacing w:after="0" w:line="6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are early in our development efforts, and we have advanced only two product candidates into clinical trials, losmapimod for the treatment of FSHD, and FTX-6058 for the treatment of SCD, although the latter program is currently on clinical hold. We have invested substantially all of our efforts and financial resources in our proprietary product engine to identify and validate cellular drug targets that can potentially modulate gene expression to address the root cause of genetically-defined rare diseases. Our ability to generate product revenues, which we do not expect will occur for many years, if ever, will depend heavily on the successful development, regulatory approval and eventual commercialization of our product candidates. The success of our product candidates will depend on several factors, including the following:</w:t>
      </w:r>
    </w:p>
    <w:p>
      <w:pPr>
        <w:spacing w:after="0" w:line="70" w:lineRule="exact"/>
        <w:rPr>
          <w:sz w:val="20"/>
          <w:szCs w:val="20"/>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successfully completing preclinical studies and clinical trials;</w:t>
      </w:r>
    </w:p>
    <w:p>
      <w:pPr>
        <w:spacing w:after="0" w:line="117" w:lineRule="exact"/>
        <w:rPr>
          <w:rFonts w:ascii="Arial" w:cs="Arial" w:eastAsia="Arial" w:hAnsi="Arial"/>
          <w:sz w:val="18"/>
          <w:szCs w:val="18"/>
          <w:color w:val="auto"/>
        </w:rPr>
      </w:pPr>
    </w:p>
    <w:p>
      <w:pPr>
        <w:ind w:left="900" w:hanging="383"/>
        <w:spacing w:after="0" w:line="308"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allowance by the FDA or other regulatory agencies of the INDs, clinical trial applications, or CTAs, or other regulatory filings for losmapimod, FTX-6058 and future product candidates, including our ability to resolve the current clinical hold on FTX-6058 for SCD;</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expanding and maintaining a workforce of experienced scientists and others to continue to develop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applying for and receiving marketing approvals from applicable regulatory authorities;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intellectual property protection and regulatory exclusivity for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w:t>
      </w:r>
    </w:p>
    <w:p>
      <w:pPr>
        <w:spacing w:after="0" w:line="117" w:lineRule="exact"/>
        <w:rPr>
          <w:rFonts w:ascii="Arial" w:cs="Arial" w:eastAsia="Arial" w:hAnsi="Arial"/>
          <w:sz w:val="18"/>
          <w:szCs w:val="18"/>
          <w:color w:val="auto"/>
        </w:rPr>
      </w:pPr>
    </w:p>
    <w:p>
      <w:pPr>
        <w:ind w:left="900" w:right="100" w:hanging="383"/>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successfully launching commercial sales of the products, if and when approved, whether alone or in collaboration with others;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the products, if and when approved, by patients, the medical community and third-party payors;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obtaining and maintaining coverage, adequate pricing and adequate reimbursement from third-party payors, including government payors;</w:t>
      </w:r>
    </w:p>
    <w:p>
      <w:pPr>
        <w:spacing w:after="0" w:line="140" w:lineRule="exact"/>
        <w:rPr>
          <w:rFonts w:ascii="Arial" w:cs="Arial" w:eastAsia="Arial" w:hAnsi="Arial"/>
          <w:sz w:val="16"/>
          <w:szCs w:val="16"/>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enforcing, defending and protecting our rights in our intellectual property portfolio;</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infringing, misappropriating or otherwise violating others’ intellectual property or proprietary rights;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receipt of any regulatory approvals.</w:t>
      </w:r>
    </w:p>
    <w:p>
      <w:pPr>
        <w:spacing w:after="0" w:line="225"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our product engine to build a pipeline of product candidates.</w:t>
      </w:r>
    </w:p>
    <w:p>
      <w:pPr>
        <w:spacing w:after="0" w:line="117"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A key element of our strategy is to use our proprietary product engine to identify and validate cellular drug targets that can potentially modulate gene expression to address the root cause of genetically-defined rare diseases, with an initial focus on identifying small molecules specific to the identified cellular target.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with our product engine, including as a result of our collaboration with MyoKardia, advance any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8" w:name="page39"/>
    <w:bookmarkEnd w:id="38"/>
    <w:p>
      <w:pPr>
        <w:jc w:val="both"/>
        <w:ind w:right="340"/>
        <w:spacing w:after="0" w:line="263" w:lineRule="auto"/>
        <w:rPr>
          <w:sz w:val="20"/>
          <w:szCs w:val="20"/>
          <w:color w:val="auto"/>
        </w:rPr>
      </w:pPr>
      <w:r>
        <w:rPr>
          <w:rFonts w:ascii="Arial" w:cs="Arial" w:eastAsia="Arial" w:hAnsi="Arial"/>
          <w:sz w:val="18"/>
          <w:szCs w:val="18"/>
          <w:color w:val="auto"/>
        </w:rPr>
        <w:t>to our proprietary product engine or any of our research or development programs will not cause significant delays or unanticipated costs, or that such development problems can be solved. If we do not successfully identify, develop, obtain regulatory approval for and commercialize product candidates based upon our technological approach, we will not be able to generate product revenues.</w:t>
      </w:r>
    </w:p>
    <w:p>
      <w:pPr>
        <w:spacing w:after="0" w:line="2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6" w:lineRule="exact"/>
        <w:rPr>
          <w:sz w:val="20"/>
          <w:szCs w:val="20"/>
          <w:color w:val="auto"/>
        </w:rPr>
      </w:pPr>
    </w:p>
    <w:p>
      <w:pPr>
        <w:jc w:val="both"/>
        <w:ind w:right="220" w:firstLine="509"/>
        <w:spacing w:after="0" w:line="286" w:lineRule="auto"/>
        <w:rPr>
          <w:sz w:val="20"/>
          <w:szCs w:val="20"/>
          <w:color w:val="auto"/>
        </w:rPr>
      </w:pPr>
      <w:r>
        <w:rPr>
          <w:rFonts w:ascii="Arial" w:cs="Arial" w:eastAsia="Arial" w:hAnsi="Arial"/>
          <w:sz w:val="16"/>
          <w:szCs w:val="16"/>
          <w:color w:val="auto"/>
        </w:rPr>
        <w:t>We have two product candidates in clinical development.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completed a pivotal clinical trial of any product candidate.</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Clinical trials may fail to demonstrate that our product candidates are safe for humans and effective for indicated uses. For example, FTX-6058, our clinical trial stage candidate to treat SCD, is an EEDi. EED is a member of the PRC2 complex, which also includes EZH2. There are approved products in the EZH2 class of medications and their approved labeling outlines safety risks, including an increased risk of malignancies. In the event that FTX-6058 has similar safety risks as other PRC2 medications, this could impact its acceptance.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70"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or continue. On February 23, 2023, the FDA imposed a clinical hold on our IND for FTX-6058 in SCD. While we intend to work diligently to resolve the hold as soon as possible, there is no guarantee that FDA will allow the trial to resume in a timely manner or at all. Furthermore,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7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Clinical testing is expensive, difficult to design and implement, can take many years to complete and is uncertain as to outcome. We cannot guarantee that any clinical trials will be conducted as planned or completed on schedule, or at all. For example, our clinical trial of FTX-6058 is currently on hold and there can be no certainty as to when it will resume, if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76"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As described in Item 1 “Business—Licenses and Collaborations--Right of Reference and License Agreement with GlaxoSmithKline” in our Annual Report on Form 10-K for the year ended December 31, 2022, or the 2022 Annual Report, we have entered into a right of reference and license agreement, as amended, with affiliates of GSK. Although losmapimod was originally evaluated by GSK in nearly 3,600 subjects, GSK did not evaluate losmapimod in FSHD or in any other muscular dystrophy, and most of the subjects in these trials were given a dose that was lower than our planned dosage of 15 mg of losmapimod twice per day. Accordingly, the safety data generated from GSK’s clinical trials of losmapimod may not be predictive or indicative of the results of our clinical trials. Similarly, while we believe the safety data from GSK’s clinical trials may, in part, support the safety database for losmapimod, GSK evaluated a limited number of subjects at a dose of 15 mg twice daily.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ind w:right="140" w:firstLine="509"/>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62" w:lineRule="exact"/>
        <w:rPr>
          <w:sz w:val="20"/>
          <w:szCs w:val="20"/>
          <w:color w:val="auto"/>
        </w:rPr>
      </w:pPr>
    </w:p>
    <w:p>
      <w:pPr>
        <w:ind w:left="900" w:right="160" w:hanging="38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900" w:right="740" w:hanging="38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900" w:right="320" w:hanging="38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regulators may decide the design of our clinical trials is flawed, for example if our trial protocol does not evaluate treatment effects in trial subjects for a sufficient length of time;</w:t>
      </w:r>
    </w:p>
    <w:p>
      <w:pPr>
        <w:spacing w:after="0" w:line="62" w:lineRule="exact"/>
        <w:rPr>
          <w:rFonts w:ascii="Arial" w:cs="Arial" w:eastAsia="Arial" w:hAnsi="Arial"/>
          <w:sz w:val="18"/>
          <w:szCs w:val="18"/>
          <w:color w:val="auto"/>
        </w:rPr>
      </w:pPr>
    </w:p>
    <w:p>
      <w:pPr>
        <w:ind w:left="900" w:right="340" w:hanging="38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62" w:lineRule="exact"/>
        <w:rPr>
          <w:rFonts w:ascii="Arial" w:cs="Arial" w:eastAsia="Arial" w:hAnsi="Arial"/>
          <w:sz w:val="18"/>
          <w:szCs w:val="18"/>
          <w:color w:val="auto"/>
        </w:rPr>
      </w:pPr>
    </w:p>
    <w:p>
      <w:pPr>
        <w:ind w:left="900" w:right="340" w:hanging="383"/>
        <w:spacing w:after="0" w:line="34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15" w:lineRule="exact"/>
        <w:rPr>
          <w:rFonts w:ascii="Arial" w:cs="Arial" w:eastAsia="Arial" w:hAnsi="Arial"/>
          <w:sz w:val="16"/>
          <w:szCs w:val="16"/>
          <w:color w:val="auto"/>
        </w:rPr>
      </w:pPr>
    </w:p>
    <w:p>
      <w:pPr>
        <w:ind w:left="900" w:right="80" w:hanging="383"/>
        <w:spacing w:after="0" w:line="263"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75" w:lineRule="exact"/>
        <w:rPr>
          <w:rFonts w:ascii="Arial" w:cs="Arial" w:eastAsia="Arial" w:hAnsi="Arial"/>
          <w:sz w:val="18"/>
          <w:szCs w:val="18"/>
          <w:color w:val="auto"/>
        </w:rPr>
      </w:pPr>
    </w:p>
    <w:p>
      <w:pPr>
        <w:ind w:left="900" w:right="80" w:hanging="383"/>
        <w:spacing w:after="0" w:line="308"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900" w:hanging="38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900" w:right="380" w:hanging="383"/>
        <w:spacing w:after="0" w:line="34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15" w:lineRule="exact"/>
        <w:rPr>
          <w:rFonts w:ascii="Arial" w:cs="Arial" w:eastAsia="Arial" w:hAnsi="Arial"/>
          <w:sz w:val="16"/>
          <w:szCs w:val="16"/>
          <w:color w:val="auto"/>
        </w:rPr>
      </w:pPr>
    </w:p>
    <w:p>
      <w:pPr>
        <w:ind w:left="900" w:right="200" w:hanging="38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17" w:lineRule="exact"/>
        <w:rPr>
          <w:rFonts w:ascii="Arial" w:cs="Arial" w:eastAsia="Arial" w:hAnsi="Arial"/>
          <w:sz w:val="18"/>
          <w:szCs w:val="18"/>
          <w:color w:val="auto"/>
        </w:rPr>
      </w:pPr>
    </w:p>
    <w:p>
      <w:pPr>
        <w:ind w:left="900" w:right="640" w:hanging="38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900" w:right="340" w:hanging="38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w:t>
      </w:r>
    </w:p>
    <w:p>
      <w:pPr>
        <w:spacing w:after="0" w:line="62" w:lineRule="exact"/>
        <w:rPr>
          <w:rFonts w:ascii="Arial" w:cs="Arial" w:eastAsia="Arial" w:hAnsi="Arial"/>
          <w:sz w:val="18"/>
          <w:szCs w:val="18"/>
          <w:color w:val="auto"/>
        </w:rPr>
      </w:pPr>
    </w:p>
    <w:p>
      <w:pPr>
        <w:ind w:left="900" w:right="280" w:hanging="383"/>
        <w:spacing w:after="0" w:line="263"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global instability, including political instability, such as the Russian invasion of Ukraine, or instability from an outbreak of pandemic or contagious disease, such as the COVID-19 pandemic, in or around the countries in which we conduct our clinical trials, could delay the commencement or rate of completion of our clinical trials; and</w:t>
      </w:r>
    </w:p>
    <w:p>
      <w:pPr>
        <w:spacing w:after="0" w:line="75" w:lineRule="exact"/>
        <w:rPr>
          <w:rFonts w:ascii="Arial" w:cs="Arial" w:eastAsia="Arial" w:hAnsi="Arial"/>
          <w:sz w:val="18"/>
          <w:szCs w:val="18"/>
          <w:color w:val="auto"/>
        </w:rPr>
      </w:pPr>
    </w:p>
    <w:p>
      <w:pPr>
        <w:ind w:left="900" w:right="400" w:hanging="38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regulators may withdraw their approval of a product or impose restrictions on its distribution, such as in the form of a risk evaluation and mitigation strategy, or REMS.</w:t>
      </w:r>
    </w:p>
    <w:p>
      <w:pPr>
        <w:spacing w:after="0" w:line="62"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For example, in response to the COVID-19 pandemic, the clinical trial sites for our ReDUX4 trial temporarily postponed trial-related activities, impacting our clinical trial execution plans, and we cannot be certain that we will not face other postponements or similar difficulties in the future. In addition, on February 23, 2023, the FDA imposed a clinical hold on our IND for FTX-6058 in SCD.</w:t>
      </w:r>
    </w:p>
    <w:p>
      <w:pPr>
        <w:spacing w:after="0" w:line="76"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6" w:lineRule="exact"/>
        <w:rPr>
          <w:sz w:val="20"/>
          <w:szCs w:val="20"/>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0" w:name="page41"/>
    <w:bookmarkEnd w:id="40"/>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8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Because we are developing some of our product candidates for the treatment of diseases in which there is limited clinical experience and, in some cases, using new endpoints or methodologies, the FDA or other regulatory authorities may not consider the endpoints of our clinical trials to predict or provide clinically meaningful results.</w:t>
      </w:r>
    </w:p>
    <w:p>
      <w:pPr>
        <w:spacing w:after="0" w:line="76"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There are currently no therapies approved to treat FSHD, and there may be no therapies approved to treat the underlying causes of diseases that we attempt to address or may address in the future. As a result, the design and conduct of a clinical trial or trials of the product candidates for the treatment of these diseases may take longer, be more costly or be less effective as part of the novelty of development in these diseases. In some cases, we may use new or novel endpoints or methodologies, such as RWS, which has not been proven for registration to our knowledge. The FDA and other regulatory authorities have indicated support for RWS as a primary endpoint with additional and appropriate supportive data from secondary endpoints. However, such regulatory authorities may not consider the endpoints of our clinical trial(s) to provide clinically meaningful results, even where we believe such results are clinically meaningful. For example, while we have met with regulators to discuss the REACH trial design and registration strategy for losmapimod for FSHD, including our proposed endpoints for REACH, regulators may require additional data to support the RWS functional primary endpoint for approval of losmapimod for FSHD.</w:t>
      </w:r>
    </w:p>
    <w:p>
      <w:pPr>
        <w:spacing w:after="0" w:line="73"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Even if the FDA does find our primary endpoint to be sufficiently validated and clinically meaningful, we may not achieve the pre-specified endpoint to a magnitude, duration or degree of statistical significance in any pivotal or other clinical trials we may conduct for our product candidates. Even if we do meet the primary endpoint, our trials may produce results that are unpredictable or inconsistent with the results of the other, more traditional efficacy endpoints in the trials. The FDA also could ascribe substantial weight to other efficacy endpoints when interpreting the clinical trial data, such that even if we achieve statistically significant results on our primary endpoint, the FDA may regard the failure to show a statistically significant effect on our secondary efficacy endpoints as raising questions about the efficacy of the drug.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2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Identifying and qualifying patients to participate in and complete clinical trials for our product candidates is critical to our success. Successful and timely completion of clinical trials will require that we enroll a sufficient number of patients who remain in the trial until its conclusion. For example, in our Phase 1b trial of FTX-6058 (which is currently on clinical hold), although we enrolled six subjects in the initial cohort, only three subjects remained evaluable as of the initial data cutoff date. Subsequently, we modified the study protocol to monitor subject adherence. However, if such protocols do not improve adherence and improve compliance, once the trial resumes (if at all), we may not be able to generate meaningful data. Furthermore,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genetically-defined rare diseases, we may have difficulty enrolling a sufficient number of eligible patients.</w:t>
      </w:r>
    </w:p>
    <w:p>
      <w:pPr>
        <w:spacing w:after="0" w:line="3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is affected by a variety of other factors, including:</w:t>
      </w:r>
    </w:p>
    <w:p>
      <w:pPr>
        <w:spacing w:after="0" w:line="117" w:lineRule="exact"/>
        <w:rPr>
          <w:sz w:val="20"/>
          <w:szCs w:val="20"/>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the disease under investigation;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trial;</w:t>
      </w:r>
    </w:p>
    <w:p>
      <w:pPr>
        <w:spacing w:after="0" w:line="117" w:lineRule="exact"/>
        <w:rPr>
          <w:rFonts w:ascii="Arial" w:cs="Arial" w:eastAsia="Arial" w:hAnsi="Arial"/>
          <w:sz w:val="18"/>
          <w:szCs w:val="18"/>
          <w:color w:val="auto"/>
        </w:rPr>
      </w:pPr>
    </w:p>
    <w:p>
      <w:pPr>
        <w:ind w:left="900" w:right="380" w:hanging="383"/>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requirements of the trial protocols, including invasive procedures such as muscle biopsies or medical resonance imaging (MRI), which requires the use of specialized equipment;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existing treatments for the indications for which we are conducting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conduct of clinical trials by competitors for product candidates that treat the same indications as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identify specific patient populations for biomarker-defined trial cohort(s);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to, or lack of adequate compensation for, prospective patients.</w:t>
      </w:r>
    </w:p>
    <w:p>
      <w:pPr>
        <w:spacing w:after="0" w:line="117"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w:t>
      </w:r>
    </w:p>
    <w:p>
      <w:pPr>
        <w:spacing w:after="0" w:line="62"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Enrollment delays in our clinical trials may result in increased development costs for our product candidates, which would cause the value of our company to decline and limit our ability to obtain additional financing.</w:t>
      </w:r>
    </w:p>
    <w:p>
      <w:pPr>
        <w:spacing w:after="0" w:line="2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62"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w:t>
      </w:r>
    </w:p>
    <w:p>
      <w:pPr>
        <w:spacing w:after="0" w:line="7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For example, on February 23, 2023, the FDA placed our IND for FTX-6058 on clinical hold based on hematological malignancies observed in nonclinical toxicology studies. While we intend to address the FDA’s concerns as diligently as possible, including FDA’s request for information about an SCD patient population with an appropriate benefit-risk profile for further clinical development of FTX-6058, and FDA's request for information to define the potential risk in any further studies that may be conducted in healthy volunteers, there is no guarantee that the FDA will allow us to resume clinical development of FTX-6058. Even if the FDA lifts the clinical hold and allows clinical studies of FTX-6058 to resume, we cannot make assurances that patients treated with FTX-6058 will not develop hematological malignancies or other adverse events in the future. We also cannot make assurances that additional observations in preclinical studies of hematological malignancies or other adverse events will not occur. If such additional adverse events were to emerge, further advancement of our clinical studies could be halted or delayed and we may not receive regulatory approval for FTX-6058. Even if we receive regulatory approval for FTX-6058, our labeling may be restricted and/or market acceptance for our product may be diminished, and the commercial potential of our FTX-6058 program may be materially and negatively impacted.</w:t>
      </w:r>
    </w:p>
    <w:p>
      <w:pPr>
        <w:spacing w:after="0" w:line="77"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In pharmaceutical development, many compounds that initially show promise in early-stage or clinical testing are later found to cause side effects that delay or prevent further development of the compound.</w:t>
      </w:r>
    </w:p>
    <w:p>
      <w:pPr>
        <w:spacing w:after="0" w:line="62"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right="100"/>
        <w:spacing w:after="0" w:line="342" w:lineRule="auto"/>
        <w:rPr>
          <w:sz w:val="20"/>
          <w:szCs w:val="20"/>
          <w:color w:val="auto"/>
        </w:rPr>
      </w:pPr>
      <w:r>
        <w:rPr>
          <w:rFonts w:ascii="Arial" w:cs="Arial" w:eastAsia="Arial" w:hAnsi="Arial"/>
          <w:sz w:val="16"/>
          <w:szCs w:val="16"/>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6" w:lineRule="exact"/>
        <w:rPr>
          <w:sz w:val="20"/>
          <w:szCs w:val="20"/>
          <w:color w:val="auto"/>
        </w:rPr>
      </w:pPr>
    </w:p>
    <w:p>
      <w:pPr>
        <w:ind w:right="320" w:firstLine="509"/>
        <w:spacing w:after="0" w:line="257" w:lineRule="auto"/>
        <w:rPr>
          <w:sz w:val="20"/>
          <w:szCs w:val="20"/>
          <w:color w:val="auto"/>
        </w:rPr>
      </w:pPr>
      <w:r>
        <w:rPr>
          <w:rFonts w:ascii="Arial" w:cs="Arial" w:eastAsia="Arial" w:hAnsi="Arial"/>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80" w:lineRule="exact"/>
        <w:rPr>
          <w:sz w:val="20"/>
          <w:szCs w:val="20"/>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or limitation by regulatory authorities of approvals of such product;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seizure of the product by regulatory authorities;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marketing of the product or the manufacturing process for any component thereof;</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requirement by regulatory authorities of additional warnings on the label, such as a “black box” warning or contraindication;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requirement that we implement a REMS or create a medication guide outlining the risks of such side effects for distribution to patients;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commitment to expensive post-marketing studies as a prerequisite of approval by regulatory authorities of such product;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initiation of regulatory investigations and government enforcement actions;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initiation of legal action against us to hold us liable for harm caused to patients;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harm to our reputation and resulting harm to physician or patient acceptance of our products.</w:t>
      </w:r>
    </w:p>
    <w:p>
      <w:pPr>
        <w:spacing w:after="0" w:line="225"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Because we have limited financial and managerial resources, we are focusing our research and development efforts on rare neuromuscular, muscular, hematologic and central nervous system disorders.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27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We are conducting clinical trials of losmapimod in patients with FSHD in Europe, the United Kingdom, and Canada and currently plan to conduct additional clinical trials for our product candidates at sites outside the United States, and the FDA may not accept data from trials conducted in such locations.</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are currently conducting a Phase 3 clinical trial, an open label extension of our Phase 2b clinical trial, and an open label extension of our Phase 2 open label clinical trial of losmapimod in patients with FSHD in Europe, the United Kingdom, and Canada. We may also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including good clinical practices, and FDA’s ability to validate the data.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76"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80" w:lineRule="exact"/>
        <w:rPr>
          <w:sz w:val="20"/>
          <w:szCs w:val="20"/>
          <w:color w:val="auto"/>
        </w:rPr>
      </w:pPr>
    </w:p>
    <w:p>
      <w:pPr>
        <w:ind w:left="900" w:hanging="383"/>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efficacy and potential advantages of our product candidates compared to the advantages and relative risks of alternative treatments;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offer our products, if approved, for sale at competitive prices;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17" w:lineRule="exact"/>
        <w:rPr>
          <w:rFonts w:ascii="Arial" w:cs="Arial" w:eastAsia="Arial" w:hAnsi="Arial"/>
          <w:sz w:val="18"/>
          <w:szCs w:val="18"/>
          <w:color w:val="auto"/>
        </w:rPr>
      </w:pPr>
    </w:p>
    <w:p>
      <w:pPr>
        <w:ind w:left="900" w:right="20" w:hanging="383"/>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225" w:lineRule="exact"/>
        <w:rPr>
          <w:sz w:val="20"/>
          <w:szCs w:val="20"/>
          <w:color w:val="auto"/>
        </w:rPr>
      </w:pPr>
    </w:p>
    <w:p>
      <w:pPr>
        <w:ind w:right="140" w:firstLine="509"/>
        <w:spacing w:after="0" w:line="269" w:lineRule="auto"/>
        <w:rPr>
          <w:sz w:val="20"/>
          <w:szCs w:val="20"/>
          <w:color w:val="auto"/>
        </w:rPr>
      </w:pPr>
      <w:r>
        <w:rPr>
          <w:rFonts w:ascii="Arial" w:cs="Arial" w:eastAsia="Arial" w:hAnsi="Arial"/>
          <w:sz w:val="17"/>
          <w:szCs w:val="17"/>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w:t>
      </w:r>
    </w:p>
    <w:p>
      <w:pPr>
        <w:spacing w:after="0" w:line="29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38"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4" w:name="page45"/>
    <w:bookmarkEnd w:id="44"/>
    <w:p>
      <w:pPr>
        <w:ind w:right="100" w:firstLine="509"/>
        <w:spacing w:after="0" w:line="255" w:lineRule="auto"/>
        <w:rPr>
          <w:sz w:val="20"/>
          <w:szCs w:val="20"/>
          <w:color w:val="auto"/>
        </w:rPr>
      </w:pPr>
      <w:r>
        <w:rPr>
          <w:rFonts w:ascii="Arial" w:cs="Arial" w:eastAsia="Arial" w:hAnsi="Arial"/>
          <w:sz w:val="18"/>
          <w:szCs w:val="18"/>
          <w:color w:val="auto"/>
        </w:rPr>
        <w:t>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900" w:right="120" w:hanging="383"/>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coverage or reimbursement, customer service, medical affairs and other support personnel;</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900" w:hanging="383"/>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40" w:lineRule="exact"/>
        <w:rPr>
          <w:rFonts w:ascii="Arial" w:cs="Arial" w:eastAsia="Arial" w:hAnsi="Arial"/>
          <w:sz w:val="16"/>
          <w:szCs w:val="16"/>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17" w:lineRule="exact"/>
        <w:rPr>
          <w:rFonts w:ascii="Arial" w:cs="Arial" w:eastAsia="Arial" w:hAnsi="Arial"/>
          <w:sz w:val="18"/>
          <w:szCs w:val="18"/>
          <w:color w:val="auto"/>
        </w:rPr>
      </w:pPr>
    </w:p>
    <w:p>
      <w:pPr>
        <w:ind w:left="900" w:right="300" w:hanging="383"/>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7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0"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For example, we are aware of several product candidates in clinical development that could be competitive with product candidates that we may successfully develop and commercialize. See Item 1 “Business — Competition” in the 2022 Annual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jc w:val="both"/>
        <w:ind w:firstLine="509"/>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70" w:lineRule="exact"/>
        <w:rPr>
          <w:sz w:val="20"/>
          <w:szCs w:val="20"/>
          <w:color w:val="auto"/>
        </w:rPr>
      </w:pPr>
    </w:p>
    <w:p>
      <w:pPr>
        <w:ind w:right="420" w:firstLine="509"/>
        <w:spacing w:after="0" w:line="263"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76"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96" w:lineRule="exact"/>
        <w:rPr>
          <w:sz w:val="20"/>
          <w:szCs w:val="20"/>
          <w:color w:val="auto"/>
        </w:rPr>
      </w:pPr>
    </w:p>
    <w:p>
      <w:pPr>
        <w:ind w:right="60"/>
        <w:spacing w:after="0" w:line="340" w:lineRule="auto"/>
        <w:rPr>
          <w:sz w:val="20"/>
          <w:szCs w:val="20"/>
          <w:color w:val="auto"/>
        </w:rPr>
      </w:pPr>
      <w:r>
        <w:rPr>
          <w:rFonts w:ascii="Arial" w:cs="Arial" w:eastAsia="Arial" w:hAnsi="Arial"/>
          <w:sz w:val="15"/>
          <w:szCs w:val="15"/>
          <w:b w:val="1"/>
          <w:bCs w:val="1"/>
          <w:i w:val="1"/>
          <w:iCs w:val="1"/>
          <w:color w:val="auto"/>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23"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We primarily focus our research and product development on treatments for genetically-defined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 many of the indications we are evaluating are very small, we may never achieve profitability despite obtaining such significant market share.</w:t>
      </w:r>
    </w:p>
    <w:p>
      <w:pPr>
        <w:spacing w:after="0" w:line="71"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 target patient populations for some of the indications we are evaluating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295"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We rely, and expect to continue to rely, on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1"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We do not have any manufacturing facilities and rely, and expect to continue to rely, on third parties to manufacture clinical supplies of our product candidates and we expect to rely on third parties to manufacture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w:t>
      </w:r>
    </w:p>
    <w:p>
      <w:pPr>
        <w:spacing w:after="0" w:line="63"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or we may be forced to manufacture the materials ourselves, for which we may not have the capabilities or resources, or enter into an agreement with a different manufacturer, which we may not be able to do on reasonable terms, if at all. In either scenario, our clinical trial supply could be delayed significantly as we establish alternative supply sources.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6" w:name="page47"/>
    <w:bookmarkEnd w:id="46"/>
    <w:p>
      <w:pPr>
        <w:ind w:right="40" w:firstLine="509"/>
        <w:spacing w:after="0" w:line="269" w:lineRule="auto"/>
        <w:rPr>
          <w:sz w:val="20"/>
          <w:szCs w:val="20"/>
          <w:color w:val="auto"/>
        </w:rPr>
      </w:pPr>
      <w:r>
        <w:rPr>
          <w:rFonts w:ascii="Arial" w:cs="Arial" w:eastAsia="Arial" w:hAnsi="Arial"/>
          <w:sz w:val="17"/>
          <w:szCs w:val="17"/>
          <w:color w:val="auto"/>
        </w:rPr>
        <w:t>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w:t>
      </w:r>
    </w:p>
    <w:p>
      <w:pPr>
        <w:spacing w:after="0" w:line="71"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63"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28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Our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38"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do not have any manufacturing facilities. Although we believe we have obtained sufficient losmapimod tablets from GSK to complete our ongoing clinical trials of losmapimod for the treatment of FSHD, we cannot be sure we have correctly estimated our drug product and API requirements or that such drug product or API will not expire before we want to use it. We have also engaged CMOs to prepare our own API and to manufacture losmapimod tablets. Although we believe we have produced sufficient losmapimod tablets to complete our planned Phase 3 registrational trial, we cannot be sure we have correctly estimated our drug product and API requirements or that such drug product or API will not expire before we want to use it. In addition, although we believe we have obtained sufficient quantities of FTX-6058 from a CMO for the completion of our Phase 1b clinical trial for SCD if we are able to resolve the clinical hold, we cannot be sure we have correctly estimated our drug product requirements, which could delay, prevent or impair our development efforts.</w:t>
      </w:r>
    </w:p>
    <w:p>
      <w:pPr>
        <w:spacing w:after="0" w:line="84"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expect to rely on third parties for the manufacture of FTX-6058 for any future clinical trials and for the manufacture of any future product candidates for preclinical and clinical testing. We also expect to rely on third-party manufacturers or third-party collaborators for the manufacture of commercial supply of any other product candidates for which we or our collaborators obtain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80" w:lineRule="exact"/>
        <w:rPr>
          <w:sz w:val="20"/>
          <w:szCs w:val="20"/>
          <w:color w:val="auto"/>
        </w:rPr>
      </w:pPr>
    </w:p>
    <w:p>
      <w:pPr>
        <w:ind w:right="20" w:firstLine="509"/>
        <w:spacing w:after="0" w:line="342"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6"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49" w:lineRule="exact"/>
        <w:rPr>
          <w:sz w:val="20"/>
          <w:szCs w:val="20"/>
          <w:color w:val="auto"/>
        </w:rPr>
      </w:pPr>
    </w:p>
    <w:p>
      <w:pPr>
        <w:ind w:right="440" w:firstLine="509"/>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62"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See Item 1 “Business — Government Regulation and Product Approval — Pharmaceutical Insurance Coverage and Health Care Reform” in the 2022 Annual Report.</w:t>
      </w:r>
    </w:p>
    <w:p>
      <w:pPr>
        <w:spacing w:after="0" w:line="73"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78"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17" w:lineRule="exact"/>
        <w:rPr>
          <w:sz w:val="20"/>
          <w:szCs w:val="20"/>
          <w:color w:val="auto"/>
        </w:rPr>
      </w:pPr>
    </w:p>
    <w:p>
      <w:pPr>
        <w:ind w:right="80" w:firstLine="509"/>
        <w:spacing w:after="0" w:line="287"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64"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48" w:name="page49"/>
    <w:bookmarkEnd w:id="48"/>
    <w:p>
      <w:pPr>
        <w:ind w:right="14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future profitability will depend, in part, on our ability to commercialize our product candidates in markets outside of the United States and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European Union. If we commercialize our product candidates in foreign markets, we will be subject to additional risks and uncertainties, including:</w:t>
      </w:r>
    </w:p>
    <w:p>
      <w:pPr>
        <w:spacing w:after="0" w:line="114" w:lineRule="exact"/>
        <w:rPr>
          <w:sz w:val="20"/>
          <w:szCs w:val="20"/>
          <w:color w:val="auto"/>
        </w:rPr>
      </w:pPr>
    </w:p>
    <w:p>
      <w:pPr>
        <w:ind w:left="900" w:right="320" w:hanging="383"/>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 which could include localized disputes that have a broader regional or global impact (such as the Russian invasion of Ukraine);</w:t>
      </w:r>
    </w:p>
    <w:p>
      <w:pPr>
        <w:spacing w:after="0" w:line="62" w:lineRule="exact"/>
        <w:rPr>
          <w:rFonts w:ascii="Arial" w:cs="Arial" w:eastAsia="Arial" w:hAnsi="Arial"/>
          <w:sz w:val="18"/>
          <w:szCs w:val="18"/>
          <w:color w:val="auto"/>
        </w:rPr>
      </w:pPr>
    </w:p>
    <w:p>
      <w:pPr>
        <w:ind w:left="900" w:right="140" w:hanging="383"/>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many of which vary between countries;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tariffs and trade barriers, as well as other governmental controls and trade restrictions;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other trade protection measures, import or export licensing requirements or other restrictive actions by U.S. or foreign governments;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reduced protection of intellectual property rights in some foreign countries, and related prevalence of generic alternatives to therapeutics;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currency exchange rate fluctuations and currency controls;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differing foreign reimbursement landscapes;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uncertain and potentially inadequate reimbursement of our products;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risks related to any of these uncertainties materializes, it could have a material adverse effect on our business.</w:t>
      </w:r>
    </w:p>
    <w:p>
      <w:pPr>
        <w:spacing w:after="0" w:line="33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6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70" w:lineRule="exact"/>
        <w:rPr>
          <w:sz w:val="20"/>
          <w:szCs w:val="20"/>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costs to defend any related litigation;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ind w:right="100" w:firstLine="509"/>
        <w:spacing w:after="0" w:line="255" w:lineRule="auto"/>
        <w:rPr>
          <w:sz w:val="20"/>
          <w:szCs w:val="20"/>
          <w:color w:val="auto"/>
        </w:rPr>
      </w:pPr>
      <w:r>
        <w:rPr>
          <w:rFonts w:ascii="Arial" w:cs="Arial" w:eastAsia="Arial" w:hAnsi="Arial"/>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62" w:lineRule="exact"/>
        <w:rPr>
          <w:sz w:val="20"/>
          <w:szCs w:val="20"/>
          <w:color w:val="auto"/>
        </w:rPr>
      </w:pPr>
    </w:p>
    <w:p>
      <w:pPr>
        <w:ind w:right="300" w:firstLine="509"/>
        <w:spacing w:after="0" w:line="257" w:lineRule="auto"/>
        <w:rPr>
          <w:sz w:val="20"/>
          <w:szCs w:val="20"/>
          <w:color w:val="auto"/>
        </w:rPr>
      </w:pPr>
      <w:r>
        <w:rPr>
          <w:rFonts w:ascii="Arial" w:cs="Arial" w:eastAsia="Arial" w:hAnsi="Arial"/>
          <w:sz w:val="18"/>
          <w:szCs w:val="18"/>
          <w:color w:val="auto"/>
        </w:rPr>
        <w:t>We currently rely on third-party contract CROs to conduct our clinical trials. We plan to rely on third-party CROs or third-party research collaboratives to conduct any future clinical trials. We do not plan to independently conduct clinical trials of our other product candidates. We expect to continue to rely on third parties, such as CROs,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80"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w:t>
      </w:r>
    </w:p>
    <w:p>
      <w:pPr>
        <w:spacing w:after="0" w:line="62"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63"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We have entered into, and may in the future enter into, collaborations with third parties for the discovery, development or commercialization of our product candidates. If our collaborations are not successful, we may not be able to capitalize on the market potential of these product candidates and our business could be adversely affected.</w:t>
      </w:r>
    </w:p>
    <w:p>
      <w:pPr>
        <w:spacing w:after="0" w:line="76"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have a collaboration and license agreement with MyoKardia (for certain genetically defined cardiomyopathies). See Item 1 “Business—License Agreements and Collaborations” in the 2022 Annual Report. While we have retained all rights to and are developing on our own our current product candidates, we may in the future enter into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 companies and biotechnology companies. If we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57"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Collaborations that we enter into, including our collaboration with MyoKardia, may not be successful, and any success will depend heavily on the efforts and activities of such collaborators. Collaborations pose a number of risks, including the following:</w:t>
      </w:r>
    </w:p>
    <w:p>
      <w:pPr>
        <w:spacing w:after="0" w:line="62" w:lineRule="exact"/>
        <w:rPr>
          <w:sz w:val="20"/>
          <w:szCs w:val="20"/>
          <w:color w:val="auto"/>
        </w:rPr>
      </w:pPr>
    </w:p>
    <w:p>
      <w:pPr>
        <w:ind w:left="900" w:right="880" w:hanging="383"/>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900" w:right="240" w:hanging="383"/>
        <w:spacing w:after="0" w:line="263"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75" w:lineRule="exact"/>
        <w:rPr>
          <w:rFonts w:ascii="Arial" w:cs="Arial" w:eastAsia="Arial" w:hAnsi="Arial"/>
          <w:sz w:val="18"/>
          <w:szCs w:val="18"/>
          <w:color w:val="auto"/>
        </w:rPr>
      </w:pPr>
    </w:p>
    <w:p>
      <w:pPr>
        <w:ind w:left="900" w:right="100" w:hanging="383"/>
        <w:spacing w:after="0" w:line="286"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0" w:name="page51"/>
    <w:bookmarkEnd w:id="50"/>
    <w:p>
      <w:pPr>
        <w:ind w:left="900" w:right="600" w:hanging="383"/>
        <w:spacing w:after="0" w:line="308"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900" w:right="160" w:hanging="383"/>
        <w:spacing w:after="0" w:line="263"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75" w:lineRule="exact"/>
        <w:rPr>
          <w:rFonts w:ascii="Arial" w:cs="Arial" w:eastAsia="Arial" w:hAnsi="Arial"/>
          <w:sz w:val="18"/>
          <w:szCs w:val="18"/>
          <w:color w:val="auto"/>
        </w:rPr>
      </w:pPr>
    </w:p>
    <w:p>
      <w:pPr>
        <w:ind w:left="900" w:right="560" w:hanging="383"/>
        <w:spacing w:after="0" w:line="263"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900" w:hanging="383"/>
        <w:spacing w:after="0" w:line="308"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38" w:lineRule="exact"/>
        <w:rPr>
          <w:rFonts w:ascii="Arial" w:cs="Arial" w:eastAsia="Arial" w:hAnsi="Arial"/>
          <w:sz w:val="17"/>
          <w:szCs w:val="17"/>
          <w:color w:val="auto"/>
        </w:rPr>
      </w:pPr>
    </w:p>
    <w:p>
      <w:pPr>
        <w:ind w:left="900" w:right="160" w:hanging="383"/>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product candidate or product;</w:t>
      </w:r>
    </w:p>
    <w:p>
      <w:pPr>
        <w:spacing w:after="0" w:line="62"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900" w:right="60" w:hanging="383"/>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900" w:right="120" w:hanging="383"/>
        <w:spacing w:after="0" w:line="263"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117" w:lineRule="exact"/>
        <w:rPr>
          <w:rFonts w:ascii="Arial" w:cs="Arial" w:eastAsia="Arial" w:hAnsi="Arial"/>
          <w:sz w:val="18"/>
          <w:szCs w:val="18"/>
          <w:color w:val="auto"/>
        </w:rPr>
      </w:pPr>
    </w:p>
    <w:p>
      <w:pPr>
        <w:ind w:left="900" w:right="540" w:hanging="383"/>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spacing w:after="0" w:line="62" w:lineRule="exact"/>
        <w:rPr>
          <w:rFonts w:ascii="Arial" w:cs="Arial" w:eastAsia="Arial" w:hAnsi="Arial"/>
          <w:sz w:val="18"/>
          <w:szCs w:val="18"/>
          <w:color w:val="auto"/>
        </w:rPr>
      </w:pPr>
    </w:p>
    <w:p>
      <w:pPr>
        <w:ind w:left="900" w:right="120" w:hanging="383"/>
        <w:spacing w:after="0" w:line="263"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(e.g., termination of our collaboration with Acceleron following its acquisition by Merck), and, if terminated, we could be required to raise additional capital to pursue further development or commercialization of the applicable product candidates.</w:t>
      </w:r>
    </w:p>
    <w:p>
      <w:pPr>
        <w:spacing w:after="0" w:line="76"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84"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Additionally, subject to its contractual obligations to us, if a collaborator of ours is involved in a business combination, the collaborator might deemphasize or terminate the development or commercialization of any product candidate licensed to it by us. For example, in November 2020, subsequent to our entering into the MyoKardia collaboration agreement, MyoKardia was acquired by Bristol-Myers Squibb Company. Bristol-Myers Squibb Company could determine to reprioritize MyoKardia’s development programs such that it ceases to diligently pursue the development of our programs and/or cause the agreement between MyoKardia and us to terminate. If our collaborator terminates its agreement with us, we may find it more difficult to attract new collaborators and our perception in the business and financial communities could be adversely affected.</w:t>
      </w:r>
    </w:p>
    <w:p>
      <w:pPr>
        <w:spacing w:after="0" w:line="2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62"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For some of our product candidates, we may decide to collaborate with pharmaceutical or biotechnology companies for the development and potential commercialization of those product candidates. For example, in July 2020, we entered into a collaboration and license agreement with MyoKardia to identify and validate potential biological targets for the potential treatment of certain genetically defined cardiomyopathies. We face significant competition in seeking appropriate collaborators, and a number of more established companies may also be pursuing strategies to license or acquire third-party intellectual property rights that we consider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ind w:right="60"/>
        <w:spacing w:after="0" w:line="269" w:lineRule="auto"/>
        <w:rPr>
          <w:sz w:val="20"/>
          <w:szCs w:val="20"/>
          <w:color w:val="auto"/>
        </w:rPr>
      </w:pPr>
      <w:r>
        <w:rPr>
          <w:rFonts w:ascii="Arial" w:cs="Arial" w:eastAsia="Arial" w:hAnsi="Arial"/>
          <w:sz w:val="17"/>
          <w:szCs w:val="17"/>
          <w:color w:val="auto"/>
        </w:rPr>
        <w:t>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77" w:lineRule="exact"/>
        <w:rPr>
          <w:sz w:val="20"/>
          <w:szCs w:val="20"/>
          <w:color w:val="auto"/>
        </w:rPr>
      </w:pPr>
    </w:p>
    <w:p>
      <w:pPr>
        <w:ind w:right="160" w:firstLine="509"/>
        <w:spacing w:after="0" w:line="291" w:lineRule="auto"/>
        <w:rPr>
          <w:sz w:val="20"/>
          <w:szCs w:val="20"/>
          <w:color w:val="auto"/>
        </w:rPr>
      </w:pPr>
      <w:r>
        <w:rPr>
          <w:rFonts w:ascii="Arial" w:cs="Arial" w:eastAsia="Arial" w:hAnsi="Arial"/>
          <w:sz w:val="16"/>
          <w:szCs w:val="16"/>
          <w:color w:val="auto"/>
        </w:rPr>
        <w:t>We may also be restricted under existing or future license agreements from entering into agreements on certain terms with potential collaborators. For example, we are restricted by GSK’s right of first negotiation under our current license agreement with them, and we had restrictions under our collaboration with Acceleron. Under our collaboration with MyoKardia, we are restricted from researching, developing, manufacturing, commercializing, using, or otherwise exploiting any compound or product (a) that is a compound or product under the agreement that is directed against certain targets identified by us in the performance of the research activities for the treatment, prophylaxis, or diagnosis of any indication or (b) for the treatment of any genetically defined cardiomyopathies shown to be related to certain specified genes of interest that are modulated by the targets chosen by MyoKardia under our collaboration, in each case , while we are performing the research activities pursuant to the research plan and for a specified period thereafter.</w:t>
      </w:r>
    </w:p>
    <w:p>
      <w:pPr>
        <w:spacing w:after="0" w:line="58" w:lineRule="exact"/>
        <w:rPr>
          <w:sz w:val="20"/>
          <w:szCs w:val="20"/>
          <w:color w:val="auto"/>
        </w:rPr>
      </w:pPr>
    </w:p>
    <w:p>
      <w:pPr>
        <w:ind w:right="320" w:firstLine="509"/>
        <w:spacing w:after="0" w:line="342" w:lineRule="auto"/>
        <w:rPr>
          <w:sz w:val="20"/>
          <w:szCs w:val="20"/>
          <w:color w:val="auto"/>
        </w:rPr>
      </w:pPr>
      <w:r>
        <w:rPr>
          <w:rFonts w:ascii="Arial" w:cs="Arial" w:eastAsia="Arial" w:hAnsi="Arial"/>
          <w:sz w:val="16"/>
          <w:szCs w:val="16"/>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16"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engine.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4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84"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84"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ind w:right="20"/>
        <w:spacing w:after="0" w:line="286" w:lineRule="auto"/>
        <w:rPr>
          <w:sz w:val="20"/>
          <w:szCs w:val="20"/>
          <w:color w:val="auto"/>
        </w:rPr>
      </w:pPr>
      <w:r>
        <w:rPr>
          <w:rFonts w:ascii="Arial" w:cs="Arial" w:eastAsia="Arial" w:hAnsi="Arial"/>
          <w:sz w:val="16"/>
          <w:szCs w:val="16"/>
          <w:color w:val="auto"/>
        </w:rPr>
        <w:t>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 For information relating to our patent portfolio, see Item 1 “Business—Intellectual Property” in the 2022 Annual Report.</w:t>
      </w:r>
    </w:p>
    <w:p>
      <w:pPr>
        <w:spacing w:after="0" w:line="174"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Moreover, we or our licensors may be subject to a third-party preissuance submission of prior art to the United States Patent and Trademark Office, or USPTO, or become involved in opposition, derivation, revocation,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 For example, while we believe that the specific and generic claims contained in our U.S. patent provide protection for the method of using losmapimod for the treatment of FSHD and while we also believe that the specific and generic claims contained in our issued and pending U.S. non-provisional and provisional applications provide protection for the pharmaceutical compositions and methods of use for FTX-6058,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72"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have expired and are no longer a barrier to entry for any new uses not covered by our other patents and patent applications.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3" w:name="page54"/>
    <w:bookmarkEnd w:id="53"/>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6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78"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8" w:lineRule="exact"/>
        <w:rPr>
          <w:sz w:val="20"/>
          <w:szCs w:val="20"/>
          <w:color w:val="auto"/>
        </w:rPr>
      </w:pPr>
    </w:p>
    <w:p>
      <w:pPr>
        <w:ind w:right="160" w:firstLine="509"/>
        <w:spacing w:after="0" w:line="271" w:lineRule="auto"/>
        <w:rPr>
          <w:sz w:val="20"/>
          <w:szCs w:val="20"/>
          <w:color w:val="auto"/>
        </w:rPr>
      </w:pPr>
      <w:r>
        <w:rPr>
          <w:rFonts w:ascii="Arial" w:cs="Arial" w:eastAsia="Arial" w:hAnsi="Arial"/>
          <w:sz w:val="17"/>
          <w:szCs w:val="17"/>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78"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Under our current license agreements, we may not have the final or sole decision on whether we are able to opt out certain of our in-licensed European patents and patent applications from the recently created Unified Patent Court, or the UPC, for the European Union, that is expected to be fully ratified in 2023. Our licensors may decide to not opt out the of the UPC, which would subject our in-licensed European patents and patent applications to the jurisdiction of the UPC. Furthermore, even if our licensors decide to opt out of the UPC, we cannot guarantee that our licensors will comply with the legal formalities and requirements for properly opting out of the UPC. Thus, we cannot be certain that our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our business and our ability to commercialize or license our technology and product candidates.</w:t>
      </w:r>
    </w:p>
    <w:p>
      <w:pPr>
        <w:spacing w:after="0" w:line="30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our business may be materially harmed.</w:t>
      </w:r>
    </w:p>
    <w:p>
      <w:pPr>
        <w:spacing w:after="0" w:line="62"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In the United States, the patent term of a patent that covers an FDA-approved drug may be eligible for limited patent term extension of up to five years beyond the expiration of the patent. The length of the patent term extension is related to, among other factors, the length of time the drug is under regulatory review, but such patent extension cannot extend the remaining term of a patent beyond a total of 14 years from the date of product approval, and only one eligible patent may be extended. Similar provisions are available in Europe and certain other jurisdictions outside the United States. If and when our product candidates receive FDA approval, we expect to apply for patent term extensions where applicable, but there is no guarantee that the applicable governmental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82"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Further, for our licensed patents, we may not have the right to control prosecution, including filing with the USPTO a petition for patent term extension thus if one of our licensed patents is eligible for patent term extension, we may not be able to control whether a petition to obtain a patent term extension is filed, or obtained, from the USPTO.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4" w:name="page55"/>
    <w:bookmarkEnd w:id="54"/>
    <w:p>
      <w:pPr>
        <w:ind w:right="60" w:firstLine="509"/>
        <w:spacing w:after="0" w:line="255" w:lineRule="auto"/>
        <w:rPr>
          <w:sz w:val="20"/>
          <w:szCs w:val="20"/>
          <w:color w:val="auto"/>
        </w:rPr>
      </w:pPr>
      <w:r>
        <w:rPr>
          <w:rFonts w:ascii="Arial" w:cs="Arial" w:eastAsia="Arial" w:hAnsi="Arial"/>
          <w:sz w:val="18"/>
          <w:szCs w:val="18"/>
          <w:color w:val="auto"/>
        </w:rPr>
        <w:t>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an ANDA applicant would not have to provide notice to us with respect to that patent. See Item 1 “Business—Intellectual Property” in the 2022 Annual Report for additional information regarding patent laws and patent protection.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or the USPTO.</w:t>
      </w:r>
    </w:p>
    <w:p>
      <w:pPr>
        <w:spacing w:after="0" w:line="117"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Our European patents and patent applications could be challenged in the UPC that is expected to be fully ratified in 2023. We may decide to opt out our European patents and patent applications from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spacing w:after="0" w:line="27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4"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5" w:name="page56"/>
    <w:bookmarkEnd w:id="55"/>
    <w:p>
      <w:pPr>
        <w:ind w:right="120"/>
        <w:spacing w:after="0" w:line="277" w:lineRule="auto"/>
        <w:rPr>
          <w:sz w:val="20"/>
          <w:szCs w:val="20"/>
          <w:color w:val="auto"/>
        </w:rPr>
      </w:pPr>
      <w:r>
        <w:rPr>
          <w:rFonts w:ascii="Arial" w:cs="Arial" w:eastAsia="Arial" w:hAnsi="Arial"/>
          <w:sz w:val="18"/>
          <w:szCs w:val="18"/>
          <w:b w:val="1"/>
          <w:bCs w:val="1"/>
          <w:i w:val="1"/>
          <w:iCs w:val="1"/>
          <w:color w:val="auto"/>
        </w:rPr>
        <w:t>Although we or our licensors are not currently involved in any litigation, we may become involved in lawsuits to protect or enforce our patent or other intellectual property rights, which could be expensive, time-consuming and unsuccessful.</w:t>
      </w:r>
    </w:p>
    <w:p>
      <w:pPr>
        <w:spacing w:after="0" w:line="62"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w:t>
      </w:r>
      <w:r>
        <w:rPr>
          <w:rFonts w:ascii="Arial" w:cs="Arial" w:eastAsia="Arial" w:hAnsi="Arial"/>
          <w:sz w:val="16"/>
          <w:szCs w:val="16"/>
          <w:i w:val="1"/>
          <w:iCs w:val="1"/>
          <w:color w:val="auto"/>
        </w:rPr>
        <w:t>e.g.</w:t>
      </w:r>
      <w:r>
        <w:rPr>
          <w:rFonts w:ascii="Arial" w:cs="Arial" w:eastAsia="Arial" w:hAnsi="Arial"/>
          <w:sz w:val="16"/>
          <w:szCs w:val="16"/>
          <w:color w:val="auto"/>
        </w:rPr>
        <w:t>, opposition proceedings). The outcome following legal assertions of invalidity and unenforceability is unpredictable.</w:t>
      </w:r>
    </w:p>
    <w:p>
      <w:pPr>
        <w:spacing w:after="0" w:line="172"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95"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7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9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38"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81"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6" w:name="page57"/>
    <w:bookmarkEnd w:id="56"/>
    <w:p>
      <w:pPr>
        <w:ind w:right="480"/>
        <w:spacing w:after="0" w:line="342" w:lineRule="auto"/>
        <w:rPr>
          <w:sz w:val="20"/>
          <w:szCs w:val="20"/>
          <w:color w:val="auto"/>
        </w:rPr>
      </w:pPr>
      <w:r>
        <w:rPr>
          <w:rFonts w:ascii="Arial" w:cs="Arial" w:eastAsia="Arial" w:hAnsi="Arial"/>
          <w:sz w:val="16"/>
          <w:szCs w:val="16"/>
          <w:color w:val="auto"/>
        </w:rPr>
        <w:t>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24"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66"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76"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2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62"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7" w:name="page58"/>
    <w:bookmarkEnd w:id="57"/>
    <w:p>
      <w:pPr>
        <w:ind w:right="50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76" w:lineRule="exact"/>
        <w:rPr>
          <w:sz w:val="20"/>
          <w:szCs w:val="20"/>
          <w:color w:val="auto"/>
        </w:rPr>
      </w:pPr>
    </w:p>
    <w:p>
      <w:pPr>
        <w:ind w:right="38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We are party to license and funding agreements, such as our agreement with GSK, and we may enter into additional licensing and funding arrangements with third parties that impose or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used in our product engine, all of which are non-exclusive. While we still face all of the risks described herein with respect to those agreements, we cannot prevent third parties from also accessing those technologies. In addition, our licenses may place restrictions on our future business opportunities. For example, under our license with GSK, GSK has certain rights of first negotiation if we wish to sublicense any of the patent or data rights licensed by GSK to us to a third party for use outside the United States. This may prevent or delay certain transactions, which could have an adverse effect on the development and commercialization of losmapimod and on our business.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 related issues;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40" w:lineRule="exact"/>
        <w:rPr>
          <w:rFonts w:ascii="Arial" w:cs="Arial" w:eastAsia="Arial" w:hAnsi="Arial"/>
          <w:sz w:val="16"/>
          <w:szCs w:val="16"/>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900" w:right="240" w:hanging="383"/>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8" w:name="page59"/>
    <w:bookmarkEnd w:id="58"/>
    <w:p>
      <w:pPr>
        <w:ind w:right="60"/>
        <w:spacing w:after="0" w:line="277" w:lineRule="auto"/>
        <w:rPr>
          <w:sz w:val="20"/>
          <w:szCs w:val="20"/>
          <w:color w:val="auto"/>
        </w:rPr>
      </w:pPr>
      <w:r>
        <w:rPr>
          <w:rFonts w:ascii="Arial" w:cs="Arial" w:eastAsia="Arial" w:hAnsi="Arial"/>
          <w:sz w:val="18"/>
          <w:szCs w:val="18"/>
          <w:color w:val="auto"/>
        </w:rPr>
        <w:t>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70" w:lineRule="exact"/>
        <w:rPr>
          <w:sz w:val="20"/>
          <w:szCs w:val="20"/>
          <w:color w:val="auto"/>
        </w:rPr>
      </w:pPr>
    </w:p>
    <w:p>
      <w:pPr>
        <w:ind w:right="180" w:firstLine="509"/>
        <w:spacing w:after="0" w:line="301" w:lineRule="auto"/>
        <w:rPr>
          <w:sz w:val="20"/>
          <w:szCs w:val="20"/>
          <w:color w:val="auto"/>
        </w:rPr>
      </w:pPr>
      <w:r>
        <w:rPr>
          <w:rFonts w:ascii="Arial" w:cs="Arial" w:eastAsia="Arial" w:hAnsi="Arial"/>
          <w:sz w:val="16"/>
          <w:szCs w:val="16"/>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5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81"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and in Russia,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8"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61"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right="300"/>
        <w:spacing w:after="0" w:line="277" w:lineRule="auto"/>
        <w:rPr>
          <w:sz w:val="20"/>
          <w:szCs w:val="20"/>
          <w:color w:val="auto"/>
        </w:rPr>
      </w:pPr>
      <w:r>
        <w:rPr>
          <w:rFonts w:ascii="Arial" w:cs="Arial" w:eastAsia="Arial" w:hAnsi="Arial"/>
          <w:sz w:val="18"/>
          <w:szCs w:val="18"/>
          <w:color w:val="auto"/>
        </w:rPr>
        <w:t>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78"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41"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8"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92"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proprietary product engine. We seek to protect our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900" w:hanging="383"/>
        <w:spacing w:after="0" w:line="263"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portions of our product engine are protected by trade secrets, but much of our product engine is not protected by intellectual property, including patents, trade secrets and know-how, and we may not be able to develop, acquire or in-license any patentable technologies or other intellectual property related to the unprotected portions of our product engine;</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others may be able to make product candidates that are similar to ours but that are not covered by the claims of the patents that we own;</w:t>
      </w:r>
    </w:p>
    <w:p>
      <w:pPr>
        <w:spacing w:after="0" w:line="128" w:lineRule="exact"/>
        <w:rPr>
          <w:rFonts w:ascii="Arial" w:cs="Arial" w:eastAsia="Arial" w:hAnsi="Arial"/>
          <w:sz w:val="17"/>
          <w:szCs w:val="17"/>
          <w:color w:val="auto"/>
        </w:rPr>
      </w:pPr>
    </w:p>
    <w:p>
      <w:pPr>
        <w:ind w:left="900" w:right="120" w:hanging="383"/>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ind w:left="900" w:right="100" w:hanging="383"/>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900" w:right="100" w:hanging="383"/>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in-licensed intellectual property rights;</w:t>
      </w:r>
    </w:p>
    <w:p>
      <w:pPr>
        <w:spacing w:after="0" w:line="62" w:lineRule="exact"/>
        <w:rPr>
          <w:rFonts w:ascii="Arial" w:cs="Arial" w:eastAsia="Arial" w:hAnsi="Arial"/>
          <w:sz w:val="18"/>
          <w:szCs w:val="18"/>
          <w:color w:val="auto"/>
        </w:rPr>
      </w:pPr>
    </w:p>
    <w:p>
      <w:pPr>
        <w:ind w:left="900" w:right="60" w:hanging="383"/>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possible that our owned and in-licensed pending patent applications or those we may own or in-license in the future will not lead to issued patents;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28" w:lineRule="exact"/>
        <w:rPr>
          <w:rFonts w:ascii="Arial" w:cs="Arial" w:eastAsia="Arial" w:hAnsi="Arial"/>
          <w:sz w:val="17"/>
          <w:szCs w:val="17"/>
          <w:color w:val="auto"/>
        </w:rPr>
      </w:pPr>
    </w:p>
    <w:p>
      <w:pPr>
        <w:ind w:left="900" w:right="820" w:hanging="383"/>
        <w:spacing w:after="0" w:line="308"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900" w:right="380" w:hanging="383"/>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62"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cannot ensure that our commercial activities or product candidates will not infringe upon the patents of others;</w:t>
      </w:r>
    </w:p>
    <w:p>
      <w:pPr>
        <w:spacing w:after="0" w:line="117" w:lineRule="exact"/>
        <w:rPr>
          <w:rFonts w:ascii="Arial" w:cs="Arial" w:eastAsia="Arial" w:hAnsi="Arial"/>
          <w:sz w:val="18"/>
          <w:szCs w:val="18"/>
          <w:color w:val="auto"/>
        </w:rPr>
      </w:pPr>
    </w:p>
    <w:p>
      <w:pPr>
        <w:ind w:left="900" w:right="420" w:hanging="383"/>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 candidates on a substantial scale, if approved, before the relevant patents that we own or license expire;</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900" w:right="400" w:hanging="383"/>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we may not obtain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79"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Marketing approval of drugs in the United States requires the submission of a new drug application, or NDA, to the FDA and we are not permitted to market any drug candidate in the United States until we obtain approval of the NDA.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63"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1" w:name="page62"/>
    <w:bookmarkEnd w:id="61"/>
    <w:p>
      <w:pPr>
        <w:ind w:right="80" w:firstLine="509"/>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70"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Disruptions at the FDA and other agencies may prolong the time necessary for regulatory submissions to be reviewed and/or new drugs to be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were to occur, it could significantly impact the ability of the FDA to timely review and process our regulatory submissions, which could have a material adverse effect on our business.</w:t>
      </w:r>
    </w:p>
    <w:p>
      <w:pPr>
        <w:spacing w:after="0" w:line="80"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During the COVID-19 public health emergency, a number of companies announced receipt of complete response letters due to the FDA’s inability to complete required inspections for their applications. Regulatory authorities outside the United States may adopt similar restrictions or other policy measures in response to a pandemic or an outbreak of highly infectious or contagious disease, such as the COVID-19 pandemic, and may experience delays in their regulatory activities.</w:t>
      </w:r>
    </w:p>
    <w:p>
      <w:pPr>
        <w:spacing w:after="0" w:line="79"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62"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Regulatory authorities in some jurisdictions, including the United States and European Union, may designate drugs for relatively small patient populations as orphan drugs. The FDA and EMA have granted orphan drug designation to losmapimod for the treatment of FSHD. We may seek orphan drug designation for our other current and future product candidates.</w:t>
      </w:r>
    </w:p>
    <w:p>
      <w:pPr>
        <w:spacing w:after="0" w:line="76"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Generally, if a product with an orphan drug designation subsequently receives the first marketing approval for the indication for which it has such designation, the product is entitled to a period of market exclusivity, which precludes the FDA or the EMA from approving another marketing authorization application for the same drug for a certain time period. The applicable period is seven years in the United States and ten years in the European Union. The exclusivity period in the European Union can be reduced to six years at the end of the fifth year if it is determined that a drug no longer meets the criteria for orphan drug designation, including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69" w:lineRule="exact"/>
        <w:rPr>
          <w:sz w:val="20"/>
          <w:szCs w:val="20"/>
          <w:color w:val="auto"/>
        </w:rPr>
      </w:pPr>
    </w:p>
    <w:p>
      <w:pPr>
        <w:ind w:right="120" w:firstLine="509"/>
        <w:spacing w:after="0" w:line="272" w:lineRule="auto"/>
        <w:rPr>
          <w:sz w:val="20"/>
          <w:szCs w:val="20"/>
          <w:color w:val="auto"/>
        </w:rPr>
      </w:pPr>
      <w:r>
        <w:rPr>
          <w:rFonts w:ascii="Arial" w:cs="Arial" w:eastAsia="Arial" w:hAnsi="Arial"/>
          <w:sz w:val="17"/>
          <w:szCs w:val="17"/>
          <w:color w:val="auto"/>
        </w:rPr>
        <w:t>Even if we obtain orphan drug exclusivity for a product, that exclusivity may not effectively protect the product from competition because competing drugs containing a different active ingredient can be approved for the same condition. In addition, the FDA can subsequently approve the same drug for the same condition if the FDA concludes that the later drug is clinically superior to the first drug to obtain orphan drug exclusivity because it is shown to be safer, more effective or makes a major contribution to patient care. Moreover, if we pursue and obtain approval for the same product for another indication for which we are not entitled to or do not have orphan drug exclusivity, our period of orphan exclusivity will not prevent third parties from obtaining approval for a competing drug containing the same active ingredient for use in this other, non-orphan indication. If that were to occur, the protection we derive from orphan exclusivity may be adversely affected.</w:t>
      </w:r>
    </w:p>
    <w:p>
      <w:pPr>
        <w:spacing w:after="0" w:line="28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Special designation by the FDA, such as fast track or breakthrough therapy, may not lead to a faster development or regulatory review or approval process, and it does not increase the likelihood that our product candidates will receive marketing approval.</w:t>
      </w:r>
    </w:p>
    <w:p>
      <w:pPr>
        <w:spacing w:after="0" w:line="38"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The FDA granted fast track designation to losmapimod for the treatment of FSHD and to FTX-6058 for the treatment of SCD, and we may seek fast track designation for some of our other product candidates as well as breakthrough therapy designation, including for losmapimod.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with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2" w:name="page63"/>
    <w:bookmarkEnd w:id="62"/>
    <w:p>
      <w:pPr>
        <w:ind w:right="20" w:firstLine="509"/>
        <w:spacing w:after="0" w:line="286" w:lineRule="auto"/>
        <w:rPr>
          <w:sz w:val="20"/>
          <w:szCs w:val="20"/>
          <w:color w:val="auto"/>
        </w:rPr>
      </w:pPr>
      <w:r>
        <w:rPr>
          <w:rFonts w:ascii="Arial" w:cs="Arial" w:eastAsia="Arial" w:hAnsi="Arial"/>
          <w:sz w:val="17"/>
          <w:szCs w:val="17"/>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w:t>
      </w:r>
    </w:p>
    <w:p>
      <w:pPr>
        <w:spacing w:after="0" w:line="57"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8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Even if the FDA agrees that we may pursue an accelerated approval NDA submission, approval of the NDA is not assured, nor does submission of an accelerated approval NDA ensure that the product candidate will have a faster development or regulatory review process.</w:t>
      </w:r>
    </w:p>
    <w:p>
      <w:pPr>
        <w:spacing w:after="0" w:line="16" w:lineRule="exact"/>
        <w:rPr>
          <w:sz w:val="20"/>
          <w:szCs w:val="20"/>
          <w:color w:val="auto"/>
        </w:rPr>
      </w:pPr>
    </w:p>
    <w:p>
      <w:pPr>
        <w:ind w:right="240" w:firstLine="509"/>
        <w:spacing w:after="0" w:line="301" w:lineRule="auto"/>
        <w:rPr>
          <w:sz w:val="20"/>
          <w:szCs w:val="20"/>
          <w:color w:val="auto"/>
        </w:rPr>
      </w:pPr>
      <w:r>
        <w:rPr>
          <w:rFonts w:ascii="Arial" w:cs="Arial" w:eastAsia="Arial" w:hAnsi="Arial"/>
          <w:sz w:val="16"/>
          <w:szCs w:val="16"/>
          <w:color w:val="auto"/>
        </w:rPr>
        <w:t>We may seek approval, as applicable,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w:t>
      </w:r>
      <w:r>
        <w:rPr>
          <w:rFonts w:ascii="Arial" w:cs="Arial" w:eastAsia="Arial" w:hAnsi="Arial"/>
          <w:sz w:val="16"/>
          <w:szCs w:val="16"/>
          <w:i w:val="1"/>
          <w:iCs w:val="1"/>
          <w:color w:val="auto"/>
        </w:rPr>
        <w:t>i.e.</w:t>
      </w:r>
      <w:r>
        <w:rPr>
          <w:rFonts w:ascii="Arial" w:cs="Arial" w:eastAsia="Arial" w:hAnsi="Arial"/>
          <w:sz w:val="16"/>
          <w:szCs w:val="16"/>
          <w:color w:val="auto"/>
        </w:rPr>
        <w:t>, an intermediate clinical endpoint).</w:t>
      </w:r>
    </w:p>
    <w:p>
      <w:pPr>
        <w:spacing w:after="0" w:line="49"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Prior to seeking such accelerated approval, we will seek feedback from the FDA and otherwise evaluate our ability to seek and receive such accelerated approval.</w:t>
      </w:r>
    </w:p>
    <w:p>
      <w:pPr>
        <w:spacing w:after="0" w:line="6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79"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Moreover, as a condition of accelerated approval, the FDA likely would require that we perform adequate and well-controlled post-marketing clinical trials to confirm the product’s clinical benefit. These confirmatory trials must be completed with due diligence. Under the Food and Drug Omnibus Reform Act of 2022, or FDORA, the FDA is permitted to require, as appropriate,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generally requires pre-approval of promotional materials for products under consideration for accelerated approval, which could adversely impact the timing of the commercial launch of the product. Thus, even if we seek to utilize the accelerated approval pathway for a product candidate, we may not experience a faster development or regulatory review or approval process for that product. In addition, receiving accelerated approval does not assure that the product’s accelerated approval will ultimately be converted to a traditional approval.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abroad.</w:t>
      </w:r>
    </w:p>
    <w:p>
      <w:pPr>
        <w:spacing w:after="0" w:line="117"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the necessary approvals to commercialize our products in any market.</w:t>
      </w:r>
    </w:p>
    <w:p>
      <w:pPr>
        <w:spacing w:after="0" w:line="60"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Additionally, now that the United Kingdom is no longer part of the European Union, separate applications and procedures will be required to obtain regulatory approval for our products in the United Kingdom and the European Union. Any delay in obtaining, or an inability to obtain, any marketing approvals could prevent us from commercializing any product candidates in the United Kingdom and/or the European Union and restrict our ability to generate revenue and achieve and sustain profitability.</w:t>
      </w:r>
    </w:p>
    <w:p>
      <w:pPr>
        <w:spacing w:after="0" w:line="29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76" w:lineRule="exact"/>
        <w:rPr>
          <w:sz w:val="20"/>
          <w:szCs w:val="20"/>
          <w:color w:val="auto"/>
        </w:rPr>
      </w:pPr>
    </w:p>
    <w:p>
      <w:pPr>
        <w:ind w:right="340" w:firstLine="509"/>
        <w:spacing w:after="0" w:line="296" w:lineRule="auto"/>
        <w:rPr>
          <w:sz w:val="20"/>
          <w:szCs w:val="20"/>
          <w:color w:val="auto"/>
        </w:rPr>
      </w:pPr>
      <w:r>
        <w:rPr>
          <w:rFonts w:ascii="Arial" w:cs="Arial" w:eastAsia="Arial" w:hAnsi="Arial"/>
          <w:sz w:val="16"/>
          <w:szCs w:val="16"/>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53"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84"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62" w:lineRule="exact"/>
        <w:rPr>
          <w:sz w:val="20"/>
          <w:szCs w:val="20"/>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suspension of or restrictions on such products, manufacturers or manufacturing processes;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and warnings on the labeling or marketing of a product;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4" w:name="page65"/>
    <w:bookmarkEnd w:id="64"/>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117" w:lineRule="exact"/>
        <w:rPr>
          <w:sz w:val="20"/>
          <w:szCs w:val="20"/>
          <w:color w:val="auto"/>
        </w:rPr>
      </w:pPr>
    </w:p>
    <w:p>
      <w:pPr>
        <w:jc w:val="both"/>
        <w:ind w:right="520" w:firstLine="509"/>
        <w:spacing w:after="0" w:line="311" w:lineRule="auto"/>
        <w:rPr>
          <w:sz w:val="20"/>
          <w:szCs w:val="20"/>
          <w:color w:val="auto"/>
        </w:rPr>
      </w:pPr>
      <w:r>
        <w:rPr>
          <w:rFonts w:ascii="Arial" w:cs="Arial" w:eastAsia="Arial" w:hAnsi="Arial"/>
          <w:sz w:val="16"/>
          <w:szCs w:val="16"/>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or United Kingdom’s requirements regarding the protection of personal information can also lead to significant penalties and sanctions.</w:t>
      </w:r>
    </w:p>
    <w:p>
      <w:pPr>
        <w:spacing w:after="0" w:line="41"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Additionally, under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We will also be subject to other regulatory requirements, including submissions of safety and other post-marketing information and reports, registration and listing requirements, requirements regarding the distribution of samples to clinicians, and recordkeeping.</w:t>
      </w:r>
    </w:p>
    <w:p>
      <w:pPr>
        <w:spacing w:after="0" w:line="28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7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See Item 1 “Business—Government Regulation and Product Approvals—Health Care Law and Regulation” in the 2022 Annual Report.</w:t>
      </w:r>
    </w:p>
    <w:p>
      <w:pPr>
        <w:spacing w:after="0" w:line="87"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62"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27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76"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The legislative and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Economic Area, or EEA, including personal health data, is subject to the European Union’s General Data Protection Regulation, or EU GDPR. Following the withdrawal of the United Kingdom from the European Union, or Brexit, the EU GDPR has been incorporated into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United Kingdom’s laws, or UK GDPR, alongside the UK Data Protection Act 2018, and together with the EU GDPR, is referred to as GDPR.</w:t>
      </w:r>
    </w:p>
    <w:p>
      <w:pPr>
        <w:spacing w:after="0" w:line="11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Despite Brexit, the EU and UK GDPR remain largely aligned. Currently, the most impactful point of divergence relates to transfer mechanisms (i.e., the ability for companies in the European Union or the United Kingdom to transfer personal information to third countries, including the United States), because it requires us to implement a variety of different contractual clauses approved by European Union’s or United Kingdom’s regulators, and carry out transfer impact assessments to establish whether the third country can ensure essential equivalency. This complexity and the additional contractual burden increases our overall risk exposure, and may result in us needing to make strategic considerations around where EEA and UK personal data is stored and which service providers we can utilize for the processing of EEA and UK personal data.</w:t>
      </w:r>
    </w:p>
    <w:p>
      <w:pPr>
        <w:spacing w:after="0" w:line="70"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There may be further divergence in the future, including with regard to administrative burdens. The UK Government has also now introduced a Data Protection and Digital Information Bill (“UK Bill”) into the UK legislative process. The aim of the UK Bill is to reform the UK’s data protection regime following Brexit. If passed, the final version of the UK Bill may have the effect of further altering the similarities between the UK and EEA data protection regime. This may lead to additional compliance costs and could increase our overall risk exposure as we may no longer be able to take a unified approach across the European Union and the United Kingdom, and we will need to amend our processes and procedures to align with the new framework.</w:t>
      </w:r>
    </w:p>
    <w:p>
      <w:pPr>
        <w:spacing w:after="0" w:line="53"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Similar data protection laws are either in place or under way in the United States. There are a broad variety of data protection and security laws and regulations that may be applicable to our activities governing the collection, use, disclosure, and protection of health-related and other personal information (including, for example, state data breach notification laws, health information and/or genetic privacy laws and federal and state consumer protection laws including Section 5 of the FTC Act, HIPAA, and the California Consumer Protection Act or CCPA).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in California, the CCPA, which went into effect in January 2020, has created certain requirements for data use, sharing and transparency, and provides California residents certain rights concerning their personal information, and many other states have introduced or are considering similar legislation. For more information regarding the GDPR, the CCPA and other regulations, see Item 1 “Business –Government Regulation and Product Approvals” in the 2022 Annual Report.</w:t>
      </w:r>
    </w:p>
    <w:p>
      <w:pPr>
        <w:spacing w:after="0" w:line="60"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Given the breadth and depth of changes in privacy, data protection and consumer protection obligations, preparing for and complying with these requirements is rigorous and time intensive and requires significant resources and a review of our technologies, systems and practices, as well as those of any third-party collaborators, service providers, contractors or consultants that store, process or transfer personal data on our behalf. Many of these laws differ from each other in significant ways and may be interpreted and applied in a manner that is inconsistent from one jurisdiction to another, thus complicating compliance efforts. Compliance with the GDPR and other similar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Any failure or perceived failure by us to comply with such laws and regulations could lead to government enforcement actions, private litigation and significant fines and penalties against us and could have a material adverse effect on our business, financial condition or results of operations. There is also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8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16"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See Item 1 “Business—Government Regulation and Product Approval—Pharmaceutical Insurance Coverage and Health Care Reform” in the 2022 Annual Report.</w:t>
      </w:r>
    </w:p>
    <w:p>
      <w:pPr>
        <w:spacing w:after="0" w:line="58"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In August 2022 the Inflation Reduction Act of 2022 was passed, which among other things, allows for Centers for Medicare &amp; Medicaid Services to negotiate prices for certain single-source drugs and biologics reimbursed under Medicare Part B and Part D, beginning with select high-cost drugs in 2026. The legislation subjects drug manufacturers to civil monetary penalties and a potential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6" w:name="page67"/>
    <w:bookmarkEnd w:id="66"/>
    <w:p>
      <w:pPr>
        <w:ind w:right="280"/>
        <w:spacing w:after="0" w:line="259" w:lineRule="auto"/>
        <w:rPr>
          <w:sz w:val="20"/>
          <w:szCs w:val="20"/>
          <w:color w:val="auto"/>
        </w:rPr>
      </w:pPr>
      <w:r>
        <w:rPr>
          <w:rFonts w:ascii="Arial" w:cs="Arial" w:eastAsia="Arial" w:hAnsi="Arial"/>
          <w:sz w:val="18"/>
          <w:szCs w:val="18"/>
          <w:color w:val="auto"/>
        </w:rPr>
        <w:t>excise tax for offering a price that is not equal to or less than the price negotiated under the law or for taking price increases that exceed inflation. The legislation also requires manufacturers to pay rebates for drugs in Medicare Part D whose price increases exceed inflation. Further, the legislation caps Medicare beneficiaries’ annual out-of-pocket drug expenses at $2,000. The effect of Inflation Reduction Act of 2022 on our business and the healthcare industry in general is not yet known.</w:t>
      </w:r>
    </w:p>
    <w:p>
      <w:pPr>
        <w:spacing w:after="0" w:line="79"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if any.</w:t>
      </w:r>
    </w:p>
    <w:p>
      <w:pPr>
        <w:spacing w:after="0" w:line="11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6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88" w:lineRule="exact"/>
        <w:rPr>
          <w:sz w:val="20"/>
          <w:szCs w:val="20"/>
          <w:color w:val="auto"/>
        </w:rPr>
      </w:pPr>
    </w:p>
    <w:p>
      <w:pPr>
        <w:jc w:val="both"/>
        <w:ind w:right="180" w:firstLine="509"/>
        <w:spacing w:after="0" w:line="259" w:lineRule="auto"/>
        <w:rPr>
          <w:sz w:val="20"/>
          <w:szCs w:val="20"/>
          <w:color w:val="auto"/>
        </w:rPr>
      </w:pPr>
      <w:r>
        <w:rPr>
          <w:rFonts w:ascii="Arial" w:cs="Arial" w:eastAsia="Arial" w:hAnsi="Arial"/>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9" w:lineRule="exact"/>
        <w:rPr>
          <w:sz w:val="20"/>
          <w:szCs w:val="20"/>
          <w:color w:val="auto"/>
        </w:rPr>
      </w:pPr>
    </w:p>
    <w:p>
      <w:pPr>
        <w:jc w:val="both"/>
        <w:ind w:right="220" w:firstLine="509"/>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76"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ind w:right="60"/>
        <w:spacing w:after="0" w:line="279" w:lineRule="auto"/>
        <w:rPr>
          <w:sz w:val="20"/>
          <w:szCs w:val="20"/>
          <w:color w:val="auto"/>
        </w:rPr>
      </w:pPr>
      <w:r>
        <w:rPr>
          <w:rFonts w:ascii="Arial" w:cs="Arial" w:eastAsia="Arial" w:hAnsi="Arial"/>
          <w:sz w:val="17"/>
          <w:szCs w:val="17"/>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63"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0"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68"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84"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w:t>
      </w:r>
    </w:p>
    <w:p>
      <w:pPr>
        <w:spacing w:after="0" w:line="285" w:lineRule="exact"/>
        <w:rPr>
          <w:sz w:val="20"/>
          <w:szCs w:val="20"/>
          <w:color w:val="auto"/>
        </w:rPr>
      </w:pPr>
    </w:p>
    <w:p>
      <w:pPr>
        <w:ind w:right="240"/>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1" w:lineRule="exact"/>
        <w:rPr>
          <w:sz w:val="20"/>
          <w:szCs w:val="20"/>
          <w:color w:val="auto"/>
        </w:rPr>
      </w:pPr>
    </w:p>
    <w:p>
      <w:pPr>
        <w:ind w:right="100" w:firstLine="509"/>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 GDPR.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8" w:name="page69"/>
    <w:bookmarkEnd w:id="68"/>
    <w:p>
      <w:pPr>
        <w:ind w:right="160"/>
        <w:spacing w:after="0" w:line="342" w:lineRule="auto"/>
        <w:rPr>
          <w:sz w:val="20"/>
          <w:szCs w:val="20"/>
          <w:color w:val="auto"/>
        </w:rPr>
      </w:pPr>
      <w:r>
        <w:rPr>
          <w:rFonts w:ascii="Arial" w:cs="Arial" w:eastAsia="Arial" w:hAnsi="Arial"/>
          <w:sz w:val="16"/>
          <w:szCs w:val="16"/>
          <w:b w:val="1"/>
          <w:bCs w:val="1"/>
          <w:i w:val="1"/>
          <w:iCs w:val="1"/>
          <w:color w:val="auto"/>
        </w:rPr>
        <w:t>Our internal computer and information technology systems and infrastructure, or those of our collaborators or other contractors or consultants, may fail or suffer security compromises or breaches, which could result in a material disruption of our product development programs.</w:t>
      </w:r>
    </w:p>
    <w:p>
      <w:pPr>
        <w:spacing w:after="0" w:line="16" w:lineRule="exact"/>
        <w:rPr>
          <w:sz w:val="20"/>
          <w:szCs w:val="20"/>
          <w:color w:val="auto"/>
        </w:rPr>
      </w:pPr>
    </w:p>
    <w:p>
      <w:pPr>
        <w:ind w:right="40" w:firstLine="509"/>
        <w:spacing w:after="0" w:line="285" w:lineRule="auto"/>
        <w:rPr>
          <w:sz w:val="20"/>
          <w:szCs w:val="20"/>
          <w:color w:val="auto"/>
        </w:rPr>
      </w:pPr>
      <w:r>
        <w:rPr>
          <w:rFonts w:ascii="Arial" w:cs="Arial" w:eastAsia="Arial" w:hAnsi="Arial"/>
          <w:sz w:val="16"/>
          <w:szCs w:val="16"/>
          <w:color w:val="auto"/>
        </w:rPr>
        <w:t>Our internal computer and information technology systems and infrastructure and those of our CROs, collaborators, and other contractors or consultants upon which our business relies, are vulnerable to breakdown or damage or interruption or otherwise may sustain damage from computer viruses, unauthorized access, data breaches, phishing attacks, cybercriminals, system malfunction, natural disasters (including hurricanes and earthquakes), terrorism, war and telecommunication and electrical failures. Such systems and infrastructure are also vulnerable to service interruptions or to security compromises or breaches from inadvertent or intentional actions by our employees, CROs or other third-party vendors, contractors, consultants and/or business partners or other third parties, or from cyber-attacks by malicious third parties. Cyber-attacks are increasing in their frequency, sophistication and intensity, and have become increasingly difficult to detect. Cyber-attacks could include wrongful conduct by insider employees or vendors, hostile foreign governments, industrial espionage, wire fraud and other forms of cyber fraud or cyber-attacks, including the deployment of harmful malware, ransomware, denial-of-service attacks, unauthorized access to or deletion of files, phishing attacks and social engineering, business email compromise, and other means to affect service reliability and threaten the confidentiality, integrity and availability of information. Accordingly, if our cybersecurity measures or those of our service providers fail to protect against unauthorized access, attacks, compromise or the mishandling of data by our employees or contractors, then our reputation, customer trust, business, results of operations and financial condition could be adversely affected. Because the techniques used by threat actors who may attempt to penetrate and sabotage our computer systems or those of our collaborators or other contractors or consultants change frequently and may not be recognized until launched against a target, we may be unable to anticipate these techniques. For example, we make extensive use of cloud-based storage systems, and in October 2018, we experienced a breach of one such system. While this breach did not result in the permanent loss or theft of any of our critical information or any other material consequences, it could have, and while we took steps to remediate this breach, such as establishing multi-factor authentication and implementing improvements to our data securities protocols, we cannot guarantee that the measures we have taken to date, and actions we may take in the future, will be sufficient to remediate any future breaches.</w:t>
      </w:r>
    </w:p>
    <w:p>
      <w:pPr>
        <w:spacing w:after="0" w:line="63"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compromise or breach were to result in a loss of, damage to, unauthorized access, or misuse of our data, systems, infrastructure or applications, or inappropriate disclosure of confidential or proprietary information, we could incur liability (including in connection with or resulting from litigation or governmental investigations and enforcement actions), our competitive position could be harmed and the further development and commercialization of our product candidates could be delayed and our business could be otherwise adversely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9" w:name="page70"/>
    <w:bookmarkEnd w:id="69"/>
    <w:p>
      <w:pPr>
        <w:ind w:right="60" w:firstLine="509"/>
        <w:spacing w:after="0" w:line="267" w:lineRule="auto"/>
        <w:rPr>
          <w:sz w:val="20"/>
          <w:szCs w:val="20"/>
          <w:color w:val="auto"/>
        </w:rPr>
      </w:pPr>
      <w:r>
        <w:rPr>
          <w:rFonts w:ascii="Arial" w:cs="Arial" w:eastAsia="Arial" w:hAnsi="Arial"/>
          <w:sz w:val="17"/>
          <w:szCs w:val="17"/>
          <w:color w:val="auto"/>
        </w:rPr>
        <w:t>We have had recent executive transitions, including of our chief executive officer, chief financial officer, president of research and development, chief scientific officer, and chief medical officer. We cannot predict the likelihood, timing or effect of future transitions among our executive leadership. The loss of the services of our executive officers or other key employees could impede the achievement of our research, development and commercialization objectives and seriously harm our ability to successfully implement our business strategy. For example, our employees have taken on increased responsibilities in light of this turnover, which could divert attention from key business areas. Additionally, the number of recent departures has created some uncertainty.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Even if we are successful in our efforts to replace our executive leadership, we cannot guarantee that we will not face similar turnover in the future. In addition, we rely on consultants and advisors, including scientific and clinical advisors, to assist us in formulating our research and development and commercialization strategy. In August 2022, we announced a workforce reduction in our research and development function, which may make us a less attractive employer to future candidates.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29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2"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6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As of May 8, 2023, our executive officers and directors and our stockholders who owned more than 5% of our outstanding common stock in the aggregate beneficially owned shares representing approximately 64.6%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concentration of ownership control may:</w:t>
      </w:r>
    </w:p>
    <w:p>
      <w:pPr>
        <w:spacing w:after="0" w:line="117" w:lineRule="exact"/>
        <w:rPr>
          <w:sz w:val="20"/>
          <w:szCs w:val="20"/>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entrench our management and board of directors; or</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 or prevent a merger, consolidation, takeover or other business combination involving us that other stockholders may desire.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jc w:val="both"/>
        <w:ind w:right="320"/>
        <w:spacing w:after="0" w:line="37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0" w:lineRule="exact"/>
        <w:rPr>
          <w:sz w:val="20"/>
          <w:szCs w:val="20"/>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only one of three classes of directors is elected each year;</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117" w:lineRule="exact"/>
        <w:rPr>
          <w:rFonts w:ascii="Arial" w:cs="Arial" w:eastAsia="Arial" w:hAnsi="Arial"/>
          <w:sz w:val="18"/>
          <w:szCs w:val="18"/>
          <w:color w:val="auto"/>
        </w:rPr>
      </w:pPr>
    </w:p>
    <w:p>
      <w:pPr>
        <w:ind w:left="900" w:right="140" w:hanging="383"/>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900" w:right="480" w:hanging="383"/>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900" w:right="40" w:hanging="383"/>
        <w:spacing w:after="0" w:line="263"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5" w:lineRule="exact"/>
        <w:rPr>
          <w:rFonts w:ascii="Arial" w:cs="Arial" w:eastAsia="Arial" w:hAnsi="Arial"/>
          <w:sz w:val="18"/>
          <w:szCs w:val="18"/>
          <w:color w:val="auto"/>
        </w:rPr>
      </w:pPr>
    </w:p>
    <w:p>
      <w:pPr>
        <w:ind w:left="900" w:right="180" w:hanging="383"/>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70"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16" w:lineRule="exact"/>
        <w:rPr>
          <w:sz w:val="20"/>
          <w:szCs w:val="20"/>
          <w:color w:val="auto"/>
        </w:rPr>
      </w:pPr>
    </w:p>
    <w:p>
      <w:pPr>
        <w:ind w:right="200" w:firstLine="509"/>
        <w:spacing w:after="0" w:line="293"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our stockholders.</w:t>
      </w:r>
    </w:p>
    <w:p>
      <w:pPr>
        <w:spacing w:after="0" w:line="129"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9" w:lineRule="exact"/>
        <w:rPr>
          <w:sz w:val="20"/>
          <w:szCs w:val="20"/>
          <w:color w:val="auto"/>
        </w:rPr>
      </w:pPr>
    </w:p>
    <w:p>
      <w:pPr>
        <w:ind w:left="900" w:right="880" w:hanging="383"/>
        <w:spacing w:after="0" w:line="308"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results of or developments in preclinical studies and clinical trials of our product candidates or those of our competitors or potential collaborators, including the recent clinical hold on FTX-6058 (and whether or not we are able to resolve such hold);</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success in commercializing our product candidates, if and when approved;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1" w:name="page72"/>
    <w:bookmarkEnd w:id="71"/>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900" w:right="240" w:hanging="383"/>
        <w:spacing w:after="0" w:line="308"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180" w:firstLine="509"/>
        <w:spacing w:after="0" w:line="273"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8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62"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79"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addition, we have filed or intend to file universal shelf registration statements (which allows us to offer and sell securities from time to time pursuant to one or more offerings at prices and terms to be determined at the time of sale) subject to an aggregate offering amount stated therein, as well as registration statements registering all shares of common stock that we may issue under our equity compensation plans or pursuant to equity awards made to newly hired employees outside of equity compensation plans. Such registered shares can be freely sold in the public market upon issuance, subject to volume limitations applicable to affiliates.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We are an “emerging growth company,” or EGC, as defined in the Jumpstart Our Business Startups Act of 2012, or the JOBS Act. We may remain an EGC until December 31, 2024, although if the market value of our common stock that is held by non-affiliates exceeds $700 million as of any June 30 before that time or if we have annual gross revenues of $1.235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84" w:lineRule="exact"/>
        <w:rPr>
          <w:sz w:val="20"/>
          <w:szCs w:val="20"/>
          <w:color w:val="auto"/>
        </w:rPr>
      </w:pPr>
    </w:p>
    <w:p>
      <w:pPr>
        <w:jc w:val="center"/>
        <w:ind w:left="5540" w:right="540" w:hanging="5023"/>
        <w:spacing w:after="0" w:line="527" w:lineRule="auto"/>
        <w:tabs>
          <w:tab w:leader="none" w:pos="9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2" w:name="page73"/>
    <w:bookmarkEnd w:id="72"/>
    <w:p>
      <w:pPr>
        <w:ind w:left="900" w:right="580" w:hanging="383"/>
        <w:spacing w:after="0" w:line="263"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900" w:right="160" w:hanging="383"/>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62"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4"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2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As a public company we have incurred, and particularly after we are no longer an EGC, we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81"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1"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a report by our management on our internal control over financial reporting. However, while we remain an EGC or a smaller reporting company with less than $100 million in revenue, we will not be required to include an attestation report on internal control over financial reporting issued by our independent registered public accounting firm. To achieve compliance with Section 404 within the prescribed period, we conduct a process each year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29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62"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3" w:name="page74"/>
    <w:bookmarkEnd w:id="73"/>
    <w:p>
      <w:pPr>
        <w:ind w:right="80"/>
        <w:spacing w:after="0" w:line="375" w:lineRule="auto"/>
        <w:rPr>
          <w:sz w:val="20"/>
          <w:szCs w:val="20"/>
          <w:color w:val="auto"/>
        </w:rPr>
      </w:pPr>
      <w:r>
        <w:rPr>
          <w:rFonts w:ascii="Arial" w:cs="Arial" w:eastAsia="Arial" w:hAnsi="Arial"/>
          <w:sz w:val="15"/>
          <w:szCs w:val="15"/>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1"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w:t>
      </w:r>
    </w:p>
    <w:p>
      <w:pPr>
        <w:spacing w:after="0" w:line="19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6. Exhibits.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660" w:type="dxa"/>
            <w:vAlign w:val="bottom"/>
            <w:gridSpan w:val="9"/>
            <w:vMerge w:val="restart"/>
          </w:tcPr>
          <w:p>
            <w:pPr>
              <w:ind w:left="1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3440" w:type="dxa"/>
            <w:vAlign w:val="bottom"/>
            <w:tcBorders>
              <w:bottom w:val="single" w:sz="8" w:color="auto"/>
            </w:tcBorders>
          </w:tcPr>
          <w:p>
            <w:pPr>
              <w:spacing w:after="0"/>
              <w:rPr>
                <w:sz w:val="16"/>
                <w:szCs w:val="16"/>
                <w:color w:val="auto"/>
              </w:rPr>
            </w:pPr>
          </w:p>
        </w:tc>
        <w:tc>
          <w:tcPr>
            <w:tcW w:w="6660" w:type="dxa"/>
            <w:vAlign w:val="bottom"/>
            <w:tcBorders>
              <w:bottom w:val="single" w:sz="8" w:color="auto"/>
            </w:tcBorders>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0" w:type="dxa"/>
            <w:vAlign w:val="bottom"/>
          </w:tcPr>
          <w:p>
            <w:pPr>
              <w:ind w:left="120"/>
              <w:spacing w:after="0" w:line="182"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5"/>
                <w:szCs w:val="15"/>
                <w:color w:val="auto"/>
              </w:rPr>
            </w:pPr>
          </w:p>
        </w:tc>
        <w:tc>
          <w:tcPr>
            <w:tcW w:w="10060" w:type="dxa"/>
            <w:vAlign w:val="bottom"/>
            <w:tcBorders>
              <w:bottom w:val="single" w:sz="8" w:color="0000FF"/>
            </w:tcBorders>
            <w:gridSpan w:val="9"/>
          </w:tcPr>
          <w:p>
            <w:pPr>
              <w:spacing w:after="0" w:line="182" w:lineRule="exact"/>
              <w:rPr>
                <w:rFonts w:ascii="Arial" w:cs="Arial" w:eastAsia="Arial" w:hAnsi="Arial"/>
                <w:sz w:val="18"/>
                <w:szCs w:val="18"/>
                <w:color w:val="0000FF"/>
                <w:w w:val="91"/>
              </w:rPr>
            </w:pPr>
            <w:hyperlink r:id="rId179">
              <w:r>
                <w:rPr>
                  <w:rFonts w:ascii="Arial" w:cs="Arial" w:eastAsia="Arial" w:hAnsi="Arial"/>
                  <w:sz w:val="18"/>
                  <w:szCs w:val="18"/>
                  <w:color w:val="0000FF"/>
                  <w:w w:val="91"/>
                </w:rPr>
                <w:t>Restated Certificate of Incorporation of the Registrant (incorporated by reference to Exhibit 3.1 to the Registrant’s Current Report on Form</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FF"/>
              </w:rPr>
            </w:pPr>
            <w:hyperlink r:id="rId179">
              <w:r>
                <w:rPr>
                  <w:rFonts w:ascii="Arial" w:cs="Arial" w:eastAsia="Arial" w:hAnsi="Arial"/>
                  <w:sz w:val="18"/>
                  <w:szCs w:val="18"/>
                  <w:color w:val="0000FF"/>
                </w:rPr>
                <w:t>8-K filed with the Securities and Exchange Commission on July 22, 2019).</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1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10000" w:type="dxa"/>
            <w:vAlign w:val="bottom"/>
            <w:tcBorders>
              <w:bottom w:val="single" w:sz="8" w:color="0000FF"/>
            </w:tcBorders>
            <w:gridSpan w:val="7"/>
          </w:tcPr>
          <w:p>
            <w:pPr>
              <w:spacing w:after="0"/>
              <w:rPr>
                <w:rFonts w:ascii="Arial" w:cs="Arial" w:eastAsia="Arial" w:hAnsi="Arial"/>
                <w:sz w:val="18"/>
                <w:szCs w:val="18"/>
                <w:color w:val="0000FF"/>
                <w:w w:val="91"/>
              </w:rPr>
            </w:pPr>
            <w:hyperlink r:id="rId180">
              <w:r>
                <w:rPr>
                  <w:rFonts w:ascii="Arial" w:cs="Arial" w:eastAsia="Arial" w:hAnsi="Arial"/>
                  <w:sz w:val="18"/>
                  <w:szCs w:val="18"/>
                  <w:color w:val="0000FF"/>
                  <w:w w:val="91"/>
                </w:rPr>
                <w:t>Amended and Restated Bylaws of the Registrant (incorporated by reference to Exhibit 3.2 to the Registrant’s Current Report on Form 8-K</w:t>
              </w:r>
            </w:hyperlink>
          </w:p>
        </w:tc>
        <w:tc>
          <w:tcPr>
            <w:tcW w:w="1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8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180">
              <w:r>
                <w:rPr>
                  <w:rFonts w:ascii="Arial" w:cs="Arial" w:eastAsia="Arial" w:hAnsi="Arial"/>
                  <w:sz w:val="18"/>
                  <w:szCs w:val="18"/>
                  <w:color w:val="0000FF"/>
                  <w:w w:val="90"/>
                </w:rPr>
                <w:t>filed with the Securities and Exchange Commission on July 22, 2019).</w:t>
              </w:r>
            </w:hyperlink>
          </w:p>
        </w:tc>
        <w:tc>
          <w:tcPr>
            <w:tcW w:w="50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1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67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Consulting agreement, dated April 22, 2023, by and between Registrant and Esther Rajavelu.</w:t>
            </w:r>
          </w:p>
        </w:tc>
        <w:tc>
          <w:tcPr>
            <w:tcW w:w="34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1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9"/>
                <w:szCs w:val="19"/>
                <w:color w:val="auto"/>
              </w:rPr>
            </w:pPr>
          </w:p>
        </w:tc>
        <w:tc>
          <w:tcPr>
            <w:tcW w:w="100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2"/>
              </w:rPr>
              <w:t>Certification of Principal Executive Officer and Principal Financial Officer Pursuant to Rules 13a-14(a) and 15d-14(a) under the Securities</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10"/>
          </w:tcPr>
          <w:p>
            <w:pPr>
              <w:spacing w:after="0" w:line="196" w:lineRule="exact"/>
              <w:rPr>
                <w:sz w:val="20"/>
                <w:szCs w:val="20"/>
                <w:color w:val="auto"/>
              </w:rPr>
            </w:pPr>
            <w:r>
              <w:rPr>
                <w:rFonts w:ascii="Arial" w:cs="Arial" w:eastAsia="Arial" w:hAnsi="Arial"/>
                <w:sz w:val="18"/>
                <w:szCs w:val="18"/>
                <w:color w:val="0000FF"/>
              </w:rPr>
              <w:t>Exchange Act 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1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9"/>
                <w:szCs w:val="19"/>
                <w:color w:val="auto"/>
              </w:rPr>
            </w:pPr>
          </w:p>
        </w:tc>
        <w:tc>
          <w:tcPr>
            <w:tcW w:w="98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2"/>
              </w:rPr>
              <w:t>Certification of Principal Executive Officer and Principal Financial Officer Pursuant to 18 U.S.C. Section 1350, as Adopted Pursuant to</w:t>
            </w:r>
          </w:p>
        </w:tc>
        <w:tc>
          <w:tcPr>
            <w:tcW w:w="30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10"/>
          </w:tcPr>
          <w:p>
            <w:pPr>
              <w:spacing w:after="0" w:line="196" w:lineRule="exact"/>
              <w:rPr>
                <w:sz w:val="20"/>
                <w:szCs w:val="20"/>
                <w:color w:val="auto"/>
              </w:rPr>
            </w:pPr>
            <w:r>
              <w:rPr>
                <w:rFonts w:ascii="Arial" w:cs="Arial" w:eastAsia="Arial" w:hAnsi="Arial"/>
                <w:sz w:val="18"/>
                <w:szCs w:val="18"/>
                <w:color w:val="0000FF"/>
              </w:rPr>
              <w:t>Section 906 of the Sarbanes-Oxley Act of 2002.</w:t>
            </w:r>
          </w:p>
        </w:tc>
        <w:tc>
          <w:tcPr>
            <w:tcW w:w="0" w:type="dxa"/>
            <w:vAlign w:val="bottom"/>
          </w:tcPr>
          <w:p>
            <w:pPr>
              <w:spacing w:after="0"/>
              <w:rPr>
                <w:sz w:val="1"/>
                <w:szCs w:val="1"/>
                <w:color w:val="auto"/>
              </w:rPr>
            </w:pPr>
          </w:p>
        </w:tc>
      </w:tr>
      <w:tr>
        <w:trPr>
          <w:trHeight w:val="264"/>
        </w:trPr>
        <w:tc>
          <w:tcPr>
            <w:tcW w:w="100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2"/>
                <w:szCs w:val="22"/>
                <w:color w:val="auto"/>
              </w:rPr>
            </w:pPr>
          </w:p>
        </w:tc>
        <w:tc>
          <w:tcPr>
            <w:tcW w:w="344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Inline XBRL Instance Document</w:t>
            </w:r>
          </w:p>
        </w:tc>
        <w:tc>
          <w:tcPr>
            <w:tcW w:w="666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1"/>
                <w:szCs w:val="21"/>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43"/>
        </w:trPr>
        <w:tc>
          <w:tcPr>
            <w:tcW w:w="100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1"/>
                <w:szCs w:val="21"/>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42"/>
        </w:trPr>
        <w:tc>
          <w:tcPr>
            <w:tcW w:w="100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1"/>
                <w:szCs w:val="21"/>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0"/>
                <w:szCs w:val="20"/>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43"/>
        </w:trPr>
        <w:tc>
          <w:tcPr>
            <w:tcW w:w="100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1"/>
                <w:szCs w:val="21"/>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right="220" w:firstLine="21"/>
        <w:spacing w:after="0" w:line="430" w:lineRule="auto"/>
        <w:tabs>
          <w:tab w:leader="none" w:pos="1131" w:val="left"/>
        </w:tabs>
        <w:numPr>
          <w:ilvl w:val="2"/>
          <w:numId w:val="4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 * Filed herewith.</w:t>
      </w:r>
    </w:p>
    <w:p>
      <w:pPr>
        <w:spacing w:after="0" w:line="1" w:lineRule="exact"/>
        <w:rPr>
          <w:rFonts w:ascii="Arial" w:cs="Arial" w:eastAsia="Arial" w:hAnsi="Arial"/>
          <w:sz w:val="18"/>
          <w:szCs w:val="18"/>
          <w:color w:val="auto"/>
        </w:rPr>
      </w:pPr>
    </w:p>
    <w:p>
      <w:pPr>
        <w:ind w:left="140" w:hanging="132"/>
        <w:spacing w:after="0"/>
        <w:tabs>
          <w:tab w:leader="none" w:pos="1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9512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FULCRUM THERAPEUTICS, INC.</w:t>
      </w:r>
    </w:p>
    <w:p>
      <w:pPr>
        <w:spacing w:after="0" w:line="279" w:lineRule="exact"/>
        <w:rPr>
          <w:sz w:val="20"/>
          <w:szCs w:val="20"/>
          <w:color w:val="auto"/>
        </w:rPr>
      </w:pPr>
    </w:p>
    <w:p>
      <w:pPr>
        <w:ind w:left="20"/>
        <w:spacing w:after="0"/>
        <w:tabs>
          <w:tab w:leader="none" w:pos="5280" w:val="left"/>
          <w:tab w:leader="none" w:pos="774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23495</wp:posOffset>
            </wp:positionV>
            <wp:extent cx="35490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0"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Robert J. Gould</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Interim President and Chief Executive Officer (Principal Executive Officer</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76" w:name="page77"/>
    <w:bookmarkEnd w:id="7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10.1</w:t>
      </w:r>
    </w:p>
    <w:p>
      <w:pPr>
        <w:spacing w:after="0" w:line="8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CONSULTING AGREEMENT</w:t>
      </w:r>
    </w:p>
    <w:p>
      <w:pPr>
        <w:spacing w:after="0" w:line="239" w:lineRule="exact"/>
        <w:rPr>
          <w:sz w:val="20"/>
          <w:szCs w:val="20"/>
          <w:color w:val="auto"/>
        </w:rPr>
      </w:pPr>
    </w:p>
    <w:p>
      <w:pPr>
        <w:ind w:right="120" w:firstLine="747"/>
        <w:spacing w:after="0"/>
        <w:rPr>
          <w:sz w:val="20"/>
          <w:szCs w:val="20"/>
          <w:color w:val="auto"/>
        </w:rPr>
      </w:pPr>
      <w:r>
        <w:rPr>
          <w:rFonts w:ascii="Arial" w:cs="Arial" w:eastAsia="Arial" w:hAnsi="Arial"/>
          <w:sz w:val="22"/>
          <w:szCs w:val="22"/>
          <w:color w:val="auto"/>
        </w:rPr>
        <w:t>THIS CONSULTING AGREEMENT (this “Agreement”), entered into as of April 22, 2023, (the “Effective Date”), by and between Esther Rajavelu (the “Consultant”) and Fulcrum Therapeutics, Inc., a company located at 26 Landsdowne Street Cambridge, MA 02139 (hereinafter “Company”).</w:t>
      </w:r>
    </w:p>
    <w:p>
      <w:pPr>
        <w:spacing w:after="0" w:line="213" w:lineRule="exact"/>
        <w:rPr>
          <w:sz w:val="20"/>
          <w:szCs w:val="20"/>
          <w:color w:val="auto"/>
        </w:rPr>
      </w:pPr>
    </w:p>
    <w:p>
      <w:pPr>
        <w:ind w:right="120" w:firstLine="747"/>
        <w:spacing w:after="0" w:line="250" w:lineRule="auto"/>
        <w:rPr>
          <w:sz w:val="20"/>
          <w:szCs w:val="20"/>
          <w:color w:val="auto"/>
        </w:rPr>
      </w:pPr>
      <w:r>
        <w:rPr>
          <w:rFonts w:ascii="Arial" w:cs="Arial" w:eastAsia="Arial" w:hAnsi="Arial"/>
          <w:sz w:val="22"/>
          <w:szCs w:val="22"/>
          <w:color w:val="auto"/>
        </w:rPr>
        <w:t>WHEREAS, Company desires to retain the services of Consultant as an independent consultant with respect to certain activities as described in this Agreement, and Consultant is willing to so act.</w:t>
      </w:r>
    </w:p>
    <w:p>
      <w:pPr>
        <w:spacing w:after="0" w:line="21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NOW, THEREFORE, Consultant and Company agree as follows:</w:t>
      </w:r>
    </w:p>
    <w:p>
      <w:pPr>
        <w:spacing w:after="0" w:line="233" w:lineRule="exact"/>
        <w:rPr>
          <w:sz w:val="20"/>
          <w:szCs w:val="20"/>
          <w:color w:val="auto"/>
        </w:rPr>
      </w:pPr>
    </w:p>
    <w:p>
      <w:pPr>
        <w:jc w:val="both"/>
        <w:ind w:right="400" w:firstLine="749"/>
        <w:spacing w:after="0" w:line="238" w:lineRule="auto"/>
        <w:rPr>
          <w:sz w:val="20"/>
          <w:szCs w:val="20"/>
          <w:color w:val="auto"/>
        </w:rPr>
      </w:pPr>
      <w:r>
        <w:rPr>
          <w:rFonts w:ascii="Arial" w:cs="Arial" w:eastAsia="Arial" w:hAnsi="Arial"/>
          <w:sz w:val="22"/>
          <w:szCs w:val="22"/>
          <w:i w:val="1"/>
          <w:iCs w:val="1"/>
          <w:color w:val="auto"/>
        </w:rPr>
        <w:t xml:space="preserve">1.Description of Services and Compensation. </w:t>
      </w:r>
      <w:r>
        <w:rPr>
          <w:rFonts w:ascii="Arial" w:cs="Arial" w:eastAsia="Arial" w:hAnsi="Arial"/>
          <w:sz w:val="22"/>
          <w:szCs w:val="22"/>
          <w:color w:val="auto"/>
        </w:rPr>
        <w:t>Company hereby retains Consultant as a consultant to Company and</w:t>
      </w:r>
      <w:r>
        <w:rPr>
          <w:rFonts w:ascii="Arial" w:cs="Arial" w:eastAsia="Arial" w:hAnsi="Arial"/>
          <w:sz w:val="22"/>
          <w:szCs w:val="22"/>
          <w:i w:val="1"/>
          <w:iCs w:val="1"/>
          <w:color w:val="auto"/>
        </w:rPr>
        <w:t xml:space="preserve"> </w:t>
      </w:r>
      <w:r>
        <w:rPr>
          <w:rFonts w:ascii="Arial" w:cs="Arial" w:eastAsia="Arial" w:hAnsi="Arial"/>
          <w:sz w:val="22"/>
          <w:szCs w:val="22"/>
          <w:color w:val="auto"/>
        </w:rPr>
        <w:t>Consultant hereby agrees to use his/her best efforts to provide advice and assistance to Company in the area of Consultant’s expertise from time to time as reasonably requested by the Company’s CEO (the “Services”). In particular, the Services and compensation obligations shall are set out on Exhibit A.</w:t>
      </w:r>
    </w:p>
    <w:p>
      <w:pPr>
        <w:spacing w:after="0" w:line="212" w:lineRule="exact"/>
        <w:rPr>
          <w:sz w:val="20"/>
          <w:szCs w:val="20"/>
          <w:color w:val="auto"/>
        </w:rPr>
      </w:pPr>
    </w:p>
    <w:p>
      <w:pPr>
        <w:ind w:right="180" w:firstLine="749"/>
        <w:spacing w:after="0" w:line="248" w:lineRule="auto"/>
        <w:rPr>
          <w:sz w:val="20"/>
          <w:szCs w:val="20"/>
          <w:color w:val="auto"/>
        </w:rPr>
      </w:pPr>
      <w:r>
        <w:rPr>
          <w:rFonts w:ascii="Arial" w:cs="Arial" w:eastAsia="Arial" w:hAnsi="Arial"/>
          <w:sz w:val="21"/>
          <w:szCs w:val="21"/>
          <w:i w:val="1"/>
          <w:iCs w:val="1"/>
          <w:color w:val="auto"/>
        </w:rPr>
        <w:t xml:space="preserve">2.Contract Term. </w:t>
      </w:r>
      <w:r>
        <w:rPr>
          <w:rFonts w:ascii="Arial" w:cs="Arial" w:eastAsia="Arial" w:hAnsi="Arial"/>
          <w:sz w:val="21"/>
          <w:szCs w:val="21"/>
          <w:color w:val="auto"/>
        </w:rPr>
        <w:t>The term of this Agreement will commence on the Effective Date for a three month period and</w:t>
      </w:r>
      <w:r>
        <w:rPr>
          <w:rFonts w:ascii="Arial" w:cs="Arial" w:eastAsia="Arial" w:hAnsi="Arial"/>
          <w:sz w:val="21"/>
          <w:szCs w:val="21"/>
          <w:i w:val="1"/>
          <w:iCs w:val="1"/>
          <w:color w:val="auto"/>
        </w:rPr>
        <w:t xml:space="preserve"> </w:t>
      </w:r>
      <w:r>
        <w:rPr>
          <w:rFonts w:ascii="Arial" w:cs="Arial" w:eastAsia="Arial" w:hAnsi="Arial"/>
          <w:sz w:val="21"/>
          <w:szCs w:val="21"/>
          <w:color w:val="auto"/>
        </w:rPr>
        <w:t>renewable by mutual consent of the parties hereto. Either party may, by providing the other party written notice, terminate this Agreement immediately upon breach of this Agreement by the other party. Further, either party may terminate this Agreement by providing the other party thirty (30) days prior written notice of termination. In the event of termination of this Agreement, prior to the end of the initial three month term, Consultant shall continue to receive compensation, as set forth in Exhibit A, and options shall continue to vest for the initial three month term.</w:t>
      </w:r>
    </w:p>
    <w:p>
      <w:pPr>
        <w:spacing w:after="0" w:line="204" w:lineRule="exact"/>
        <w:rPr>
          <w:sz w:val="20"/>
          <w:szCs w:val="20"/>
          <w:color w:val="auto"/>
        </w:rPr>
      </w:pPr>
    </w:p>
    <w:p>
      <w:pPr>
        <w:ind w:right="440" w:firstLine="749"/>
        <w:spacing w:after="0" w:line="287" w:lineRule="auto"/>
        <w:rPr>
          <w:sz w:val="20"/>
          <w:szCs w:val="20"/>
          <w:color w:val="auto"/>
        </w:rPr>
      </w:pPr>
      <w:r>
        <w:rPr>
          <w:rFonts w:ascii="Arial" w:cs="Arial" w:eastAsia="Arial" w:hAnsi="Arial"/>
          <w:sz w:val="19"/>
          <w:szCs w:val="19"/>
          <w:i w:val="1"/>
          <w:iCs w:val="1"/>
          <w:color w:val="auto"/>
        </w:rPr>
        <w:t>3.Consideration Continued Vesting</w:t>
      </w:r>
      <w:r>
        <w:rPr>
          <w:rFonts w:ascii="Arial" w:cs="Arial" w:eastAsia="Arial" w:hAnsi="Arial"/>
          <w:sz w:val="19"/>
          <w:szCs w:val="19"/>
          <w:color w:val="auto"/>
        </w:rPr>
        <w:t>. In full consideration of the Services performed and rights granted by the</w:t>
      </w:r>
      <w:r>
        <w:rPr>
          <w:rFonts w:ascii="Arial" w:cs="Arial" w:eastAsia="Arial" w:hAnsi="Arial"/>
          <w:sz w:val="19"/>
          <w:szCs w:val="19"/>
          <w:i w:val="1"/>
          <w:iCs w:val="1"/>
          <w:color w:val="auto"/>
        </w:rPr>
        <w:t xml:space="preserve"> </w:t>
      </w:r>
      <w:r>
        <w:rPr>
          <w:rFonts w:ascii="Arial" w:cs="Arial" w:eastAsia="Arial" w:hAnsi="Arial"/>
          <w:sz w:val="19"/>
          <w:szCs w:val="19"/>
          <w:color w:val="auto"/>
        </w:rPr>
        <w:t>Consultant under this Agreement, and for so long as the Consultant provides Services to the Company pursuant to this Agreement, any and all outstanding and unvested equity awards granted to the Consultant by the Company will continue to vest and be exercisable in accordance with the applicable equity plan and award agreement.</w:t>
      </w:r>
    </w:p>
    <w:p>
      <w:pPr>
        <w:spacing w:after="0" w:line="399" w:lineRule="exact"/>
        <w:rPr>
          <w:sz w:val="20"/>
          <w:szCs w:val="20"/>
          <w:color w:val="auto"/>
        </w:rPr>
      </w:pPr>
    </w:p>
    <w:p>
      <w:pPr>
        <w:ind w:right="200" w:firstLine="749"/>
        <w:spacing w:after="0" w:line="275" w:lineRule="auto"/>
        <w:rPr>
          <w:sz w:val="20"/>
          <w:szCs w:val="20"/>
          <w:color w:val="auto"/>
        </w:rPr>
      </w:pPr>
      <w:r>
        <w:rPr>
          <w:rFonts w:ascii="Arial" w:cs="Arial" w:eastAsia="Arial" w:hAnsi="Arial"/>
          <w:sz w:val="19"/>
          <w:szCs w:val="19"/>
          <w:i w:val="1"/>
          <w:iCs w:val="1"/>
          <w:color w:val="auto"/>
        </w:rPr>
        <w:t xml:space="preserve">4.Compliance with Laws. </w:t>
      </w:r>
      <w:r>
        <w:rPr>
          <w:rFonts w:ascii="Arial" w:cs="Arial" w:eastAsia="Arial" w:hAnsi="Arial"/>
          <w:sz w:val="19"/>
          <w:szCs w:val="19"/>
          <w:color w:val="auto"/>
        </w:rPr>
        <w:t>Consultant represents and warrants that Consultant will render Services in compliance with</w:t>
      </w:r>
      <w:r>
        <w:rPr>
          <w:rFonts w:ascii="Arial" w:cs="Arial" w:eastAsia="Arial" w:hAnsi="Arial"/>
          <w:sz w:val="19"/>
          <w:szCs w:val="19"/>
          <w:i w:val="1"/>
          <w:iCs w:val="1"/>
          <w:color w:val="auto"/>
        </w:rPr>
        <w:t xml:space="preserve"> </w:t>
      </w:r>
      <w:r>
        <w:rPr>
          <w:rFonts w:ascii="Arial" w:cs="Arial" w:eastAsia="Arial" w:hAnsi="Arial"/>
          <w:sz w:val="19"/>
          <w:szCs w:val="19"/>
          <w:color w:val="auto"/>
        </w:rPr>
        <w:t>all applicable laws, rules and regulations, including but not limited to the U.S. Food, Drug and Cosmetic Act, as amended from time to time. Further, Consultant represents that he/she has not been (a) debarred, convicted, and is not subject to a pending debarment or conviction, pursuant to Section 306 of the United States Food, Drug, and Cosmetic Act, 21 U.S.C. § 335a, (b) listed by any government or regulatory agencies as ineligible to participate in any government healthcare programs or government procurement or non-procurement programs (as that term is defined in 42 U.S.C. 1320a-7b(f)), or excluded, debarred, suspended or otherwise made ineligible to participate in any such program, or (c) convicted of a criminal offense related to the provision of healthcare items or services, or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469265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40" w:top="364" w:right="379" w:bottom="1440" w:gutter="0" w:footer="0" w:header="0"/>
        </w:sectPr>
      </w:pPr>
    </w:p>
    <w:bookmarkStart w:id="78" w:name="page79"/>
    <w:bookmarkEnd w:id="78"/>
    <w:p>
      <w:pPr>
        <w:ind w:right="20"/>
        <w:spacing w:after="0"/>
        <w:rPr>
          <w:sz w:val="20"/>
          <w:szCs w:val="20"/>
          <w:color w:val="auto"/>
        </w:rPr>
      </w:pPr>
      <w:r>
        <w:rPr>
          <w:rFonts w:ascii="Arial" w:cs="Arial" w:eastAsia="Arial" w:hAnsi="Arial"/>
          <w:sz w:val="22"/>
          <w:szCs w:val="22"/>
          <w:color w:val="auto"/>
        </w:rPr>
        <w:t>to any such pending action. Consultant agrees to promptly inform Company in writing if Consultant is subject to the foregoing, or if any action, suit, claim, investigation, or proceeding relating to the foregoing is pending, or to the best of Consultant’s knowledge, is threatened.</w:t>
      </w:r>
    </w:p>
    <w:p>
      <w:pPr>
        <w:spacing w:after="0" w:line="213" w:lineRule="exact"/>
        <w:rPr>
          <w:sz w:val="20"/>
          <w:szCs w:val="20"/>
          <w:color w:val="auto"/>
        </w:rPr>
      </w:pPr>
    </w:p>
    <w:p>
      <w:pPr>
        <w:ind w:firstLine="749"/>
        <w:spacing w:after="0" w:line="273" w:lineRule="auto"/>
        <w:rPr>
          <w:sz w:val="20"/>
          <w:szCs w:val="20"/>
          <w:color w:val="auto"/>
        </w:rPr>
      </w:pPr>
      <w:r>
        <w:rPr>
          <w:rFonts w:ascii="Arial" w:cs="Arial" w:eastAsia="Arial" w:hAnsi="Arial"/>
          <w:sz w:val="19"/>
          <w:szCs w:val="19"/>
          <w:i w:val="1"/>
          <w:iCs w:val="1"/>
          <w:color w:val="auto"/>
        </w:rPr>
        <w:t>5.Compliance with Obligations to Third Parties</w:t>
      </w:r>
      <w:r>
        <w:rPr>
          <w:rFonts w:ascii="Arial" w:cs="Arial" w:eastAsia="Arial" w:hAnsi="Arial"/>
          <w:sz w:val="19"/>
          <w:szCs w:val="19"/>
          <w:color w:val="auto"/>
        </w:rPr>
        <w:t>. Consultant represents and warrants to Company that the terms of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and Consultant’s performance of Services do not and will not conflict with any of Consultant’s obligations to any third parties. During the term of this Agreement, Consultant will not enter into any agreement, either written or oral, in conflict with Consultant’s obligations under this Agreement. This commitment would include, but is not limited to, the Consultant or a member of their household participating in a clinical trial offered by a third party or Company. Consultant will arrange to provide the Services contemplated by this Agreement in such manner and at such times that the rendering of the Services under this Agreement will not conflict with Consultant’s responsibilities under any other agreement, arrangement or understanding or pursuant to any employment relationship Consultant has at any time with any third party. Consultant represents that Consultant has not brought and will not bring with Consultant to Company or use in the performance of Services any equipment, confidential information or trade secrets of any third party which are not generally available to the public, unless Consultant has obtained written authorization for their possession and use.</w:t>
      </w:r>
    </w:p>
    <w:p>
      <w:pPr>
        <w:spacing w:after="0" w:line="182" w:lineRule="exact"/>
        <w:rPr>
          <w:sz w:val="20"/>
          <w:szCs w:val="20"/>
          <w:color w:val="auto"/>
        </w:rPr>
      </w:pPr>
    </w:p>
    <w:p>
      <w:pPr>
        <w:ind w:left="1500" w:hanging="758"/>
        <w:spacing w:after="0"/>
        <w:tabs>
          <w:tab w:leader="none" w:pos="1500" w:val="left"/>
        </w:tabs>
        <w:numPr>
          <w:ilvl w:val="0"/>
          <w:numId w:val="47"/>
        </w:numPr>
        <w:rPr>
          <w:rFonts w:ascii="Arial" w:cs="Arial" w:eastAsia="Arial" w:hAnsi="Arial"/>
          <w:sz w:val="22"/>
          <w:szCs w:val="22"/>
          <w:i w:val="1"/>
          <w:iCs w:val="1"/>
          <w:color w:val="auto"/>
        </w:rPr>
      </w:pPr>
      <w:r>
        <w:rPr>
          <w:rFonts w:ascii="Arial" w:cs="Arial" w:eastAsia="Arial" w:hAnsi="Arial"/>
          <w:sz w:val="22"/>
          <w:szCs w:val="22"/>
          <w:i w:val="1"/>
          <w:iCs w:val="1"/>
          <w:color w:val="auto"/>
        </w:rPr>
        <w:t>Confidentiality &amp; Non-Use.</w:t>
      </w:r>
    </w:p>
    <w:p>
      <w:pPr>
        <w:spacing w:after="0" w:line="233" w:lineRule="exact"/>
        <w:rPr>
          <w:sz w:val="20"/>
          <w:szCs w:val="20"/>
          <w:color w:val="auto"/>
        </w:rPr>
      </w:pPr>
    </w:p>
    <w:p>
      <w:pPr>
        <w:ind w:right="20" w:firstLine="1497"/>
        <w:spacing w:after="0" w:line="271" w:lineRule="auto"/>
        <w:rPr>
          <w:sz w:val="20"/>
          <w:szCs w:val="20"/>
          <w:color w:val="auto"/>
        </w:rPr>
      </w:pPr>
      <w:r>
        <w:rPr>
          <w:rFonts w:ascii="Arial" w:cs="Arial" w:eastAsia="Arial" w:hAnsi="Arial"/>
          <w:sz w:val="19"/>
          <w:szCs w:val="19"/>
          <w:color w:val="auto"/>
        </w:rPr>
        <w:t xml:space="preserve">6.1 Consultant shall hold all of Company’s Confidential Information in confidence, shall exercise reasonable precautions to physically protect the integrity and confidentiality of all of Company’s Confidential Information and shall not disclose any Confidential Information to any third party. Consultant shall not use Company’s Confidential Information for any purpose except as may be necessary in the ordinary course of performing Services without the prior written consent of Company. Company’s “Confidential Information” means (a) all Work Product, and (b) all confidential and proprietary data, trade secrets, business plans, and other information of a confidential or proprietary nature, belonging to Company or its subsidiaries or third parties with whom Company may have business dealings, disclosed or otherwise made available to Consultant by Company or on behalf of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Confidential Information shall not include information Consultant receives from Company which Consultant establishes by competent proof: (i) was in the public domain at the time of disclosure; (ii) after disclosure, becomes part of the public domain by publication or otherwise, except by breach of this Agreement; (iii) was in Consultant’s possession at the time of disclosure by Company as evidenced by written records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information previously provided by Company); or (iv) was received by Consultant from a third party who has the right to disclose it to Consultant. Consultant may disclose the Confidential Information to a governmental authority or by order of a court of competent jurisdiction only if required and provided that the disclosure is subject to all applicable governmental or judicial protection available for like material and reasonable advance notice is given to Company.</w:t>
      </w:r>
    </w:p>
    <w:p>
      <w:pPr>
        <w:spacing w:after="0" w:line="187" w:lineRule="exact"/>
        <w:rPr>
          <w:sz w:val="20"/>
          <w:szCs w:val="20"/>
          <w:color w:val="auto"/>
        </w:rPr>
      </w:pPr>
    </w:p>
    <w:p>
      <w:pPr>
        <w:jc w:val="both"/>
        <w:ind w:right="220" w:firstLine="1497"/>
        <w:spacing w:after="0" w:line="238" w:lineRule="auto"/>
        <w:rPr>
          <w:sz w:val="20"/>
          <w:szCs w:val="20"/>
          <w:color w:val="auto"/>
        </w:rPr>
      </w:pPr>
      <w:r>
        <w:rPr>
          <w:rFonts w:ascii="Arial" w:cs="Arial" w:eastAsia="Arial" w:hAnsi="Arial"/>
          <w:sz w:val="22"/>
          <w:szCs w:val="22"/>
          <w:color w:val="auto"/>
        </w:rPr>
        <w:t>6.2 Consultant shall comply with all applicable information security and data breach notification laws and regulations specific to the handling of Personal Information to the extent applicable to Consultant, including, but not limited to the requirements set forth at 45 Massachusetts M.G.L. c. 93H and 201 CMR §§ 17.00-17.05. “</w:t>
      </w:r>
      <w:r>
        <w:rPr>
          <w:rFonts w:ascii="Arial" w:cs="Arial" w:eastAsia="Arial" w:hAnsi="Arial"/>
          <w:sz w:val="22"/>
          <w:szCs w:val="22"/>
          <w:u w:val="single" w:color="auto"/>
          <w:color w:val="auto"/>
        </w:rPr>
        <w:t>Personal Information</w:t>
      </w:r>
      <w:r>
        <w:rPr>
          <w:rFonts w:ascii="Arial" w:cs="Arial" w:eastAsia="Arial" w:hAnsi="Arial"/>
          <w:sz w:val="22"/>
          <w:szCs w:val="22"/>
          <w:color w:val="auto"/>
        </w:rPr>
        <w:t>” shall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487045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429" w:right="459" w:bottom="1440" w:gutter="0" w:footer="0" w:header="0"/>
        </w:sectPr>
      </w:pPr>
    </w:p>
    <w:bookmarkStart w:id="79" w:name="page80"/>
    <w:bookmarkEnd w:id="79"/>
    <w:p>
      <w:pPr>
        <w:ind w:left="7"/>
        <w:spacing w:after="0" w:line="328" w:lineRule="auto"/>
        <w:rPr>
          <w:sz w:val="20"/>
          <w:szCs w:val="20"/>
          <w:color w:val="auto"/>
        </w:rPr>
      </w:pPr>
      <w:r>
        <w:rPr>
          <w:rFonts w:ascii="Arial" w:cs="Arial" w:eastAsia="Arial" w:hAnsi="Arial"/>
          <w:sz w:val="19"/>
          <w:szCs w:val="19"/>
          <w:color w:val="auto"/>
        </w:rPr>
        <w:t>any personal data, including information from which an individual may be identified and that Consultant receives from or on behalf of Company, or that is controlled, possessed, stored, transmitted or processed by Consultant for or on behalf of Company.</w:t>
      </w:r>
    </w:p>
    <w:p>
      <w:pPr>
        <w:spacing w:after="0" w:line="132" w:lineRule="exact"/>
        <w:rPr>
          <w:sz w:val="20"/>
          <w:szCs w:val="20"/>
          <w:color w:val="auto"/>
        </w:rPr>
      </w:pPr>
    </w:p>
    <w:p>
      <w:pPr>
        <w:ind w:left="7" w:right="440" w:firstLine="1498"/>
        <w:spacing w:after="0" w:line="246" w:lineRule="auto"/>
        <w:rPr>
          <w:sz w:val="20"/>
          <w:szCs w:val="20"/>
          <w:color w:val="auto"/>
        </w:rPr>
      </w:pPr>
      <w:r>
        <w:rPr>
          <w:rFonts w:ascii="Arial" w:cs="Arial" w:eastAsia="Arial" w:hAnsi="Arial"/>
          <w:sz w:val="21"/>
          <w:szCs w:val="21"/>
          <w:color w:val="auto"/>
        </w:rPr>
        <w:t>6.3 Consultant acknowledges that Company is a publicly traded company and that the disclosure of non-public information regarding Company or trading in the securities of Company while in the possession of such information may, depending on the facts and circumstances, subject Consultant to liability under the regulations or the rules of the U.S. Securities and Exchange Commission, NASDAQ or any stock exchange on which Company’s shares are listed and/or the U.S. Securities and Exchange Act of 1934, as amended. Consultant further agrees that at no time will it purchase or sell Company securities based on Confidential Information received in connection with this Agreement, which Confidential Information is not known to the general public.</w:t>
      </w:r>
    </w:p>
    <w:p>
      <w:pPr>
        <w:spacing w:after="0" w:line="211" w:lineRule="exact"/>
        <w:rPr>
          <w:sz w:val="20"/>
          <w:szCs w:val="20"/>
          <w:color w:val="auto"/>
        </w:rPr>
      </w:pPr>
    </w:p>
    <w:p>
      <w:pPr>
        <w:ind w:left="7" w:right="240" w:firstLine="1497"/>
        <w:spacing w:after="0" w:line="276" w:lineRule="auto"/>
        <w:rPr>
          <w:sz w:val="20"/>
          <w:szCs w:val="20"/>
          <w:color w:val="auto"/>
        </w:rPr>
      </w:pPr>
      <w:r>
        <w:rPr>
          <w:rFonts w:ascii="Arial" w:cs="Arial" w:eastAsia="Arial" w:hAnsi="Arial"/>
          <w:sz w:val="19"/>
          <w:szCs w:val="19"/>
          <w:color w:val="auto"/>
        </w:rPr>
        <w:t>6.4 Consultant acknowledges receipt of the following notice under 18 U.S.C § 1833(b)(1): “An individual shall not be held criminally or civilly liable under any Federal or State trade secret law for the disclosure of a trade secret that</w:t>
      </w:r>
    </w:p>
    <w:p>
      <w:pPr>
        <w:spacing w:after="0" w:line="1" w:lineRule="exact"/>
        <w:rPr>
          <w:sz w:val="20"/>
          <w:szCs w:val="20"/>
          <w:color w:val="auto"/>
        </w:rPr>
      </w:pPr>
    </w:p>
    <w:p>
      <w:pPr>
        <w:ind w:left="7" w:right="80" w:hanging="7"/>
        <w:spacing w:after="0" w:line="234" w:lineRule="auto"/>
        <w:tabs>
          <w:tab w:leader="none" w:pos="361" w:val="left"/>
        </w:tabs>
        <w:numPr>
          <w:ilvl w:val="0"/>
          <w:numId w:val="48"/>
        </w:numPr>
        <w:rPr>
          <w:rFonts w:ascii="Arial" w:cs="Arial" w:eastAsia="Arial" w:hAnsi="Arial"/>
          <w:sz w:val="22"/>
          <w:szCs w:val="22"/>
          <w:color w:val="auto"/>
        </w:rPr>
      </w:pPr>
      <w:r>
        <w:rPr>
          <w:rFonts w:ascii="Arial" w:cs="Arial" w:eastAsia="Arial" w:hAnsi="Arial"/>
          <w:sz w:val="22"/>
          <w:szCs w:val="22"/>
          <w:color w:val="auto"/>
        </w:rPr>
        <w:t>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200" w:lineRule="exact"/>
        <w:rPr>
          <w:sz w:val="20"/>
          <w:szCs w:val="20"/>
          <w:color w:val="auto"/>
        </w:rPr>
      </w:pPr>
    </w:p>
    <w:p>
      <w:pPr>
        <w:spacing w:after="0" w:line="271" w:lineRule="exact"/>
        <w:rPr>
          <w:sz w:val="20"/>
          <w:szCs w:val="20"/>
          <w:color w:val="auto"/>
        </w:rPr>
      </w:pPr>
    </w:p>
    <w:p>
      <w:pPr>
        <w:ind w:left="7" w:right="240" w:firstLine="749"/>
        <w:spacing w:after="0" w:line="236" w:lineRule="auto"/>
        <w:rPr>
          <w:sz w:val="20"/>
          <w:szCs w:val="20"/>
          <w:color w:val="auto"/>
        </w:rPr>
      </w:pPr>
      <w:r>
        <w:rPr>
          <w:rFonts w:ascii="Arial" w:cs="Arial" w:eastAsia="Arial" w:hAnsi="Arial"/>
          <w:sz w:val="22"/>
          <w:szCs w:val="22"/>
          <w:i w:val="1"/>
          <w:iCs w:val="1"/>
          <w:color w:val="auto"/>
        </w:rPr>
        <w:t xml:space="preserve">7.Company Property. </w:t>
      </w:r>
      <w:r>
        <w:rPr>
          <w:rFonts w:ascii="Arial" w:cs="Arial" w:eastAsia="Arial" w:hAnsi="Arial"/>
          <w:sz w:val="22"/>
          <w:szCs w:val="22"/>
          <w:color w:val="auto"/>
        </w:rPr>
        <w:t>All documents, data, records, apparatus, equipment and other physical property furnished or</w:t>
      </w:r>
      <w:r>
        <w:rPr>
          <w:rFonts w:ascii="Arial" w:cs="Arial" w:eastAsia="Arial" w:hAnsi="Arial"/>
          <w:sz w:val="22"/>
          <w:szCs w:val="22"/>
          <w:i w:val="1"/>
          <w:iCs w:val="1"/>
          <w:color w:val="auto"/>
        </w:rPr>
        <w:t xml:space="preserve"> </w:t>
      </w:r>
      <w:r>
        <w:rPr>
          <w:rFonts w:ascii="Arial" w:cs="Arial" w:eastAsia="Arial" w:hAnsi="Arial"/>
          <w:sz w:val="22"/>
          <w:szCs w:val="22"/>
          <w:color w:val="auto"/>
        </w:rPr>
        <w:t>made available to Consultant in connection with this Agreement shall be and remain the sole property of Company and shall be returned promptly to Company when requested. In any event, Consultant shall return and deliver all such property and any Confidential Information, including any copies thereof, upon termination or expiration of this Agreement, irrespective of the reason for such termination.</w:t>
      </w:r>
    </w:p>
    <w:p>
      <w:pPr>
        <w:spacing w:after="0" w:line="214" w:lineRule="exact"/>
        <w:rPr>
          <w:sz w:val="20"/>
          <w:szCs w:val="20"/>
          <w:color w:val="auto"/>
        </w:rPr>
      </w:pPr>
    </w:p>
    <w:p>
      <w:pPr>
        <w:ind w:left="7" w:right="260" w:firstLine="749"/>
        <w:spacing w:after="0" w:line="250" w:lineRule="auto"/>
        <w:rPr>
          <w:sz w:val="20"/>
          <w:szCs w:val="20"/>
          <w:color w:val="auto"/>
        </w:rPr>
      </w:pPr>
      <w:r>
        <w:rPr>
          <w:rFonts w:ascii="Arial" w:cs="Arial" w:eastAsia="Arial" w:hAnsi="Arial"/>
          <w:sz w:val="22"/>
          <w:szCs w:val="22"/>
          <w:i w:val="1"/>
          <w:iCs w:val="1"/>
          <w:color w:val="auto"/>
        </w:rPr>
        <w:t xml:space="preserve">8.Publication; Publicity. </w:t>
      </w:r>
      <w:r>
        <w:rPr>
          <w:rFonts w:ascii="Arial" w:cs="Arial" w:eastAsia="Arial" w:hAnsi="Arial"/>
          <w:sz w:val="22"/>
          <w:szCs w:val="22"/>
          <w:color w:val="auto"/>
        </w:rPr>
        <w:t>The underlying consulting work described in Exhibit A may not be published or referred to,</w:t>
      </w:r>
      <w:r>
        <w:rPr>
          <w:rFonts w:ascii="Arial" w:cs="Arial" w:eastAsia="Arial" w:hAnsi="Arial"/>
          <w:sz w:val="22"/>
          <w:szCs w:val="22"/>
          <w:i w:val="1"/>
          <w:iCs w:val="1"/>
          <w:color w:val="auto"/>
        </w:rPr>
        <w:t xml:space="preserve"> </w:t>
      </w:r>
      <w:r>
        <w:rPr>
          <w:rFonts w:ascii="Arial" w:cs="Arial" w:eastAsia="Arial" w:hAnsi="Arial"/>
          <w:sz w:val="22"/>
          <w:szCs w:val="22"/>
          <w:color w:val="auto"/>
        </w:rPr>
        <w:t>in whole or in part, by Consultant without the prior express written consent of Company.</w:t>
      </w:r>
    </w:p>
    <w:p>
      <w:pPr>
        <w:spacing w:after="0" w:line="202" w:lineRule="exact"/>
        <w:rPr>
          <w:sz w:val="20"/>
          <w:szCs w:val="20"/>
          <w:color w:val="auto"/>
        </w:rPr>
      </w:pPr>
    </w:p>
    <w:p>
      <w:pPr>
        <w:ind w:left="7" w:right="100" w:firstLine="749"/>
        <w:spacing w:after="0" w:line="245" w:lineRule="auto"/>
        <w:rPr>
          <w:sz w:val="20"/>
          <w:szCs w:val="20"/>
          <w:color w:val="auto"/>
        </w:rPr>
      </w:pPr>
      <w:r>
        <w:rPr>
          <w:rFonts w:ascii="Arial" w:cs="Arial" w:eastAsia="Arial" w:hAnsi="Arial"/>
          <w:sz w:val="21"/>
          <w:szCs w:val="21"/>
          <w:i w:val="1"/>
          <w:iCs w:val="1"/>
          <w:color w:val="auto"/>
        </w:rPr>
        <w:t xml:space="preserve">9.Independent Contractor Relationship. </w:t>
      </w:r>
      <w:r>
        <w:rPr>
          <w:rFonts w:ascii="Arial" w:cs="Arial" w:eastAsia="Arial" w:hAnsi="Arial"/>
          <w:sz w:val="21"/>
          <w:szCs w:val="21"/>
          <w:color w:val="auto"/>
        </w:rPr>
        <w:t>Nothing contained in this Agreement shall be deemed to constitute Consultant</w:t>
      </w:r>
      <w:r>
        <w:rPr>
          <w:rFonts w:ascii="Arial" w:cs="Arial" w:eastAsia="Arial" w:hAnsi="Arial"/>
          <w:sz w:val="21"/>
          <w:szCs w:val="21"/>
          <w:i w:val="1"/>
          <w:iCs w:val="1"/>
          <w:color w:val="auto"/>
        </w:rPr>
        <w:t xml:space="preserve"> </w:t>
      </w:r>
      <w:r>
        <w:rPr>
          <w:rFonts w:ascii="Arial" w:cs="Arial" w:eastAsia="Arial" w:hAnsi="Arial"/>
          <w:sz w:val="21"/>
          <w:szCs w:val="21"/>
          <w:color w:val="auto"/>
        </w:rPr>
        <w:t>an employee of Company, it being the intent of the parties to establish an independent contractor relationship, nor shall Consultant have authority to bind Company in any manner whatsoever by reason of this Agreement. Consultant shall at all times while on Company premises observe all security and safety policies of Company. Consultant shall bear sole responsibility for paying and reporting its own applicable federal and state income taxes, social security taxes, unemployment insurance, workers’ compensation, and health or disability insurance, retirement benefits, and other welfare or pension benefits, if any, and shall indemnify and hold Company harmless from and against any liability with respect thereto. Consultant shall provide all required tax information, including without limitation, where applicable, the IRS Form W-9 “Request for Taxpayer Identification Number and Certification.” Failure to provide such information may result in withholding of payments to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7"/>
          </w:cols>
          <w:pgMar w:left="433" w:top="429" w:right="379" w:bottom="1440" w:gutter="0" w:footer="0" w:header="0"/>
        </w:sectPr>
      </w:pPr>
    </w:p>
    <w:bookmarkStart w:id="80" w:name="page81"/>
    <w:bookmarkEnd w:id="80"/>
    <w:p>
      <w:pPr>
        <w:ind w:right="120" w:firstLine="749"/>
        <w:spacing w:after="0" w:line="238" w:lineRule="auto"/>
        <w:rPr>
          <w:sz w:val="20"/>
          <w:szCs w:val="20"/>
          <w:color w:val="auto"/>
        </w:rPr>
      </w:pPr>
      <w:r>
        <w:rPr>
          <w:rFonts w:ascii="Arial" w:cs="Arial" w:eastAsia="Arial" w:hAnsi="Arial"/>
          <w:sz w:val="22"/>
          <w:szCs w:val="22"/>
          <w:i w:val="1"/>
          <w:iCs w:val="1"/>
          <w:color w:val="auto"/>
        </w:rPr>
        <w:t>10.No Conflict of Interest</w:t>
      </w:r>
      <w:r>
        <w:rPr>
          <w:rFonts w:ascii="Arial" w:cs="Arial" w:eastAsia="Arial" w:hAnsi="Arial"/>
          <w:sz w:val="22"/>
          <w:szCs w:val="22"/>
          <w:color w:val="auto"/>
        </w:rPr>
        <w:t>. For the term of this Agreement, Consultant shall not work as an employee or consultant</w:t>
      </w:r>
      <w:r>
        <w:rPr>
          <w:rFonts w:ascii="Arial" w:cs="Arial" w:eastAsia="Arial" w:hAnsi="Arial"/>
          <w:sz w:val="22"/>
          <w:szCs w:val="22"/>
          <w:i w:val="1"/>
          <w:iCs w:val="1"/>
          <w:color w:val="auto"/>
        </w:rPr>
        <w:t xml:space="preserve"> </w:t>
      </w:r>
      <w:r>
        <w:rPr>
          <w:rFonts w:ascii="Arial" w:cs="Arial" w:eastAsia="Arial" w:hAnsi="Arial"/>
          <w:sz w:val="22"/>
          <w:szCs w:val="22"/>
          <w:color w:val="auto"/>
        </w:rPr>
        <w:t>for any third party on a project or potential transaction: (i) in the same disease state therapeutic area in which Company has a clinical program and, furthermore, upon commencement of patient enrollment in a competitive clinical trial, Company shall have the right to terminate this Agreement.</w:t>
      </w:r>
    </w:p>
    <w:p>
      <w:pPr>
        <w:spacing w:after="0" w:line="212" w:lineRule="exact"/>
        <w:rPr>
          <w:sz w:val="20"/>
          <w:szCs w:val="20"/>
          <w:color w:val="auto"/>
        </w:rPr>
      </w:pPr>
    </w:p>
    <w:p>
      <w:pPr>
        <w:ind w:right="240" w:firstLine="749"/>
        <w:spacing w:after="0"/>
        <w:rPr>
          <w:sz w:val="20"/>
          <w:szCs w:val="20"/>
          <w:color w:val="auto"/>
        </w:rPr>
      </w:pPr>
      <w:r>
        <w:rPr>
          <w:rFonts w:ascii="Arial" w:cs="Arial" w:eastAsia="Arial" w:hAnsi="Arial"/>
          <w:sz w:val="22"/>
          <w:szCs w:val="22"/>
          <w:i w:val="1"/>
          <w:iCs w:val="1"/>
          <w:color w:val="auto"/>
        </w:rPr>
        <w:t xml:space="preserve">11.Notices. </w:t>
      </w:r>
      <w:r>
        <w:rPr>
          <w:rFonts w:ascii="Arial" w:cs="Arial" w:eastAsia="Arial" w:hAnsi="Arial"/>
          <w:sz w:val="22"/>
          <w:szCs w:val="22"/>
          <w:color w:val="auto"/>
        </w:rPr>
        <w:t>Any notice given under this Agreement shall be deemed delivered when delivered by hand, by certified</w:t>
      </w:r>
      <w:r>
        <w:rPr>
          <w:rFonts w:ascii="Arial" w:cs="Arial" w:eastAsia="Arial" w:hAnsi="Arial"/>
          <w:sz w:val="22"/>
          <w:szCs w:val="22"/>
          <w:i w:val="1"/>
          <w:iCs w:val="1"/>
          <w:color w:val="auto"/>
        </w:rPr>
        <w:t xml:space="preserve"> </w:t>
      </w:r>
      <w:r>
        <w:rPr>
          <w:rFonts w:ascii="Arial" w:cs="Arial" w:eastAsia="Arial" w:hAnsi="Arial"/>
          <w:sz w:val="22"/>
          <w:szCs w:val="22"/>
          <w:color w:val="auto"/>
        </w:rPr>
        <w:t>mail, by air courier or via facsimile to the parties at their respective addresses set forth above or at such other address as either party may provide to the other in writing from time to time.</w:t>
      </w:r>
    </w:p>
    <w:p>
      <w:pPr>
        <w:spacing w:after="0" w:line="213" w:lineRule="exact"/>
        <w:rPr>
          <w:sz w:val="20"/>
          <w:szCs w:val="20"/>
          <w:color w:val="auto"/>
        </w:rPr>
      </w:pPr>
    </w:p>
    <w:p>
      <w:pPr>
        <w:ind w:right="200" w:firstLine="749"/>
        <w:spacing w:after="0" w:line="287" w:lineRule="auto"/>
        <w:rPr>
          <w:sz w:val="20"/>
          <w:szCs w:val="20"/>
          <w:color w:val="auto"/>
        </w:rPr>
      </w:pPr>
      <w:r>
        <w:rPr>
          <w:rFonts w:ascii="Arial" w:cs="Arial" w:eastAsia="Arial" w:hAnsi="Arial"/>
          <w:sz w:val="19"/>
          <w:szCs w:val="19"/>
          <w:i w:val="1"/>
          <w:iCs w:val="1"/>
          <w:color w:val="auto"/>
        </w:rPr>
        <w:t xml:space="preserve">12.Assignment. </w:t>
      </w:r>
      <w:r>
        <w:rPr>
          <w:rFonts w:ascii="Arial" w:cs="Arial" w:eastAsia="Arial" w:hAnsi="Arial"/>
          <w:sz w:val="19"/>
          <w:szCs w:val="19"/>
          <w:color w:val="auto"/>
        </w:rPr>
        <w:t>The rights and obligations of the parties hereunder shall inure to the benefit of, and shall be binding</w:t>
      </w:r>
      <w:r>
        <w:rPr>
          <w:rFonts w:ascii="Arial" w:cs="Arial" w:eastAsia="Arial" w:hAnsi="Arial"/>
          <w:sz w:val="19"/>
          <w:szCs w:val="19"/>
          <w:i w:val="1"/>
          <w:iCs w:val="1"/>
          <w:color w:val="auto"/>
        </w:rPr>
        <w:t xml:space="preserve"> </w:t>
      </w:r>
      <w:r>
        <w:rPr>
          <w:rFonts w:ascii="Arial" w:cs="Arial" w:eastAsia="Arial" w:hAnsi="Arial"/>
          <w:sz w:val="19"/>
          <w:szCs w:val="19"/>
          <w:color w:val="auto"/>
        </w:rPr>
        <w:t>upon their respective successors and assigns. This Agreement may not be assigned by Consultant, and Consultant’s obligations under this Agreement may not be subcontracted or delegated by Consultant, without the prior written consent of Company. For clarity, this Agreement may be assigned by Company with notice of such assignment to Consultant.</w:t>
      </w:r>
    </w:p>
    <w:p>
      <w:pPr>
        <w:spacing w:after="0" w:line="170" w:lineRule="exact"/>
        <w:rPr>
          <w:sz w:val="20"/>
          <w:szCs w:val="20"/>
          <w:color w:val="auto"/>
        </w:rPr>
      </w:pPr>
    </w:p>
    <w:p>
      <w:pPr>
        <w:ind w:firstLine="749"/>
        <w:spacing w:after="0"/>
        <w:rPr>
          <w:sz w:val="20"/>
          <w:szCs w:val="20"/>
          <w:color w:val="auto"/>
        </w:rPr>
      </w:pPr>
      <w:r>
        <w:rPr>
          <w:rFonts w:ascii="Arial" w:cs="Arial" w:eastAsia="Arial" w:hAnsi="Arial"/>
          <w:sz w:val="22"/>
          <w:szCs w:val="22"/>
          <w:i w:val="1"/>
          <w:iCs w:val="1"/>
          <w:color w:val="auto"/>
        </w:rPr>
        <w:t xml:space="preserve">13.Survival. </w:t>
      </w:r>
      <w:r>
        <w:rPr>
          <w:rFonts w:ascii="Arial" w:cs="Arial" w:eastAsia="Arial" w:hAnsi="Arial"/>
          <w:sz w:val="22"/>
          <w:szCs w:val="22"/>
          <w:color w:val="auto"/>
        </w:rPr>
        <w:t>Any termination of this Agreement shall be without prejudice to any obligation of either party that shall</w:t>
      </w:r>
      <w:r>
        <w:rPr>
          <w:rFonts w:ascii="Arial" w:cs="Arial" w:eastAsia="Arial" w:hAnsi="Arial"/>
          <w:sz w:val="22"/>
          <w:szCs w:val="22"/>
          <w:i w:val="1"/>
          <w:iCs w:val="1"/>
          <w:color w:val="auto"/>
        </w:rPr>
        <w:t xml:space="preserve"> </w:t>
      </w:r>
      <w:r>
        <w:rPr>
          <w:rFonts w:ascii="Arial" w:cs="Arial" w:eastAsia="Arial" w:hAnsi="Arial"/>
          <w:sz w:val="22"/>
          <w:szCs w:val="22"/>
          <w:color w:val="auto"/>
        </w:rPr>
        <w:t>have accrued and then be owing prior to termination. Sections 4 through 14 of this Agreement shall survive any termination of this Agreement.</w:t>
      </w:r>
    </w:p>
    <w:p>
      <w:pPr>
        <w:spacing w:after="0" w:line="213" w:lineRule="exact"/>
        <w:rPr>
          <w:sz w:val="20"/>
          <w:szCs w:val="20"/>
          <w:color w:val="auto"/>
        </w:rPr>
      </w:pPr>
    </w:p>
    <w:p>
      <w:pPr>
        <w:ind w:firstLine="749"/>
        <w:spacing w:after="0" w:line="271" w:lineRule="auto"/>
        <w:rPr>
          <w:sz w:val="20"/>
          <w:szCs w:val="20"/>
          <w:color w:val="auto"/>
        </w:rPr>
      </w:pPr>
      <w:r>
        <w:rPr>
          <w:rFonts w:ascii="Arial" w:cs="Arial" w:eastAsia="Arial" w:hAnsi="Arial"/>
          <w:sz w:val="19"/>
          <w:szCs w:val="19"/>
          <w:i w:val="1"/>
          <w:iCs w:val="1"/>
          <w:color w:val="auto"/>
        </w:rPr>
        <w:t xml:space="preserve">14.Prior Agreements; Governing Law; Severability; Amendment. </w:t>
      </w:r>
      <w:r>
        <w:rPr>
          <w:rFonts w:ascii="Arial" w:cs="Arial" w:eastAsia="Arial" w:hAnsi="Arial"/>
          <w:sz w:val="19"/>
          <w:szCs w:val="19"/>
          <w:color w:val="auto"/>
        </w:rPr>
        <w:t>This Agreement embodies the entire understanding</w:t>
      </w:r>
      <w:r>
        <w:rPr>
          <w:rFonts w:ascii="Arial" w:cs="Arial" w:eastAsia="Arial" w:hAnsi="Arial"/>
          <w:sz w:val="19"/>
          <w:szCs w:val="19"/>
          <w:i w:val="1"/>
          <w:iCs w:val="1"/>
          <w:color w:val="auto"/>
        </w:rPr>
        <w:t xml:space="preserve"> </w:t>
      </w:r>
      <w:r>
        <w:rPr>
          <w:rFonts w:ascii="Arial" w:cs="Arial" w:eastAsia="Arial" w:hAnsi="Arial"/>
          <w:sz w:val="19"/>
          <w:szCs w:val="19"/>
          <w:color w:val="auto"/>
        </w:rPr>
        <w:t>between the parties with respect to the subject matter of this Agreement and supersedes any prior or contemporaneous agreements with respect to the subject matter of this Agreement. This Agreement shall be governed by and construed in accordance with the laws of the Commonwealth of Massachusetts, without regard to any choice of law principle that would dictate the application of the law of another jurisdiction, and Consultant submits to the jurisdiction and agrees to the proper venue of all state and federal courts located within the Commonwealth of Massachusetts. In the event that any provision of this Agreement shall, for any reason, be held to be invalid or unenforceable in any respect, such invalidity or unenforceability shall not affect any other provision of this Agreement, and this Agreement shall be construed as if such invalid or unenforceable provision had not been included in this Agreement. If any of the provisions are held to be excessively broad, any such provision shall be reformed and construed by limiting and reducing it so as to be enforceable to the maximum extent permitted by law. Failure at any time by one of the parties to insist upon performance by the other party of any of its obligations under this Agreement shall not constitute a waiver of any subsequent default. In addition, if one of the parties does not exercise a remedy in the event of a breach of obligations under this Agreement, such failure to exercise its rights shall not be interpreted as a waiver of any such rights in the event of any subsequent breach by the other party. This Agreement may not be amended, and it terms may not be waived, except pursuant to a written amendment or waiver signed by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471170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40" w:top="969" w:right="539" w:bottom="1440" w:gutter="0" w:footer="0" w:header="0"/>
        </w:sectPr>
      </w:pPr>
    </w:p>
    <w:bookmarkStart w:id="81" w:name="page82"/>
    <w:bookmarkEnd w:id="81"/>
    <w:p>
      <w:pPr>
        <w:ind w:left="860"/>
        <w:spacing w:after="0"/>
        <w:rPr>
          <w:sz w:val="20"/>
          <w:szCs w:val="20"/>
          <w:color w:val="auto"/>
        </w:rPr>
      </w:pPr>
      <w:r>
        <w:rPr>
          <w:rFonts w:ascii="Arial" w:cs="Arial" w:eastAsia="Arial" w:hAnsi="Arial"/>
          <w:sz w:val="22"/>
          <w:szCs w:val="22"/>
          <w:i w:val="1"/>
          <w:iCs w:val="1"/>
          <w:color w:val="auto"/>
        </w:rPr>
        <w:t xml:space="preserve">IN WITNESS WHEREOF, </w:t>
      </w:r>
      <w:r>
        <w:rPr>
          <w:rFonts w:ascii="Arial" w:cs="Arial" w:eastAsia="Arial" w:hAnsi="Arial"/>
          <w:sz w:val="22"/>
          <w:szCs w:val="22"/>
          <w:color w:val="auto"/>
        </w:rPr>
        <w:t>the parties hereto have entered into this Agreement as of the Effective Date.</w:t>
      </w:r>
    </w:p>
    <w:p>
      <w:pPr>
        <w:spacing w:after="0" w:line="200" w:lineRule="exact"/>
        <w:rPr>
          <w:sz w:val="20"/>
          <w:szCs w:val="20"/>
          <w:color w:val="auto"/>
        </w:rPr>
      </w:pPr>
    </w:p>
    <w:p>
      <w:pPr>
        <w:spacing w:after="0" w:line="284" w:lineRule="exact"/>
        <w:rPr>
          <w:sz w:val="20"/>
          <w:szCs w:val="20"/>
          <w:color w:val="auto"/>
        </w:rPr>
      </w:pPr>
    </w:p>
    <w:p>
      <w:pPr>
        <w:ind w:left="120"/>
        <w:spacing w:after="0"/>
        <w:tabs>
          <w:tab w:leader="none" w:pos="1820" w:val="left"/>
        </w:tabs>
        <w:rPr>
          <w:sz w:val="20"/>
          <w:szCs w:val="20"/>
          <w:color w:val="auto"/>
        </w:rPr>
      </w:pPr>
      <w:r>
        <w:rPr>
          <w:rFonts w:ascii="Arial" w:cs="Arial" w:eastAsia="Arial" w:hAnsi="Arial"/>
          <w:sz w:val="22"/>
          <w:szCs w:val="22"/>
          <w:b w:val="1"/>
          <w:bCs w:val="1"/>
          <w:color w:val="auto"/>
        </w:rPr>
        <w:t>CONSULTANT</w:t>
        <w:tab/>
        <w:t>COMPANY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0" w:type="dxa"/>
            <w:vAlign w:val="bottom"/>
            <w:gridSpan w:val="3"/>
          </w:tcPr>
          <w:p>
            <w:pPr>
              <w:ind w:left="120"/>
              <w:spacing w:after="0"/>
              <w:rPr>
                <w:sz w:val="20"/>
                <w:szCs w:val="20"/>
                <w:color w:val="auto"/>
              </w:rPr>
            </w:pPr>
            <w:r>
              <w:rPr>
                <w:rFonts w:ascii="Arial" w:cs="Arial" w:eastAsia="Arial" w:hAnsi="Arial"/>
                <w:sz w:val="22"/>
                <w:szCs w:val="22"/>
                <w:color w:val="auto"/>
                <w:w w:val="92"/>
              </w:rPr>
              <w:t>By: /s/ Esther Rajavelu</w:t>
            </w:r>
          </w:p>
        </w:tc>
        <w:tc>
          <w:tcPr>
            <w:tcW w:w="9040" w:type="dxa"/>
            <w:vAlign w:val="bottom"/>
            <w:gridSpan w:val="3"/>
          </w:tcPr>
          <w:p>
            <w:pPr>
              <w:ind w:left="500"/>
              <w:spacing w:after="0"/>
              <w:rPr>
                <w:sz w:val="20"/>
                <w:szCs w:val="20"/>
                <w:color w:val="auto"/>
              </w:rPr>
            </w:pPr>
            <w:r>
              <w:rPr>
                <w:rFonts w:ascii="Arial" w:cs="Arial" w:eastAsia="Arial" w:hAnsi="Arial"/>
                <w:sz w:val="22"/>
                <w:szCs w:val="22"/>
                <w:color w:val="auto"/>
              </w:rPr>
              <w:t>By: /s/ Robert J. Gould</w:t>
            </w:r>
          </w:p>
        </w:tc>
      </w:tr>
      <w:tr>
        <w:trPr>
          <w:trHeight w:val="20"/>
        </w:trPr>
        <w:tc>
          <w:tcPr>
            <w:tcW w:w="4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503"/>
        </w:trPr>
        <w:tc>
          <w:tcPr>
            <w:tcW w:w="2200" w:type="dxa"/>
            <w:vAlign w:val="bottom"/>
            <w:gridSpan w:val="3"/>
          </w:tcPr>
          <w:p>
            <w:pPr>
              <w:ind w:left="120"/>
              <w:spacing w:after="0"/>
              <w:rPr>
                <w:sz w:val="20"/>
                <w:szCs w:val="20"/>
                <w:color w:val="auto"/>
              </w:rPr>
            </w:pPr>
            <w:r>
              <w:rPr>
                <w:rFonts w:ascii="Arial" w:cs="Arial" w:eastAsia="Arial" w:hAnsi="Arial"/>
                <w:sz w:val="22"/>
                <w:szCs w:val="22"/>
                <w:color w:val="auto"/>
                <w:w w:val="91"/>
              </w:rPr>
              <w:t>Name: Esther Rajavelu</w:t>
            </w:r>
          </w:p>
        </w:tc>
        <w:tc>
          <w:tcPr>
            <w:tcW w:w="9040" w:type="dxa"/>
            <w:vAlign w:val="bottom"/>
            <w:gridSpan w:val="3"/>
          </w:tcPr>
          <w:p>
            <w:pPr>
              <w:ind w:left="80"/>
              <w:spacing w:after="0"/>
              <w:rPr>
                <w:sz w:val="20"/>
                <w:szCs w:val="20"/>
                <w:color w:val="auto"/>
              </w:rPr>
            </w:pPr>
            <w:r>
              <w:rPr>
                <w:rFonts w:ascii="Arial" w:cs="Arial" w:eastAsia="Arial" w:hAnsi="Arial"/>
                <w:sz w:val="22"/>
                <w:szCs w:val="22"/>
                <w:color w:val="auto"/>
              </w:rPr>
              <w:t>Name: Robert J. Gould</w:t>
            </w:r>
          </w:p>
        </w:tc>
      </w:tr>
      <w:tr>
        <w:trPr>
          <w:trHeight w:val="793"/>
        </w:trPr>
        <w:tc>
          <w:tcPr>
            <w:tcW w:w="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82" w:name="page83"/>
    <w:bookmarkEnd w:id="82"/>
    <w:p>
      <w:pPr>
        <w:jc w:val="center"/>
        <w:ind w:right="-119"/>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auto"/>
        </w:rPr>
        <w:t>DESCRIPTION OF SERVICES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Consultant to provide strategic advice as requested by the CEO from time to time,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No minimum hours of commitment, actual hours agreed to between CEO and Consultant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COMPENSATION</w:t>
      </w:r>
    </w:p>
    <w:p>
      <w:pPr>
        <w:spacing w:after="0" w:line="233"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For the initial three-month consulting period, Consultant shall receive $52,780 on a monthly basis. The monthly compensation amount is derived from Consultant’s monthly base salary and an amount commensurate with 1/12 of her annual bonus target. During the initial three-month term of this Agreement, should either party terminate this Agreement prior to the completion of the three-month term, Consultant shall receive a total of $158,340, as if services were provided for the entire three-month period. For any future, three-month term, payment shall be provided to Consultant on a pro rata basis dependent upon the number of days where consulting services were provided. For example, if Consultant or the Company terminates the Agreement on the forty-fifth day of a subsequent three-month term, Consultant would receive 50% of total due for a three month term.</w:t>
      </w:r>
    </w:p>
    <w:p>
      <w:pPr>
        <w:spacing w:after="0" w:line="207" w:lineRule="exact"/>
        <w:rPr>
          <w:sz w:val="20"/>
          <w:szCs w:val="20"/>
          <w:color w:val="auto"/>
        </w:rPr>
      </w:pPr>
    </w:p>
    <w:p>
      <w:pPr>
        <w:ind w:right="80"/>
        <w:spacing w:after="0" w:line="239" w:lineRule="auto"/>
        <w:rPr>
          <w:sz w:val="20"/>
          <w:szCs w:val="20"/>
          <w:color w:val="auto"/>
        </w:rPr>
      </w:pPr>
      <w:r>
        <w:rPr>
          <w:rFonts w:ascii="Arial" w:cs="Arial" w:eastAsia="Arial" w:hAnsi="Arial"/>
          <w:sz w:val="22"/>
          <w:szCs w:val="22"/>
          <w:color w:val="auto"/>
        </w:rPr>
        <w:t>Stock options awarded to Consultant during her employment shall continue to vest during the time period when Consultant is providing consulting services to the Company.</w:t>
      </w:r>
    </w:p>
    <w:p>
      <w:pPr>
        <w:ind w:right="2760"/>
        <w:spacing w:after="0" w:line="241" w:lineRule="auto"/>
        <w:rPr>
          <w:sz w:val="20"/>
          <w:szCs w:val="20"/>
          <w:color w:val="auto"/>
        </w:rPr>
      </w:pPr>
      <w:r>
        <w:rPr>
          <w:rFonts w:ascii="Arial" w:cs="Arial" w:eastAsia="Arial" w:hAnsi="Arial"/>
          <w:sz w:val="21"/>
          <w:szCs w:val="21"/>
          <w:color w:val="auto"/>
        </w:rPr>
        <w:t>Company agrees that Consultant’s time period to exercise vested stock options shall be twelve (12) months commencing on the last day of consulting for the Company.</w:t>
      </w:r>
    </w:p>
    <w:p>
      <w:pPr>
        <w:spacing w:after="0" w:line="1" w:lineRule="exact"/>
        <w:rPr>
          <w:sz w:val="20"/>
          <w:szCs w:val="20"/>
          <w:color w:val="auto"/>
        </w:rPr>
      </w:pPr>
    </w:p>
    <w:p>
      <w:pPr>
        <w:ind w:right="180"/>
        <w:spacing w:after="0" w:line="236" w:lineRule="auto"/>
        <w:rPr>
          <w:sz w:val="20"/>
          <w:szCs w:val="20"/>
          <w:color w:val="auto"/>
        </w:rPr>
      </w:pPr>
      <w:r>
        <w:rPr>
          <w:rFonts w:ascii="Arial" w:cs="Arial" w:eastAsia="Arial" w:hAnsi="Arial"/>
          <w:sz w:val="22"/>
          <w:szCs w:val="22"/>
          <w:color w:val="auto"/>
        </w:rPr>
        <w:t>Company agrees to pay Consultant the sum of $6,000 for contract initiation related expenses within 15 days of the Effective Date.</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Actual expenses incurred in connection with the provision of Services will be reimbursed monthly with invoiced fees.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Expenses shall be itemized on invoice and accompanied by copies of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342900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40" w:top="436" w:right="559" w:bottom="1440" w:gutter="0" w:footer="0" w:header="0"/>
        </w:sectPr>
      </w:pPr>
    </w:p>
    <w:bookmarkStart w:id="83" w:name="page84"/>
    <w:bookmarkEnd w:id="8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4" w:name="page85"/>
    <w:bookmarkEnd w:id="84"/>
    <w:p>
      <w:pPr>
        <w:ind w:left="102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left="360" w:right="176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Robert J. Gould, certify that:</w:t>
      </w:r>
    </w:p>
    <w:p>
      <w:pPr>
        <w:spacing w:after="0" w:line="117" w:lineRule="exact"/>
        <w:rPr>
          <w:sz w:val="20"/>
          <w:szCs w:val="20"/>
          <w:color w:val="auto"/>
        </w:rPr>
      </w:pPr>
    </w:p>
    <w:p>
      <w:pPr>
        <w:ind w:left="700" w:hanging="183"/>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Fulcrum Therapeutics, Inc.;</w:t>
      </w:r>
    </w:p>
    <w:p>
      <w:pPr>
        <w:spacing w:after="0" w:line="117" w:lineRule="exact"/>
        <w:rPr>
          <w:rFonts w:ascii="Arial" w:cs="Arial" w:eastAsia="Arial" w:hAnsi="Arial"/>
          <w:sz w:val="18"/>
          <w:szCs w:val="18"/>
          <w:color w:val="auto"/>
        </w:rPr>
      </w:pPr>
    </w:p>
    <w:p>
      <w:pPr>
        <w:ind w:right="40" w:firstLine="517"/>
        <w:spacing w:after="0" w:line="342" w:lineRule="auto"/>
        <w:tabs>
          <w:tab w:leader="none" w:pos="689"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517"/>
        <w:spacing w:after="0" w:line="277" w:lineRule="auto"/>
        <w:tabs>
          <w:tab w:leader="none" w:pos="6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517"/>
        <w:spacing w:after="0" w:line="308" w:lineRule="auto"/>
        <w:tabs>
          <w:tab w:leader="none" w:pos="689" w:val="left"/>
        </w:tabs>
        <w:numPr>
          <w:ilvl w:val="0"/>
          <w:numId w:val="49"/>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 w:lineRule="exact"/>
        <w:rPr>
          <w:rFonts w:ascii="Arial" w:cs="Arial" w:eastAsia="Arial" w:hAnsi="Arial"/>
          <w:sz w:val="17"/>
          <w:szCs w:val="17"/>
          <w:color w:val="auto"/>
        </w:rPr>
      </w:pPr>
    </w:p>
    <w:p>
      <w:pPr>
        <w:ind w:left="520" w:right="320" w:firstLine="506"/>
        <w:spacing w:after="0" w:line="263" w:lineRule="auto"/>
        <w:tabs>
          <w:tab w:leader="none" w:pos="127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120" w:firstLine="506"/>
        <w:spacing w:after="0" w:line="263" w:lineRule="auto"/>
        <w:tabs>
          <w:tab w:leader="none" w:pos="128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240" w:firstLine="506"/>
        <w:spacing w:after="0" w:line="342" w:lineRule="auto"/>
        <w:tabs>
          <w:tab w:leader="none" w:pos="1274"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00" w:firstLine="506"/>
        <w:spacing w:after="0" w:line="263" w:lineRule="auto"/>
        <w:tabs>
          <w:tab w:leader="none" w:pos="128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640" w:firstLine="517"/>
        <w:spacing w:after="0" w:line="277" w:lineRule="auto"/>
        <w:tabs>
          <w:tab w:leader="none" w:pos="6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520" w:right="460" w:firstLine="506"/>
        <w:spacing w:after="0" w:line="308" w:lineRule="auto"/>
        <w:tabs>
          <w:tab w:leader="none" w:pos="1264"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40" w:firstLine="506"/>
        <w:spacing w:after="0" w:line="277" w:lineRule="auto"/>
        <w:tabs>
          <w:tab w:leader="none" w:pos="127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6280" w:val="left"/>
          <w:tab w:leader="none" w:pos="674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Robert J. Gould</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Interim President and Chief Executive Officer</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5" w:name="page86"/>
    <w:bookmarkEnd w:id="8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In connection with the Quarterly Report on Form 10-Q of Fulcrum Therapeutics, Inc. (the “Company”) for the period ended March 31, 2023, as filed with the Securities and Exchange Commission on the date hereof (the “Report”), the undersigned, Robert J. Gould, Interim President and Chief Executive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780" w:hanging="263"/>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3"/>
        <w:spacing w:after="0"/>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20"/>
        <w:spacing w:after="0"/>
        <w:tabs>
          <w:tab w:leader="none" w:pos="5540" w:val="left"/>
          <w:tab w:leader="none" w:pos="600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31750</wp:posOffset>
            </wp:positionV>
            <wp:extent cx="331787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4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Robert J. Gould</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Interim President and Chief Executive Officer</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46">
    <w:nsid w:val="32FFF902"/>
    <w:multiLevelType w:val="hybridMultilevel"/>
    <w:lvl w:ilvl="0">
      <w:lvlJc w:val="left"/>
      <w:lvlText w:val="%1."/>
      <w:numFmt w:val="decimal"/>
      <w:start w:val="6"/>
    </w:lvl>
  </w:abstractNum>
  <w:abstractNum w:abstractNumId="47">
    <w:nsid w:val="684A481A"/>
    <w:multiLevelType w:val="hybridMultilevel"/>
    <w:lvl w:ilvl="0">
      <w:lvlJc w:val="left"/>
      <w:lvlText w:val="(%1)"/>
      <w:numFmt w:val="upp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79" Type="http://schemas.openxmlformats.org/officeDocument/2006/relationships/hyperlink" Target="https://www.sec.gov/Archives/edgar/data/0001680581/000104746919004324/a2239321zex-3_1.htm" TargetMode="External"/><Relationship Id="rId180" Type="http://schemas.openxmlformats.org/officeDocument/2006/relationships/hyperlink" Target="https://www.sec.gov/Archives/edgar/data/0001680581/000104746919004324/a2239321z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2023-05-15T06:25:15Z</dcterms:created>
  <dcterms:modified xsi:type="dcterms:W3CDTF">2023-05-15T06:25:15Z</dcterms:modified>
</cp:coreProperties>
</file>