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660" w:right="1720" w:hanging="3652"/>
        <w:spacing w:after="0" w:line="360" w:lineRule="auto"/>
        <w:tabs>
          <w:tab w:leader="none" w:pos="3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-280670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80" w:type="dxa"/>
            <w:vAlign w:val="bottom"/>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47-4839948</w:t>
            </w:r>
          </w:p>
        </w:tc>
        <w:tc>
          <w:tcPr>
            <w:tcW w:w="0" w:type="dxa"/>
            <w:vAlign w:val="bottom"/>
          </w:tcPr>
          <w:p>
            <w:pPr>
              <w:spacing w:after="0"/>
              <w:rPr>
                <w:sz w:val="1"/>
                <w:szCs w:val="1"/>
                <w:color w:val="auto"/>
              </w:rPr>
            </w:pPr>
          </w:p>
        </w:tc>
      </w:tr>
      <w:tr>
        <w:trPr>
          <w:trHeight w:val="162"/>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80" w:type="dxa"/>
            <w:vAlign w:val="bottom"/>
          </w:tcPr>
          <w:p>
            <w:pPr>
              <w:jc w:val="center"/>
              <w:ind w:right="194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1"/>
        </w:trPr>
        <w:tc>
          <w:tcPr>
            <w:tcW w:w="4500" w:type="dxa"/>
            <w:vAlign w:val="bottom"/>
          </w:tcPr>
          <w:p>
            <w:pPr>
              <w:jc w:val="center"/>
              <w:ind w:left="1058"/>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580" w:type="dxa"/>
            <w:vAlign w:val="bottom"/>
          </w:tcPr>
          <w:p>
            <w:pPr>
              <w:jc w:val="center"/>
              <w:ind w:right="196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9"/>
        </w:trPr>
        <w:tc>
          <w:tcPr>
            <w:tcW w:w="4500" w:type="dxa"/>
            <w:vAlign w:val="bottom"/>
          </w:tcPr>
          <w:p>
            <w:pPr>
              <w:jc w:val="center"/>
              <w:ind w:left="1038"/>
              <w:spacing w:after="0" w:line="189" w:lineRule="exact"/>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80" w:type="dxa"/>
            <w:vAlign w:val="bottom"/>
            <w:vMerge w:val="restart"/>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227"/>
        </w:trPr>
        <w:tc>
          <w:tcPr>
            <w:tcW w:w="45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500" w:type="dxa"/>
            <w:vAlign w:val="bottom"/>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80" w:type="dxa"/>
            <w:vAlign w:val="bottom"/>
          </w:tcPr>
          <w:p>
            <w:pPr>
              <w:jc w:val="center"/>
              <w:ind w:right="19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93"/>
        </w:trPr>
        <w:tc>
          <w:tcPr>
            <w:tcW w:w="4500" w:type="dxa"/>
            <w:vAlign w:val="bottom"/>
          </w:tcPr>
          <w:p>
            <w:pPr>
              <w:spacing w:after="0"/>
              <w:rPr>
                <w:sz w:val="24"/>
                <w:szCs w:val="24"/>
                <w:color w:val="auto"/>
              </w:rPr>
            </w:pPr>
          </w:p>
        </w:tc>
        <w:tc>
          <w:tcPr>
            <w:tcW w:w="21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(617) 651-8851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60" w:type="dxa"/>
            <w:vAlign w:val="bottom"/>
            <w:gridSpan w:val="6"/>
          </w:tcPr>
          <w:p>
            <w:pPr>
              <w:jc w:val="center"/>
              <w:ind w:left="35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FULC</w:t>
            </w:r>
          </w:p>
        </w:tc>
        <w:tc>
          <w:tcPr>
            <w:tcW w:w="120" w:type="dxa"/>
            <w:vAlign w:val="bottom"/>
            <w:gridSpan w:val="2"/>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821"/>
              <w:spacing w:after="0"/>
              <w:rPr>
                <w:sz w:val="20"/>
                <w:szCs w:val="20"/>
                <w:color w:val="auto"/>
              </w:rPr>
            </w:pPr>
            <w:r>
              <w:rPr>
                <w:rFonts w:ascii="Times New Roman" w:cs="Times New Roman" w:eastAsia="Times New Roman" w:hAnsi="Times New Roman"/>
                <w:sz w:val="17"/>
                <w:szCs w:val="17"/>
                <w:color w:val="auto"/>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80" w:firstLine="509"/>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ind w:right="40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260" w:firstLine="509"/>
        <w:spacing w:after="0" w:line="24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81" w:right="339" w:bottom="1440" w:gutter="0" w:footer="0" w:header="0"/>
        </w:sectPr>
      </w:pPr>
    </w:p>
    <w:p>
      <w:pPr>
        <w:spacing w:after="0" w:line="149" w:lineRule="exact"/>
        <w:rPr>
          <w:sz w:val="24"/>
          <w:szCs w:val="24"/>
          <w:color w:val="auto"/>
        </w:rPr>
      </w:pPr>
    </w:p>
    <w:p>
      <w:pPr>
        <w:ind w:left="23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78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87" w:lineRule="exact"/>
        <w:rPr>
          <w:sz w:val="24"/>
          <w:szCs w:val="24"/>
          <w:color w:val="auto"/>
        </w:rPr>
      </w:pPr>
    </w:p>
    <w:p>
      <w:pPr>
        <w:sectPr>
          <w:pgSz w:w="11900" w:h="16838" w:orient="portrait"/>
          <w:cols w:equalWidth="0" w:num="2">
            <w:col w:w="8020" w:space="720"/>
            <w:col w:w="2500"/>
          </w:cols>
          <w:pgMar w:left="320" w:top="781" w:right="339" w:bottom="1440" w:gutter="0" w:footer="0" w:header="0"/>
          <w:type w:val="continuous"/>
        </w:sectPr>
      </w:pPr>
    </w:p>
    <w:p>
      <w:pPr>
        <w:ind w:left="23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781" w:right="339" w:bottom="1440" w:gutter="0" w:footer="0" w:header="0"/>
          <w:type w:val="continuous"/>
        </w:sectPr>
      </w:pPr>
    </w:p>
    <w:p>
      <w:pPr>
        <w:spacing w:after="0" w:line="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87" w:lineRule="exact"/>
        <w:rPr>
          <w:sz w:val="24"/>
          <w:szCs w:val="24"/>
          <w:color w:val="auto"/>
        </w:rPr>
      </w:pPr>
    </w:p>
    <w:p>
      <w:pPr>
        <w:sectPr>
          <w:pgSz w:w="11900" w:h="16838" w:orient="portrait"/>
          <w:cols w:equalWidth="0" w:num="2">
            <w:col w:w="8020" w:space="720"/>
            <w:col w:w="2500"/>
          </w:cols>
          <w:pgMar w:left="320" w:top="781" w:right="339" w:bottom="1440" w:gutter="0" w:footer="0" w:header="0"/>
          <w:type w:val="continuous"/>
        </w:sectPr>
      </w:pPr>
    </w:p>
    <w:p>
      <w:pPr>
        <w:spacing w:after="0" w:line="28"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2" w:lineRule="exact"/>
        <w:rPr>
          <w:sz w:val="24"/>
          <w:szCs w:val="24"/>
          <w:color w:val="auto"/>
        </w:rPr>
      </w:pPr>
    </w:p>
    <w:p>
      <w:pPr>
        <w:sectPr>
          <w:pgSz w:w="11900" w:h="16838" w:orient="portrait"/>
          <w:cols w:equalWidth="0" w:num="2">
            <w:col w:w="10600" w:space="500"/>
            <w:col w:w="140"/>
          </w:cols>
          <w:pgMar w:left="320" w:top="781" w:right="339" w:bottom="1440" w:gutter="0" w:footer="0" w:header="0"/>
          <w:type w:val="continuous"/>
        </w:sectPr>
      </w:pPr>
    </w:p>
    <w:p>
      <w:pPr>
        <w:spacing w:after="0" w:line="8" w:lineRule="exact"/>
        <w:rPr>
          <w:sz w:val="24"/>
          <w:szCs w:val="24"/>
          <w:color w:val="auto"/>
        </w:rPr>
      </w:pPr>
    </w:p>
    <w:p>
      <w:pPr>
        <w:ind w:right="2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520" w:right="1540"/>
        <w:spacing w:after="0" w:line="27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1, 2022, the registrant had 52,051,405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statements regarding:</w:t>
      </w:r>
    </w:p>
    <w:p>
      <w:pPr>
        <w:spacing w:after="0" w:line="168"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0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40"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FTX-6058 and any other product candidates, including in combination with other drugs and therapies;</w:t>
      </w:r>
    </w:p>
    <w:p>
      <w:pPr>
        <w:spacing w:after="0" w:line="6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FTX-6058 and any other product candidates;</w:t>
      </w:r>
    </w:p>
    <w:p>
      <w:pPr>
        <w:spacing w:after="0" w:line="5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03"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with MyoKardia, Inc., or MyoKardia, a wholly-owned subsidiary of Bristol-Myers Squibb Company;</w:t>
      </w:r>
    </w:p>
    <w:p>
      <w:pPr>
        <w:spacing w:after="0" w:line="40"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including our clinical trials and development plans, as well as our future financial results;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5"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9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69" w:lineRule="exact"/>
        <w:rPr>
          <w:sz w:val="20"/>
          <w:szCs w:val="20"/>
          <w:color w:val="auto"/>
        </w:rPr>
      </w:pPr>
    </w:p>
    <w:p>
      <w:pPr>
        <w:ind w:left="760" w:right="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$80.8 million for the year ended December 31, 2021 and $83.7 million for the nine months ended September 30, 2022. We expect to incur losses over the next several years and may never achieve or maintain profitability. As of September 30, 2022, we had an accumulated deficit of $386.2 million.</w:t>
      </w:r>
    </w:p>
    <w:p>
      <w:pPr>
        <w:spacing w:after="0" w:line="169"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17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48"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77" w:lineRule="exact"/>
        <w:rPr>
          <w:rFonts w:ascii="Times New Roman" w:cs="Times New Roman" w:eastAsia="Times New Roman" w:hAnsi="Times New Roman"/>
          <w:sz w:val="18"/>
          <w:szCs w:val="18"/>
          <w:color w:val="auto"/>
        </w:rPr>
      </w:pPr>
    </w:p>
    <w:p>
      <w:pPr>
        <w:ind w:left="760" w:right="14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69" w:lineRule="exact"/>
        <w:rPr>
          <w:rFonts w:ascii="Times New Roman" w:cs="Times New Roman" w:eastAsia="Times New Roman" w:hAnsi="Times New Roman"/>
          <w:sz w:val="18"/>
          <w:szCs w:val="18"/>
          <w:color w:val="auto"/>
        </w:rPr>
      </w:pPr>
    </w:p>
    <w:p>
      <w:pPr>
        <w:ind w:left="760" w:right="30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69"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9"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5"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 w:name="page4"/>
    <w:bookmarkEnd w:id="3"/>
    <w:p>
      <w:pPr>
        <w:ind w:left="380" w:right="30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69"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48" w:lineRule="exact"/>
        <w:rPr>
          <w:rFonts w:ascii="Times New Roman" w:cs="Times New Roman" w:eastAsia="Times New Roman" w:hAnsi="Times New Roman"/>
          <w:sz w:val="18"/>
          <w:szCs w:val="18"/>
          <w:color w:val="auto"/>
        </w:rPr>
      </w:pPr>
    </w:p>
    <w:p>
      <w:pPr>
        <w:jc w:val="both"/>
        <w:ind w:left="380" w:right="10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with third parties for the discovery, development or commercialization of product candidates, including our collaboration with MyoKardia. If our collaboration is not successful, we may not be able to capitalize on the market potential of these product candidates and our business could be adversely affected.</w:t>
      </w:r>
    </w:p>
    <w:p>
      <w:pPr>
        <w:spacing w:after="0" w:line="169" w:lineRule="exact"/>
        <w:rPr>
          <w:rFonts w:ascii="Times New Roman" w:cs="Times New Roman" w:eastAsia="Times New Roman" w:hAnsi="Times New Roman"/>
          <w:sz w:val="18"/>
          <w:szCs w:val="18"/>
          <w:color w:val="auto"/>
        </w:rPr>
      </w:pPr>
    </w:p>
    <w:p>
      <w:pPr>
        <w:ind w:left="380" w:hanging="378"/>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90" w:lineRule="exact"/>
        <w:rPr>
          <w:rFonts w:ascii="Times New Roman" w:cs="Times New Roman" w:eastAsia="Times New Roman" w:hAnsi="Times New Roman"/>
          <w:sz w:val="18"/>
          <w:szCs w:val="18"/>
          <w:color w:val="auto"/>
        </w:rPr>
      </w:pPr>
    </w:p>
    <w:p>
      <w:pPr>
        <w:ind w:left="380" w:right="520" w:hanging="378"/>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39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00" w:top="540"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0" w:type="dxa"/>
            <w:vAlign w:val="bottom"/>
            <w:gridSpan w:val="2"/>
            <w:vMerge w:val="continue"/>
          </w:tcPr>
          <w:p>
            <w:pPr>
              <w:spacing w:after="0"/>
              <w:rPr>
                <w:sz w:val="13"/>
                <w:szCs w:val="13"/>
                <w:color w:val="auto"/>
              </w:rPr>
            </w:pPr>
          </w:p>
        </w:tc>
        <w:tc>
          <w:tcPr>
            <w:tcW w:w="9840" w:type="dxa"/>
            <w:vAlign w:val="bottom"/>
            <w:gridSpan w:val="22"/>
            <w:vMerge w:val="continue"/>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Financial Statements</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3"/>
              </w:rPr>
              <w:t>Consolidated Balance</w:t>
            </w:r>
          </w:p>
        </w:tc>
        <w:tc>
          <w:tcPr>
            <w:tcW w:w="20" w:type="dxa"/>
            <w:vAlign w:val="bottom"/>
            <w:tcBorders>
              <w:top w:val="single" w:sz="8" w:color="0000EE"/>
              <w:bottom w:val="single" w:sz="8" w:color="0000FF"/>
            </w:tcBorders>
          </w:tcPr>
          <w:p>
            <w:pPr>
              <w:spacing w:after="0"/>
              <w:rPr>
                <w:sz w:val="15"/>
                <w:szCs w:val="15"/>
                <w:color w:val="auto"/>
              </w:rPr>
            </w:pPr>
          </w:p>
        </w:tc>
        <w:tc>
          <w:tcPr>
            <w:tcW w:w="4220" w:type="dxa"/>
            <w:vAlign w:val="bottom"/>
            <w:tcBorders>
              <w:bottom w:val="single" w:sz="8" w:color="0000FF"/>
            </w:tcBorders>
            <w:gridSpan w:val="10"/>
          </w:tcPr>
          <w:p>
            <w:pPr>
              <w:ind w:left="100"/>
              <w:spacing w:after="0" w:line="182" w:lineRule="exact"/>
              <w:rPr>
                <w:sz w:val="20"/>
                <w:szCs w:val="20"/>
                <w:color w:val="auto"/>
              </w:rPr>
            </w:pPr>
            <w:r>
              <w:rPr>
                <w:rFonts w:ascii="Times New Roman" w:cs="Times New Roman" w:eastAsia="Times New Roman" w:hAnsi="Times New Roman"/>
                <w:sz w:val="18"/>
                <w:szCs w:val="18"/>
                <w:color w:val="0000FF"/>
                <w:w w:val="99"/>
              </w:rPr>
              <w:t>Sheets as of September 30, 2022 and December 31, 2021</w:t>
            </w:r>
          </w:p>
        </w:tc>
        <w:tc>
          <w:tcPr>
            <w:tcW w:w="4100" w:type="dxa"/>
            <w:vAlign w:val="bottom"/>
            <w:gridSpan w:val="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nine months ended September 30, 2022 and 2021</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2022 and 2021</w:t>
            </w:r>
          </w:p>
        </w:tc>
        <w:tc>
          <w:tcPr>
            <w:tcW w:w="3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2022 and 2021</w:t>
            </w:r>
          </w:p>
        </w:tc>
        <w:tc>
          <w:tcPr>
            <w:tcW w:w="142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40" w:type="dxa"/>
            <w:vAlign w:val="bottom"/>
            <w:tcBorders>
              <w:top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00" w:type="dxa"/>
            <w:vAlign w:val="bottom"/>
            <w:gridSpan w:val="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1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w:t>
            </w:r>
          </w:p>
        </w:tc>
        <w:tc>
          <w:tcPr>
            <w:tcW w:w="20" w:type="dxa"/>
            <w:vAlign w:val="bottom"/>
            <w:tcBorders>
              <w:top w:val="single" w:sz="8" w:color="0000EE"/>
            </w:tcBorders>
          </w:tcPr>
          <w:p>
            <w:pPr>
              <w:spacing w:after="0"/>
              <w:rPr>
                <w:sz w:val="15"/>
                <w:szCs w:val="15"/>
                <w:color w:val="auto"/>
              </w:rPr>
            </w:pPr>
          </w:p>
        </w:tc>
        <w:tc>
          <w:tcPr>
            <w:tcW w:w="66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80" w:type="dxa"/>
            <w:vAlign w:val="bottom"/>
            <w:gridSpan w:val="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20" w:type="dxa"/>
            <w:vAlign w:val="bottom"/>
            <w:tcBorders>
              <w:top w:val="single" w:sz="8" w:color="0000EE"/>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7"/>
          </w:tcPr>
          <w:p>
            <w:pPr>
              <w:spacing w:after="0"/>
              <w:rPr>
                <w:sz w:val="15"/>
                <w:szCs w:val="15"/>
                <w:color w:val="auto"/>
              </w:rPr>
            </w:pPr>
          </w:p>
        </w:tc>
        <w:tc>
          <w:tcPr>
            <w:tcW w:w="2020" w:type="dxa"/>
            <w:vAlign w:val="bottom"/>
            <w:gridSpan w:val="3"/>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20" w:type="dxa"/>
            <w:vAlign w:val="bottom"/>
            <w:tcBorders>
              <w:top w:val="single" w:sz="8" w:color="0000EE"/>
            </w:tcBorders>
          </w:tcPr>
          <w:p>
            <w:pPr>
              <w:spacing w:after="0"/>
              <w:rPr>
                <w:sz w:val="15"/>
                <w:szCs w:val="15"/>
                <w:color w:val="auto"/>
              </w:rPr>
            </w:pPr>
          </w:p>
        </w:tc>
        <w:tc>
          <w:tcPr>
            <w:tcW w:w="8920" w:type="dxa"/>
            <w:vAlign w:val="bottom"/>
            <w:gridSpan w:val="19"/>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080" w:type="dxa"/>
            <w:vAlign w:val="bottom"/>
            <w:gridSpan w:val="1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520" w:type="dxa"/>
            <w:vAlign w:val="bottom"/>
            <w:gridSpan w:val="1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90,938</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182,750</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5,135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4,199</w:t>
            </w:r>
          </w:p>
        </w:tc>
      </w:tr>
      <w:tr>
        <w:trPr>
          <w:trHeight w:val="21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227,727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225,998</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7,375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2,098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247,805</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235,000</w:t>
            </w: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r>
      <w:tr>
        <w:trPr>
          <w:trHeight w:val="21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14,699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19,199</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2,582</w:t>
            </w:r>
          </w:p>
        </w:tc>
      </w:tr>
      <w:tr>
        <w:trPr>
          <w:trHeight w:val="21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26,391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23,461</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7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$0.001 par value; 200,000,000 shares authorized; 52,049,913 and 40,636,398 shares</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4"/>
        </w:trPr>
        <w:tc>
          <w:tcPr>
            <w:tcW w:w="77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issued as of September 30, 2022 and December 31, 2021, respectively; 52,049,913 and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40,626,224 shares outstanding as of September 30, 2022 and December 31, 2021, respectively</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no shares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608,486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514,362</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(386,203 )</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(302,467 )</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221,414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211,539</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247,805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235,000</w:t>
            </w: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-4319905</wp:posOffset>
            </wp:positionV>
            <wp:extent cx="1028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-3479800</wp:posOffset>
            </wp:positionV>
            <wp:extent cx="10287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-1799590</wp:posOffset>
            </wp:positionV>
            <wp:extent cx="1028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5,657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14,105</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15,366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17,077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58,216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50,789</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9,707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31,564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20,811</w:t>
            </w: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25,538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90,245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71,600</w:t>
            </w: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(20,770 )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(84,588 )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(57,495 )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(23,738 )</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(20,716 )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(83,736 )</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(57,363 )</w:t>
            </w:r>
          </w:p>
        </w:tc>
      </w:tr>
      <w:tr>
        <w:trPr>
          <w:trHeight w:val="196"/>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(0.51 )</w:t>
            </w:r>
          </w:p>
        </w:tc>
        <w:tc>
          <w:tcPr>
            <w:tcW w:w="50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(0.57 )</w:t>
            </w:r>
          </w:p>
        </w:tc>
        <w:tc>
          <w:tcPr>
            <w:tcW w:w="4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(1.97 )</w:t>
            </w:r>
          </w:p>
        </w:tc>
        <w:tc>
          <w:tcPr>
            <w:tcW w:w="5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46,213</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36,606</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42,603</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33,603</w:t>
            </w:r>
          </w:p>
        </w:tc>
      </w:tr>
      <w:tr>
        <w:trPr>
          <w:trHeight w:val="197"/>
        </w:trPr>
        <w:tc>
          <w:tcPr>
            <w:tcW w:w="5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(23,738 )</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(83,736 )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(57,363 )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9"/>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(23,591 )</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(84,260 )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(57,448 )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-1928495</wp:posOffset>
            </wp:positionV>
            <wp:extent cx="857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-1928495</wp:posOffset>
            </wp:positionV>
            <wp:extent cx="857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-1928495</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-1353820</wp:posOffset>
            </wp:positionV>
            <wp:extent cx="183451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-1028065</wp:posOffset>
            </wp:positionV>
            <wp:extent cx="183451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4515" cy="1631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right="1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8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6"/>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27,941,566</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316,775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(221,620 )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95,181</w:t>
            </w:r>
          </w:p>
        </w:tc>
        <w:tc>
          <w:tcPr>
            <w:tcW w:w="0" w:type="dxa"/>
            <w:vAlign w:val="bottom"/>
          </w:tcPr>
          <w:p>
            <w:pPr>
              <w:spacing w:after="0"/>
              <w:rPr>
                <w:sz w:val="1"/>
                <w:szCs w:val="1"/>
                <w:color w:val="auto"/>
              </w:rPr>
            </w:pPr>
          </w:p>
        </w:tc>
      </w:tr>
      <w:tr>
        <w:trPr>
          <w:trHeight w:val="95"/>
        </w:trPr>
        <w:tc>
          <w:tcPr>
            <w:tcW w:w="3120" w:type="dxa"/>
            <w:vAlign w:val="bottom"/>
          </w:tcPr>
          <w:p>
            <w:pPr>
              <w:ind w:left="160"/>
              <w:spacing w:after="0" w:line="95" w:lineRule="exact"/>
              <w:rPr>
                <w:sz w:val="20"/>
                <w:szCs w:val="20"/>
                <w:color w:val="auto"/>
              </w:rPr>
            </w:pPr>
            <w:r>
              <w:rPr>
                <w:rFonts w:ascii="Times New Roman" w:cs="Times New Roman" w:eastAsia="Times New Roman" w:hAnsi="Times New Roman"/>
                <w:sz w:val="10"/>
                <w:szCs w:val="10"/>
                <w:color w:val="auto"/>
              </w:rPr>
              <w:t>Issuance of common stock in connection with public offering,</w:t>
            </w: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issuance costs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4,600,000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47,402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47,407</w:t>
            </w:r>
          </w:p>
        </w:tc>
        <w:tc>
          <w:tcPr>
            <w:tcW w:w="0" w:type="dxa"/>
            <w:vAlign w:val="bottom"/>
          </w:tcPr>
          <w:p>
            <w:pPr>
              <w:spacing w:after="0"/>
              <w:rPr>
                <w:sz w:val="1"/>
                <w:szCs w:val="1"/>
                <w:color w:val="auto"/>
              </w:rPr>
            </w:pPr>
          </w:p>
        </w:tc>
      </w:tr>
      <w:tr>
        <w:trPr>
          <w:trHeight w:val="139"/>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11,888</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awards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40,982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 of unvested restricted stock awards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1,836</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Retirement of treasury shares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(1,836 )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2,073</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on marketable securities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5"/>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(16,999 )</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(16,999 )</w:t>
            </w:r>
          </w:p>
        </w:tc>
        <w:tc>
          <w:tcPr>
            <w:tcW w:w="0" w:type="dxa"/>
            <w:vAlign w:val="bottom"/>
          </w:tcPr>
          <w:p>
            <w:pPr>
              <w:spacing w:after="0"/>
              <w:rPr>
                <w:sz w:val="1"/>
                <w:szCs w:val="1"/>
                <w:color w:val="auto"/>
              </w:rPr>
            </w:pPr>
          </w:p>
        </w:tc>
      </w:tr>
      <w:tr>
        <w:trPr>
          <w:trHeight w:val="128"/>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2021</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32,594,436</w:t>
            </w:r>
          </w:p>
        </w:tc>
        <w:tc>
          <w:tcPr>
            <w:tcW w:w="78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366,344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(238,619 )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127,754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30,008</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ind w:lef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242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242</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awards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35,296</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 of unvested restricted stock awards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2,435</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Retirement of treasury shares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(2,414 )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2,546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2,546</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on marketable securities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(19,648 )</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(19,648 )</w:t>
            </w:r>
          </w:p>
        </w:tc>
        <w:tc>
          <w:tcPr>
            <w:tcW w:w="0" w:type="dxa"/>
            <w:vAlign w:val="bottom"/>
          </w:tcPr>
          <w:p>
            <w:pPr>
              <w:spacing w:after="0"/>
              <w:rPr>
                <w:sz w:val="1"/>
                <w:szCs w:val="1"/>
                <w:color w:val="auto"/>
              </w:rPr>
            </w:pPr>
          </w:p>
        </w:tc>
      </w:tr>
      <w:tr>
        <w:trPr>
          <w:trHeight w:val="128"/>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June 30, 2021</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32,659,740</w:t>
            </w:r>
          </w:p>
        </w:tc>
        <w:tc>
          <w:tcPr>
            <w:tcW w:w="78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w:t>
            </w:r>
          </w:p>
        </w:tc>
        <w:tc>
          <w:tcPr>
            <w:tcW w:w="9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21</w:t>
            </w:r>
          </w:p>
        </w:tc>
        <w:tc>
          <w:tcPr>
            <w:tcW w:w="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369,133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(258,267 )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110,890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120" w:type="dxa"/>
            <w:vAlign w:val="bottom"/>
            <w:shd w:val="clear" w:color="auto" w:fill="CFF0FC"/>
          </w:tcPr>
          <w:p>
            <w:pPr>
              <w:ind w:left="160"/>
              <w:spacing w:after="0" w:line="75" w:lineRule="exact"/>
              <w:rPr>
                <w:sz w:val="20"/>
                <w:szCs w:val="20"/>
                <w:color w:val="auto"/>
              </w:rPr>
            </w:pPr>
            <w:r>
              <w:rPr>
                <w:rFonts w:ascii="Times New Roman" w:cs="Times New Roman" w:eastAsia="Times New Roman" w:hAnsi="Times New Roman"/>
                <w:sz w:val="8"/>
                <w:szCs w:val="8"/>
                <w:color w:val="auto"/>
              </w:rPr>
              <w:t>Issuance of common stock in connection with public offering,</w:t>
            </w:r>
          </w:p>
        </w:tc>
        <w:tc>
          <w:tcPr>
            <w:tcW w:w="8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of issuance costs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7,590,000</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135,443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135,451</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249,622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2,403</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awards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26,623</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 of unvested restricted stock awards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536</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Retirement of treasury shares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(557 )</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2,658</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Unrealized loss on marketable securities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(78 )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(78 )</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(20,716 )</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(20,716 )</w:t>
            </w:r>
          </w:p>
        </w:tc>
        <w:tc>
          <w:tcPr>
            <w:tcW w:w="0" w:type="dxa"/>
            <w:vAlign w:val="bottom"/>
          </w:tcPr>
          <w:p>
            <w:pPr>
              <w:spacing w:after="0"/>
              <w:rPr>
                <w:sz w:val="1"/>
                <w:szCs w:val="1"/>
                <w:color w:val="auto"/>
              </w:rPr>
            </w:pPr>
          </w:p>
        </w:tc>
      </w:tr>
      <w:tr>
        <w:trPr>
          <w:trHeight w:val="168"/>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September 30, 2021</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40,525,985</w:t>
            </w: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509,638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(87 )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(278,983 )</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230,609</w:t>
            </w:r>
          </w:p>
        </w:tc>
        <w:tc>
          <w:tcPr>
            <w:tcW w:w="0" w:type="dxa"/>
            <w:vAlign w:val="bottom"/>
          </w:tcPr>
          <w:p>
            <w:pPr>
              <w:spacing w:after="0"/>
              <w:rPr>
                <w:sz w:val="1"/>
                <w:szCs w:val="1"/>
                <w:color w:val="auto"/>
              </w:rPr>
            </w:pPr>
          </w:p>
        </w:tc>
      </w:tr>
      <w:tr>
        <w:trPr>
          <w:trHeight w:val="116"/>
        </w:trPr>
        <w:tc>
          <w:tcPr>
            <w:tcW w:w="31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Balance at December 31, 2021</w:t>
            </w:r>
          </w:p>
        </w:tc>
        <w:tc>
          <w:tcPr>
            <w:tcW w:w="84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40,626,224</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0"/>
                <w:szCs w:val="10"/>
                <w:color w:val="auto"/>
              </w:rPr>
            </w:pPr>
          </w:p>
        </w:tc>
        <w:tc>
          <w:tcPr>
            <w:tcW w:w="86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514,362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
              <w:spacing w:after="0" w:line="116" w:lineRule="exact"/>
              <w:rPr>
                <w:sz w:val="20"/>
                <w:szCs w:val="20"/>
                <w:color w:val="auto"/>
              </w:rPr>
            </w:pPr>
            <w:r>
              <w:rPr>
                <w:rFonts w:ascii="Times New Roman" w:cs="Times New Roman" w:eastAsia="Times New Roman" w:hAnsi="Times New Roman"/>
                <w:sz w:val="11"/>
                <w:szCs w:val="11"/>
                <w:color w:val="auto"/>
              </w:rPr>
              <w:t>(397 )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
              <w:spacing w:after="0" w:line="116" w:lineRule="exact"/>
              <w:rPr>
                <w:sz w:val="20"/>
                <w:szCs w:val="20"/>
                <w:color w:val="auto"/>
              </w:rPr>
            </w:pPr>
            <w:r>
              <w:rPr>
                <w:rFonts w:ascii="Times New Roman" w:cs="Times New Roman" w:eastAsia="Times New Roman" w:hAnsi="Times New Roman"/>
                <w:sz w:val="11"/>
                <w:szCs w:val="11"/>
                <w:color w:val="auto"/>
              </w:rPr>
              <w:t>(302,467 )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211,539</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47,627</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395</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awards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9,754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3,847</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on marketable securities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(693 )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(693 )</w:t>
            </w:r>
          </w:p>
        </w:tc>
        <w:tc>
          <w:tcPr>
            <w:tcW w:w="0" w:type="dxa"/>
            <w:vAlign w:val="bottom"/>
          </w:tcPr>
          <w:p>
            <w:pPr>
              <w:spacing w:after="0"/>
              <w:rPr>
                <w:sz w:val="1"/>
                <w:szCs w:val="1"/>
                <w:color w:val="auto"/>
              </w:rPr>
            </w:pPr>
          </w:p>
        </w:tc>
      </w:tr>
      <w:tr>
        <w:trPr>
          <w:trHeight w:val="135"/>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(25,928 )</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(25,928 )</w:t>
            </w:r>
          </w:p>
        </w:tc>
        <w:tc>
          <w:tcPr>
            <w:tcW w:w="0" w:type="dxa"/>
            <w:vAlign w:val="bottom"/>
          </w:tcPr>
          <w:p>
            <w:pPr>
              <w:spacing w:after="0"/>
              <w:rPr>
                <w:sz w:val="1"/>
                <w:szCs w:val="1"/>
                <w:color w:val="auto"/>
              </w:rPr>
            </w:pPr>
          </w:p>
        </w:tc>
      </w:tr>
      <w:tr>
        <w:trPr>
          <w:trHeight w:val="129"/>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2022</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40,683,605</w:t>
            </w:r>
          </w:p>
        </w:tc>
        <w:tc>
          <w:tcPr>
            <w:tcW w:w="78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518,604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(1,090 )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(328,395 )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189,160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324,180</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ind w:lef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2,764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2,764</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awards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2,879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2,879</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on marketable securities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5"/>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(34,070 )</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(34,070 )</w:t>
            </w:r>
          </w:p>
        </w:tc>
        <w:tc>
          <w:tcPr>
            <w:tcW w:w="0" w:type="dxa"/>
            <w:vAlign w:val="bottom"/>
          </w:tcPr>
          <w:p>
            <w:pPr>
              <w:spacing w:after="0"/>
              <w:rPr>
                <w:sz w:val="1"/>
                <w:szCs w:val="1"/>
                <w:color w:val="auto"/>
              </w:rPr>
            </w:pPr>
          </w:p>
        </w:tc>
      </w:tr>
      <w:tr>
        <w:trPr>
          <w:trHeight w:val="128"/>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June 30, 2022</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41,008,205</w:t>
            </w:r>
          </w:p>
        </w:tc>
        <w:tc>
          <w:tcPr>
            <w:tcW w:w="78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524,247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(1,068 )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(362,465 )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160,755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120" w:type="dxa"/>
            <w:vAlign w:val="bottom"/>
            <w:shd w:val="clear" w:color="auto" w:fill="CFF0FC"/>
          </w:tcPr>
          <w:p>
            <w:pPr>
              <w:ind w:left="160"/>
              <w:spacing w:after="0" w:line="75" w:lineRule="exact"/>
              <w:rPr>
                <w:sz w:val="20"/>
                <w:szCs w:val="20"/>
                <w:color w:val="auto"/>
              </w:rPr>
            </w:pPr>
            <w:r>
              <w:rPr>
                <w:rFonts w:ascii="Times New Roman" w:cs="Times New Roman" w:eastAsia="Times New Roman" w:hAnsi="Times New Roman"/>
                <w:sz w:val="8"/>
                <w:szCs w:val="8"/>
                <w:color w:val="auto"/>
              </w:rPr>
              <w:t>Issuance of common stock in connection with public offering,</w:t>
            </w:r>
          </w:p>
        </w:tc>
        <w:tc>
          <w:tcPr>
            <w:tcW w:w="8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of issuance costs</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11,029,410</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80,793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80,804</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12,298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3,353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3,353</w:t>
            </w:r>
          </w:p>
        </w:tc>
        <w:tc>
          <w:tcPr>
            <w:tcW w:w="0" w:type="dxa"/>
            <w:vAlign w:val="bottom"/>
          </w:tcPr>
          <w:p>
            <w:pPr>
              <w:spacing w:after="0"/>
              <w:rPr>
                <w:sz w:val="1"/>
                <w:szCs w:val="1"/>
                <w:color w:val="auto"/>
              </w:rPr>
            </w:pPr>
          </w:p>
        </w:tc>
      </w:tr>
      <w:tr>
        <w:trPr>
          <w:trHeight w:val="135"/>
        </w:trPr>
        <w:tc>
          <w:tcPr>
            <w:tcW w:w="3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on marketable securities</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w:t>
            </w:r>
          </w:p>
        </w:tc>
        <w:tc>
          <w:tcPr>
            <w:tcW w:w="0" w:type="dxa"/>
            <w:vAlign w:val="bottom"/>
          </w:tcPr>
          <w:p>
            <w:pPr>
              <w:spacing w:after="0"/>
              <w:rPr>
                <w:sz w:val="1"/>
                <w:szCs w:val="1"/>
                <w:color w:val="auto"/>
              </w:rPr>
            </w:pPr>
          </w:p>
        </w:tc>
      </w:tr>
      <w:tr>
        <w:trPr>
          <w:trHeight w:val="135"/>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(23,738 )</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(23,738 )</w:t>
            </w:r>
          </w:p>
        </w:tc>
        <w:tc>
          <w:tcPr>
            <w:tcW w:w="0" w:type="dxa"/>
            <w:vAlign w:val="bottom"/>
          </w:tcPr>
          <w:p>
            <w:pPr>
              <w:spacing w:after="0"/>
              <w:rPr>
                <w:sz w:val="1"/>
                <w:szCs w:val="1"/>
                <w:color w:val="auto"/>
              </w:rPr>
            </w:pPr>
          </w:p>
        </w:tc>
      </w:tr>
      <w:tr>
        <w:trPr>
          <w:trHeight w:val="128"/>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September 30, 2022</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52,049,913</w:t>
            </w:r>
          </w:p>
        </w:tc>
        <w:tc>
          <w:tcPr>
            <w:tcW w:w="78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608,486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(386,203 )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221,414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-3531235</wp:posOffset>
            </wp:positionV>
            <wp:extent cx="7683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7747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-3531235</wp:posOffset>
            </wp:positionV>
            <wp:extent cx="7747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-3531235</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-3531235</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-3531235</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-3531235</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-2811145</wp:posOffset>
            </wp:positionV>
            <wp:extent cx="7683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-2811145</wp:posOffset>
            </wp:positionV>
            <wp:extent cx="7747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-2811145</wp:posOffset>
            </wp:positionV>
            <wp:extent cx="7747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-2811145</wp:posOffset>
            </wp:positionV>
            <wp:extent cx="6858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-2811145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-2811145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-2811145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-1833880</wp:posOffset>
            </wp:positionV>
            <wp:extent cx="400304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03040" cy="11176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-1293495</wp:posOffset>
            </wp:positionV>
            <wp:extent cx="7683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-1293495</wp:posOffset>
            </wp:positionV>
            <wp:extent cx="7747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-1293495</wp:posOffset>
            </wp:positionV>
            <wp:extent cx="7747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-1293495</wp:posOffset>
            </wp:positionV>
            <wp:extent cx="6858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-1293495</wp:posOffset>
            </wp:positionV>
            <wp:extent cx="685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-1293495</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-1293495</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-744855</wp:posOffset>
            </wp:positionV>
            <wp:extent cx="7683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-744855</wp:posOffset>
            </wp:positionV>
            <wp:extent cx="7747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-744855</wp:posOffset>
            </wp:positionV>
            <wp:extent cx="7747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-744855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-744855</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-744855</wp:posOffset>
            </wp:positionV>
            <wp:extent cx="6858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-744855</wp:posOffset>
            </wp:positionV>
            <wp:extent cx="6858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-119380</wp:posOffset>
            </wp:positionV>
            <wp:extent cx="7683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-119380</wp:posOffset>
            </wp:positionV>
            <wp:extent cx="7747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774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-119380</wp:posOffset>
            </wp:positionV>
            <wp:extent cx="6858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-119380</wp:posOffset>
            </wp:positionV>
            <wp:extent cx="6858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-119380</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-119380</wp:posOffset>
            </wp:positionV>
            <wp:extent cx="6858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(83,736 )</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(57,363 )</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1,823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1,894</w:t>
            </w: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10,079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7,277</w:t>
            </w: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amortization of premiums on marketable securities</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(570 )</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2,745</w:t>
            </w:r>
          </w:p>
        </w:tc>
      </w:tr>
      <w:tr>
        <w:trPr>
          <w:trHeight w:val="203"/>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(11,750 )</w:t>
            </w: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(77,354 )</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(56,620 )</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(67,864 )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(181,349 )</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118,486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61,968</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(1,194 )</w:t>
            </w: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48,775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(120,575 )</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80,853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182,934</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3,252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2,699</w:t>
            </w: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84,105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185,616</w:t>
            </w: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55,526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8,421</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36,504</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58,144</w:t>
            </w:r>
          </w:p>
        </w:tc>
      </w:tr>
      <w:tr>
        <w:trPr>
          <w:trHeight w:val="23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92,030</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66,565</w:t>
            </w:r>
          </w:p>
        </w:tc>
      </w:tr>
      <w:tr>
        <w:trPr>
          <w:trHeight w:val="18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2,219</w:t>
            </w:r>
          </w:p>
        </w:tc>
        <w:tc>
          <w:tcPr>
            <w:tcW w:w="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Offering costs unpaid at end of period</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-2515870</wp:posOffset>
            </wp:positionV>
            <wp:extent cx="1028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-1212850</wp:posOffset>
            </wp:positionV>
            <wp:extent cx="10287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-673100</wp:posOffset>
            </wp:positionV>
            <wp:extent cx="10287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90,938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65,473</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1,092</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92,030</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66,565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6" w:lineRule="exact"/>
        <w:rPr>
          <w:sz w:val="20"/>
          <w:szCs w:val="20"/>
          <w:color w:val="auto"/>
        </w:rPr>
      </w:pPr>
    </w:p>
    <w:p>
      <w:pPr>
        <w:ind w:right="640" w:firstLine="509"/>
        <w:spacing w:after="0" w:line="250"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63"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w:t>
      </w:r>
    </w:p>
    <w:p>
      <w:pPr>
        <w:spacing w:after="0"/>
        <w:rPr>
          <w:sz w:val="20"/>
          <w:szCs w:val="20"/>
          <w:color w:val="auto"/>
        </w:rPr>
      </w:pPr>
      <w:r>
        <w:rPr>
          <w:rFonts w:ascii="Times New Roman" w:cs="Times New Roman" w:eastAsia="Times New Roman" w:hAnsi="Times New Roman"/>
          <w:sz w:val="18"/>
          <w:szCs w:val="18"/>
          <w:color w:val="auto"/>
        </w:rPr>
        <w:t>Standards Codification (“ASC”) and Accounting Standards Updates (“ASU”) of the Financial Accounting Standards Board (“FASB”).</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recently audited annual consolidated financial statements and, in the opinion of management, reflect all normal recurring adjustments necessary for the fair presentation of the Company’s financial position as of September 30, 2022 and the results of its operations and its cash flows for the three and nine months</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ended September 30, 2022 and 2021. The results for the three and nine months ended September 30, 2022 are not necessarily indicative of results to be expected for the year ending December 31, 2022, any other interim periods, or any future year or period. These consolidated financial statements should be read in conjunction with the Company’s audited consolidated financial statements and the notes thereto for the year ended December 31, 2021 included in</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the Company’s Annual Report on Form 10-K filed with the Securities and Exchange Commission (the “SEC”) on March 3, 2022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0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169"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In August 2022, the Company completed a public offering of its common stock and issued and sold 11,029,410 shares of common stock at a public offering price of $7.82 per share, resulting in net proceeds of $80.8 million after deducting underwriting discounts and commissions and offering expenses.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ind w:right="80" w:firstLine="509"/>
        <w:spacing w:after="0" w:line="22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 owned subsidiary of Bristol Myers Squibb Company. As of September 30, 2022, the Company had an accumulated deficit of $386.2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6"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There have been no material changes in the Company’s significant accounting policies during the nine months ended September 30, 2022, except as noted below with respect to the Company’s accounting policies related to leases and restructuring expenses.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For contracts entered into on or after the effective date,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16" w:lineRule="exact"/>
        <w:rPr>
          <w:sz w:val="20"/>
          <w:szCs w:val="20"/>
          <w:color w:val="auto"/>
        </w:rPr>
      </w:pPr>
    </w:p>
    <w:p>
      <w:pPr>
        <w:ind w:firstLine="8"/>
        <w:spacing w:after="0" w:line="246"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181"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0" w:right="399" w:bottom="1440" w:gutter="0" w:footer="0" w:header="0"/>
        </w:sectPr>
      </w:pPr>
    </w:p>
    <w:bookmarkStart w:id="11" w:name="page12"/>
    <w:bookmarkEnd w:id="11"/>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Expenses</w:t>
      </w:r>
    </w:p>
    <w:p>
      <w:pPr>
        <w:spacing w:after="0" w:line="22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The Company records costs and liabilities associated with exit and disposal activities in accordance with Accounting Standards Codification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Such costs are based on estimates of fair value in the period liabilities are incurred. The Company evaluates and adjusts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as appropriate for changes in circumstances as additional information becomes available.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1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22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requires that credit losses be reported using an expected losses model rather than the incurred losses model that is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7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21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February 2016, the FASB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permits entities to continue applying legacy guidance in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including its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the comparative periods presented in the year that the entity adopts the new leasing standard. Under this transition method, the cumulative effect of initially applying ASU 2016-02, as amended, is recognized as an adjustment to the opening balance of retained earnings or accumulated deficit at the beginning of the annual reporting period that includes the date of initial application.</w:t>
      </w:r>
    </w:p>
    <w:p>
      <w:pPr>
        <w:spacing w:after="0" w:line="18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Accordingly, the Company adopted the new standard effective January 1, 2022 using the transition method permitted by ASU 2016-02, as amended. In adopting the new standard, the Company elected to utilize certain available expedients by electing the transition package of practical expedients permitted within ASU 2016-02, which allow the Company to not reassess previous accounting conclusions around whether arrangements are, or contain, leases, the classification of existing or expired leases, and the treatment of previous initial direct costs that would qualify for capitalization under the new standard. The Company elected to apply the practical expedient to not separate lease and non-lease components for new and modified leases. The Company also made an accounting policy election to exclude leases with an initial term of twelve months or less from the balance sheet.</w:t>
      </w:r>
    </w:p>
    <w:p>
      <w:pPr>
        <w:spacing w:after="0" w:line="180"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Upon the adoption of ASU 2016-02, as amended, the Company removed its legacy deferred rent balances that were previously recorded under ASC 840 and established an operating lease right-of-use asset of $10.8 million, an operating lease liability, current of $2.2 million and an operating lease liability, net of current portion of $13.4 million, all relating to the Company’s existing operating leases for office and laboratory space. The following table presents a summary of the amount by which each financial statement line item was affected by the adoption of ASU 2016-02, as amended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Prior to the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ind w:left="17"/>
              <w:spacing w:after="0" w:line="131" w:lineRule="exact"/>
              <w:rPr>
                <w:sz w:val="20"/>
                <w:szCs w:val="20"/>
                <w:color w:val="auto"/>
              </w:rPr>
            </w:pPr>
            <w:r>
              <w:rPr>
                <w:rFonts w:ascii="Times New Roman" w:cs="Times New Roman" w:eastAsia="Times New Roman" w:hAnsi="Times New Roman"/>
                <w:sz w:val="14"/>
                <w:szCs w:val="14"/>
                <w:b w:val="1"/>
                <w:bCs w:val="1"/>
                <w:color w:val="auto"/>
              </w:rPr>
              <w:t>Subsequent to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6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vMerge w:val="restart"/>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20" w:type="dxa"/>
            <w:vAlign w:val="bottom"/>
          </w:tcPr>
          <w:p>
            <w:pPr>
              <w:spacing w:after="0"/>
              <w:rPr>
                <w:sz w:val="7"/>
                <w:szCs w:val="7"/>
                <w:color w:val="auto"/>
              </w:rPr>
            </w:pPr>
          </w:p>
        </w:tc>
        <w:tc>
          <w:tcPr>
            <w:tcW w:w="1560" w:type="dxa"/>
            <w:vAlign w:val="bottom"/>
            <w:gridSpan w:val="3"/>
            <w:vMerge w:val="restart"/>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Effect of Adoption</w:t>
            </w:r>
          </w:p>
        </w:tc>
        <w:tc>
          <w:tcPr>
            <w:tcW w:w="1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6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1460" w:type="dxa"/>
            <w:vAlign w:val="bottom"/>
            <w:vMerge w:val="restart"/>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2016-20, as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46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2016, as Amended</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6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6"/>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(2,582 )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4640" w:type="dxa"/>
            <w:vAlign w:val="bottom"/>
          </w:tcPr>
          <w:p>
            <w:pPr>
              <w:spacing w:after="0"/>
              <w:rPr>
                <w:sz w:val="24"/>
                <w:szCs w:val="24"/>
                <w:color w:val="auto"/>
              </w:rPr>
            </w:pPr>
          </w:p>
        </w:tc>
        <w:tc>
          <w:tcPr>
            <w:tcW w:w="20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adoption of ASU 2016-02, as amended, did not have a material impact on the consolidated statements of operations and comprehensive loss or the consolidated statement of cash flows for the three and nine months ended September 30, 2022. See Note 13, “Commitments and Contingencies”, for further information on the application of ASU 2016-02, as amended, to the Company’s operating lease for its existing operating leases for office and laboratory space.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September 30, 2022 and December 31, 2021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38,038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23,982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41,041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41,041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72,587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72,587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221,789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38,038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183,751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20"/>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35,412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81,382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101,368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101,368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218,162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35,412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182,750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-1344930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-1328420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-1344930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-1328420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-1344930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-1328420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nine months ended September 30,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September 30, 2022 and December 31, 2021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left="16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left="28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3"/>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000" w:type="dxa"/>
            <w:vAlign w:val="bottom"/>
          </w:tcPr>
          <w:p>
            <w:pPr>
              <w:jc w:val="center"/>
              <w:ind w:left="165"/>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38,038</w:t>
            </w:r>
          </w:p>
        </w:tc>
        <w:tc>
          <w:tcPr>
            <w:tcW w:w="1140" w:type="dxa"/>
            <w:vAlign w:val="bottom"/>
            <w:gridSpan w:val="2"/>
          </w:tcPr>
          <w:p>
            <w:pPr>
              <w:jc w:val="right"/>
              <w:ind w:right="82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2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38,038</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23,979</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28,924</w:t>
            </w: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28,918</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90,941</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90,938</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17,258</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17,223</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41,135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41,041</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73,376</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(789 )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72,587</w:t>
            </w:r>
          </w:p>
        </w:tc>
        <w:tc>
          <w:tcPr>
            <w:tcW w:w="0" w:type="dxa"/>
            <w:vAlign w:val="bottom"/>
          </w:tcPr>
          <w:p>
            <w:pPr>
              <w:spacing w:after="0"/>
              <w:rPr>
                <w:sz w:val="1"/>
                <w:szCs w:val="1"/>
                <w:color w:val="auto"/>
              </w:rPr>
            </w:pPr>
          </w:p>
        </w:tc>
      </w:tr>
      <w:tr>
        <w:trPr>
          <w:trHeight w:val="20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131,769</w:t>
            </w: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(918 )</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130,851</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222,710</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(925 )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221,789</w:t>
            </w:r>
          </w:p>
        </w:tc>
        <w:tc>
          <w:tcPr>
            <w:tcW w:w="0" w:type="dxa"/>
            <w:vAlign w:val="bottom"/>
          </w:tcPr>
          <w:p>
            <w:pPr>
              <w:spacing w:after="0"/>
              <w:rPr>
                <w:sz w:val="1"/>
                <w:szCs w:val="1"/>
                <w:color w:val="auto"/>
              </w:rPr>
            </w:pPr>
          </w:p>
        </w:tc>
      </w:tr>
      <w:tr>
        <w:trPr>
          <w:trHeight w:val="615"/>
        </w:trPr>
        <w:tc>
          <w:tcPr>
            <w:tcW w:w="472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-796290</wp:posOffset>
            </wp:positionV>
            <wp:extent cx="8572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-796290</wp:posOffset>
            </wp:positionV>
            <wp:extent cx="8572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-796290</wp:posOffset>
            </wp:positionV>
            <wp:extent cx="8572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-504825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-488315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-504825</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-488315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-504825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-488315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3"/>
        </w:trPr>
        <w:tc>
          <w:tcPr>
            <w:tcW w:w="5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4"/>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8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0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7"/>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0"/>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81,450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81,382</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101,697</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(329 )</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101,368</w:t>
            </w:r>
          </w:p>
        </w:tc>
      </w:tr>
      <w:tr>
        <w:trPr>
          <w:trHeight w:val="209"/>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183,147</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182,750</w:t>
            </w: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218,559</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218,162</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857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7683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7747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380"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nine months ended September 30, 2022. As of September 30, 2022, the aggregate fair value of marketable securities that were in an unrealized loss position for less than twelve months was $79.7 million. As of September 30, 2022, the aggregate fair value of marketable securities that were in an unrealized loss position for greater than twelve months was $43.7 million.</w:t>
      </w:r>
    </w:p>
    <w:p>
      <w:pPr>
        <w:spacing w:after="0" w:line="172"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8"/>
          <w:szCs w:val="18"/>
          <w:color w:val="auto"/>
        </w:rPr>
        <w:t>The Company determined that it did not hold any marketable securities with any other-than-temporary impairment as of September 30, 2022. As of September 30, 2022, the aggregate fair value of marketable securities with a remaining contractual maturity of greater than one year was $10.2 million. As of September 30, 2022, the Company did not intend to sell, and would not be more likely than not be required to sell, the marketable securities in an unrealized loss position before recovery of their amortized cost bases.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7,102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17,446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(8,269 )</w:t>
            </w:r>
          </w:p>
        </w:tc>
        <w:tc>
          <w:tcPr>
            <w:tcW w:w="2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7,375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560" w:firstLine="509"/>
        <w:spacing w:after="0" w:line="297"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2022 and 2021 was $0.6 million and $0.6 million, respectively. Depreciation expense for the nine months ended September 30, 2022 and 2021 was $1.8 million and $1.9 million,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-641985</wp:posOffset>
            </wp:positionV>
            <wp:extent cx="7747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1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5,000,000 shares of undesignated preferred stock were authorized. No shares of preferred stock were issued or outstanding as of September 30, 2022 and December 31, 2021.</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and December 31, 2021, 200,000,000 shares of common stock, $0.001 par value per share, were authorized.</w:t>
      </w:r>
    </w:p>
    <w:p>
      <w:pPr>
        <w:spacing w:after="0" w:line="19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has reserved for future issuance the following number of shares of common stock: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2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5,929,065</w:t>
            </w:r>
          </w:p>
        </w:tc>
        <w:tc>
          <w:tcPr>
            <w:tcW w:w="1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95,174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1,667,865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1,091,085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706,658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1,125,540</w:t>
            </w:r>
          </w:p>
        </w:tc>
        <w:tc>
          <w:tcPr>
            <w:tcW w:w="10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9,908,729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6,181,336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-659765</wp:posOffset>
            </wp:positionV>
            <wp:extent cx="6032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1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2022, no shares remained available for future issuance under the 2016 Plan. Any options or other awards outstanding under the 2016 Plan remain outstanding and effective.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2022, the number of shares reserved for issuance under the 2019 Plan was increased by 1,625,455 shares. As of September 30, 2022, there were 1,667,865 shares available for future issuance under the 2019 Plan.</w:t>
      </w:r>
    </w:p>
    <w:p>
      <w:pPr>
        <w:spacing w:after="0" w:line="186"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As of September 30, 2022, there were 1,125,540 shares available for future grant under the Inducement Plan.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may repurchase unvested restricted stock awards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7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restricted stock awards typically vest over a four-year period. The shares of common stock are recorded in stockholders’ equity as they vest.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activity during the nine months ended September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spacing w:after="0"/>
              <w:rPr>
                <w:sz w:val="13"/>
                <w:szCs w:val="13"/>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680" w:type="dxa"/>
            <w:vAlign w:val="bottom"/>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80" w:type="dxa"/>
            <w:vAlign w:val="bottom"/>
          </w:tcPr>
          <w:p>
            <w:pPr>
              <w:spacing w:after="0"/>
              <w:rPr>
                <w:sz w:val="12"/>
                <w:szCs w:val="12"/>
                <w:color w:val="auto"/>
              </w:rPr>
            </w:pPr>
          </w:p>
        </w:tc>
      </w:tr>
      <w:tr>
        <w:trPr>
          <w:trHeight w:val="187"/>
        </w:trPr>
        <w:tc>
          <w:tcPr>
            <w:tcW w:w="1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2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2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-513715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-496570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nine months ended September 30, 2022:</w:t>
      </w:r>
    </w:p>
    <w:p>
      <w:pPr>
        <w:spacing w:after="0" w:line="17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580" w:type="dxa"/>
        <w:tblCellMar>
          <w:top w:w="0" w:type="dxa"/>
          <w:left w:w="0" w:type="dxa"/>
          <w:bottom w:w="0" w:type="dxa"/>
          <w:right w:w="0" w:type="dxa"/>
        </w:tblCellMar>
      </w:tblPr>
      <w:tr>
        <w:trPr>
          <w:trHeight w:val="132"/>
        </w:trPr>
        <w:tc>
          <w:tcPr>
            <w:tcW w:w="4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000" w:type="dxa"/>
            <w:vAlign w:val="bottom"/>
          </w:tcPr>
          <w:p>
            <w:pPr>
              <w:jc w:val="center"/>
              <w:ind w:right="4"/>
              <w:spacing w:after="0" w:line="132"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2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36"/>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000" w:type="dxa"/>
            <w:vAlign w:val="bottom"/>
          </w:tcPr>
          <w:p>
            <w:pPr>
              <w:jc w:val="center"/>
              <w:ind w:right="4"/>
              <w:spacing w:after="0" w:line="151"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219"/>
              <w:spacing w:after="0" w:line="15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5,188,354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27,082,052</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2,826,130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(362,169 )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(1,723,250 )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5,929,065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12.89</w:t>
            </w:r>
          </w:p>
        </w:tc>
        <w:tc>
          <w:tcPr>
            <w:tcW w:w="1100" w:type="dxa"/>
            <w:vAlign w:val="bottom"/>
            <w:tcBorders>
              <w:bottom w:val="single" w:sz="8" w:color="CFF0FC"/>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1,568,734</w:t>
            </w:r>
          </w:p>
        </w:tc>
        <w:tc>
          <w:tcPr>
            <w:tcW w:w="0" w:type="dxa"/>
            <w:vAlign w:val="bottom"/>
          </w:tcPr>
          <w:p>
            <w:pPr>
              <w:spacing w:after="0"/>
              <w:rPr>
                <w:sz w:val="1"/>
                <w:szCs w:val="1"/>
                <w:color w:val="auto"/>
              </w:rPr>
            </w:pPr>
          </w:p>
        </w:tc>
      </w:tr>
      <w:tr>
        <w:trPr>
          <w:trHeight w:val="197"/>
        </w:trPr>
        <w:tc>
          <w:tcPr>
            <w:tcW w:w="4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122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2,002,770</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12.68</w:t>
            </w:r>
          </w:p>
        </w:tc>
        <w:tc>
          <w:tcPr>
            <w:tcW w:w="1100" w:type="dxa"/>
            <w:vAlign w:val="bottom"/>
            <w:gridSpan w:val="2"/>
          </w:tcPr>
          <w:p>
            <w:pPr>
              <w:jc w:val="right"/>
              <w:ind w:right="24"/>
              <w:spacing w:after="0" w:line="196" w:lineRule="exact"/>
              <w:rPr>
                <w:sz w:val="20"/>
                <w:szCs w:val="20"/>
                <w:color w:val="auto"/>
              </w:rPr>
            </w:pPr>
            <w:r>
              <w:rPr>
                <w:rFonts w:ascii="Times New Roman" w:cs="Times New Roman" w:eastAsia="Times New Roman" w:hAnsi="Times New Roman"/>
                <w:sz w:val="18"/>
                <w:szCs w:val="18"/>
                <w:color w:val="auto"/>
              </w:rPr>
              <w:t>6.88</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295,030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-187960</wp:posOffset>
            </wp:positionV>
            <wp:extent cx="7747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64"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6"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nine months ended September 30, 2022 was $4.94 per share and $8.52 per share, respectively. The weighted average grant date fair value of stock options granted in the three and nine months ended September 30, 2021 was $15.25 per share and $10.33 per share, respectively. The total intrinsic value of stock options exercised during the three and nine months ended September 30, 2022 was less than $0.1 million and $2.6 million, respectively. The total intrinsic value of stock options exercised during the three and nine months ended September 30, 2021 was $2.9 million and $3.0 million, respectively. The fair value of stock options granted during the three and nine months ended September 30, 2022 and 2021 has been calculated on the date of grant using the following weighted average assumptions: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-559435</wp:posOffset>
            </wp:positionV>
            <wp:extent cx="641223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nine months ended September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r>
      <w:tr>
        <w:trPr>
          <w:trHeight w:val="162"/>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20" w:type="dxa"/>
            <w:vAlign w:val="bottom"/>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60" w:type="dxa"/>
            <w:vAlign w:val="bottom"/>
          </w:tcPr>
          <w:p>
            <w:pPr>
              <w:spacing w:after="0"/>
              <w:rPr>
                <w:sz w:val="12"/>
                <w:szCs w:val="12"/>
                <w:color w:val="auto"/>
              </w:rPr>
            </w:pPr>
          </w:p>
        </w:tc>
      </w:tr>
      <w:tr>
        <w:trPr>
          <w:trHeight w:val="187"/>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5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3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126,803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10.09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11.55</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3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95,174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9.61</w:t>
            </w: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-513715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-496570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 w:name="page19"/>
    <w:bookmarkEnd w:id="18"/>
    <w:p>
      <w:pPr>
        <w:ind w:firstLine="509"/>
        <w:spacing w:after="0" w:line="250"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three and nine months ended September 30, 2022 was zero and $0.2 million, respectively. The aggregate intrinsic value of all restricted stock units and restricted stock awards that vested during the three and nine months ended September 30, 2021 was $0.3 million and $1.2 million, respectively</w:t>
      </w:r>
      <w:r>
        <w:rPr>
          <w:rFonts w:ascii="Times New Roman" w:cs="Times New Roman" w:eastAsia="Times New Roman" w:hAnsi="Times New Roman"/>
          <w:sz w:val="18"/>
          <w:szCs w:val="18"/>
          <w:b w:val="1"/>
          <w:bCs w:val="1"/>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4,534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2,743</w:t>
            </w: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10,079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an aggregate of $34.9 million of unrecognized stock-based compensation expense, which is expected to be recognized over a weighted average period of 2.82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02" w:lineRule="exact"/>
        <w:rPr>
          <w:sz w:val="20"/>
          <w:szCs w:val="20"/>
          <w:color w:val="auto"/>
        </w:rPr>
      </w:pPr>
    </w:p>
    <w:p>
      <w:pPr>
        <w:ind w:right="120" w:firstLine="509"/>
        <w:spacing w:after="0" w:line="23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2022, the number of shares reserved for issuance under the 2019 ESPP was increased by 406,363 shares. As of September 30, 2022, there were 1,091,085 shares available for future issuance under the ESPP.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Acceleron Collaboration Agreement</w:t>
      </w:r>
    </w:p>
    <w:p>
      <w:pPr>
        <w:spacing w:after="0" w:line="202"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7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49"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Pursuant to a mutually agreed research plan, the Company was responsible for performing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delivered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had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Acceleron did not designate any Targets prior to the notice of termination from Acceleron.</w:t>
      </w:r>
    </w:p>
    <w:p>
      <w:pPr>
        <w:spacing w:after="0" w:line="188"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in December 2019 upon the execution of the Acceleron Collaboration Agreement. The Company was entitled to research milestone payments of up to $18.5 million in the aggregate upon achievement of specified research milestones, development milestone payments of up to $202.5 million in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right="100"/>
        <w:spacing w:after="0" w:line="233" w:lineRule="auto"/>
        <w:rPr>
          <w:sz w:val="20"/>
          <w:szCs w:val="20"/>
          <w:color w:val="auto"/>
        </w:rPr>
      </w:pPr>
      <w:r>
        <w:rPr>
          <w:rFonts w:ascii="Times New Roman" w:cs="Times New Roman" w:eastAsia="Times New Roman" w:hAnsi="Times New Roman"/>
          <w:sz w:val="18"/>
          <w:szCs w:val="18"/>
          <w:color w:val="auto"/>
        </w:rPr>
        <w:t>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Prior to the notice of termination from Acceleron, the Company achieved $2.0 million of specified research milestones. In addition, the Company was entitled to tiered royalties ranging from a mid single-digit percentage to a low double-digit percentage on Acceleron’s annual worldwide net sales of products directed to any Target, subject to reduction in specified circumstances. The Company was also entitled to receive reimbursement from Acceleron for research costs incurred under the research plan, including internal and external costs.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assessed the Acceleron Collaboration Agreement and concluded that it represents a contract with a customer within the scope of ASC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606.</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The Company determined that the Acceleron Collaboration Agreement contained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7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License is not capable of being distinct from the Research Services given that the License has limited value without the performance of the Research Services and the Research Services could only be performed by the Company due to their specialized nature. Therefore, the Company concluded that the License and the Research Services represented a single combined performance obligation.</w:t>
      </w:r>
    </w:p>
    <w:p>
      <w:pPr>
        <w:spacing w:after="0" w:line="17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JSC and concluded that the promise was quantitatively and qualitatively immaterial in the context of the Acceleron Collaboration Agreement. Accordingly, the Company disregarded its participation on the JSC as a performance obligation.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the Company included in the transaction price. The Company has constrained the variable consideration associated with the unachieved milestone payments as of the date that the Company received notice of termination from Acceleron and has excluded the unachieved milestone payments from the transaction price.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included in the transaction price the amount of costs to be reimbursed for the Research Services.</w:t>
      </w:r>
    </w:p>
    <w:p>
      <w:pPr>
        <w:spacing w:after="0" w:line="22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Prior to the receipt of notice of termination from Acceleron, the Company reassessed the transaction price at the end of each reporting period and as uncertain events were resolved or other changes in circumstances occurred, and, if necessary, adjusted its estimate of the transaction price. There was no change in the amount of variable consideration constrained during the three and nine months ended September 30, 2022.</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00"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As noted above, the Company identified a single performance obligation associated with the Acceleron Collaboration Agreement. Therefore, the Company allocated the entire amount of the transaction price to the identified single performance obligation.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00" w:lineRule="exact"/>
        <w:rPr>
          <w:sz w:val="20"/>
          <w:szCs w:val="20"/>
          <w:color w:val="auto"/>
        </w:rPr>
      </w:pPr>
    </w:p>
    <w:p>
      <w:pPr>
        <w:ind w:firstLine="509"/>
        <w:spacing w:after="0" w:line="222" w:lineRule="auto"/>
        <w:rPr>
          <w:sz w:val="20"/>
          <w:szCs w:val="20"/>
          <w:color w:val="auto"/>
        </w:rPr>
      </w:pPr>
      <w:r>
        <w:rPr>
          <w:rFonts w:ascii="Times New Roman" w:cs="Times New Roman" w:eastAsia="Times New Roman" w:hAnsi="Times New Roman"/>
          <w:sz w:val="18"/>
          <w:szCs w:val="18"/>
          <w:color w:val="auto"/>
        </w:rPr>
        <w:t>The Company recognized revenue related to the Acceleron Collaboration Agreement over time as the Research Services are rendered. The Company concluded that an input method was a representative depiction of the transfer of services under the Acceleron Collaboration Agreement. Prior to the receipt</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7"/>
          <w:szCs w:val="17"/>
          <w:color w:val="auto"/>
        </w:rPr>
        <w:t>of notice of termination from Acceleron, the method of measuring progress towards the delivery of the services incorporated actual cumulative internal and external costs incurred relative to total internal and external costs expected to be incurred to satisfy the performance obligation. The period over which total</w:t>
      </w:r>
    </w:p>
    <w:p>
      <w:pPr>
        <w:ind w:right="500"/>
        <w:spacing w:after="0" w:line="226" w:lineRule="auto"/>
        <w:rPr>
          <w:sz w:val="20"/>
          <w:szCs w:val="20"/>
          <w:color w:val="auto"/>
        </w:rPr>
      </w:pPr>
      <w:r>
        <w:rPr>
          <w:rFonts w:ascii="Times New Roman" w:cs="Times New Roman" w:eastAsia="Times New Roman" w:hAnsi="Times New Roman"/>
          <w:sz w:val="18"/>
          <w:szCs w:val="18"/>
          <w:color w:val="auto"/>
        </w:rPr>
        <w:t>costs was estimated reflected the Company’s estimate of the period over which it would perform the Research Services. Changes in estimates of total internal and external costs expected to be incurred were recognized in the period of change as a cumulative catch-up adjustment.</w:t>
      </w:r>
    </w:p>
    <w:p>
      <w:pPr>
        <w:spacing w:after="0" w:line="171" w:lineRule="exact"/>
        <w:rPr>
          <w:sz w:val="20"/>
          <w:szCs w:val="20"/>
          <w:color w:val="auto"/>
        </w:rPr>
      </w:pPr>
    </w:p>
    <w:p>
      <w:pPr>
        <w:jc w:val="both"/>
        <w:ind w:right="140" w:firstLine="509"/>
        <w:spacing w:after="0" w:line="22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recognized $1.0 million, of collaboration revenue associated with the Acceleron Collaboration Agreement, which includes $0.6 million, of revenue recognized that was included in deferred revenue as of December 31, 2021. During the three months ended September 30, 2022, the Company recognized no collaboration revenue associated with the Acceleron Collaboration Agreement.</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During the three and nine months ended September 30, 2021, the Company recognized $2.9 million and $7.8 million, respectively, of collaboration revenue under the Acceleron Collaboration Agreement, which includes $2.3 million and $6.1 million, respectively, of revenue recognized that was included in</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deferred revenue as of December 31, 2020. As of September 30, 2022. the Company recorded no deferred revenue associated with the Acceleron Collaboration Agreement. As of December 31, 2021, the Company recorded deferred revenue of $0.6 million, associated with the Acceleron Collaboration Agreement, which was classified as either current or net of current portion in the accompanying consolidated balance sheets based on the period over which</w:t>
      </w:r>
    </w:p>
    <w:p>
      <w:pPr>
        <w:ind w:right="40"/>
        <w:spacing w:after="0" w:line="211" w:lineRule="auto"/>
        <w:rPr>
          <w:sz w:val="20"/>
          <w:szCs w:val="20"/>
          <w:color w:val="auto"/>
        </w:rPr>
      </w:pPr>
      <w:r>
        <w:rPr>
          <w:rFonts w:ascii="Times New Roman" w:cs="Times New Roman" w:eastAsia="Times New Roman" w:hAnsi="Times New Roman"/>
          <w:sz w:val="18"/>
          <w:szCs w:val="18"/>
          <w:color w:val="auto"/>
        </w:rPr>
        <w:t>the revenue is expected to be recognized. The aggregate deferred revenue balance represented the aggregate amount of the transaction price allocated to the performance obligations that were unsatisfied as of December 31, 2021. As of September 30, 2022, the Company had received $4.9 million of cost</w:t>
      </w:r>
    </w:p>
    <w:p>
      <w:pPr>
        <w:spacing w:after="0" w:line="1"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reimbursement payments under the Acceleron Collaboration Agreement and $2.0 million associated with the achievement of specified research milestones. As of December 31, 2021, the Company had received $3.9 million of cost reimbursement payment under the Acceleron Collaboration Agreement and $2.0</w:t>
      </w:r>
    </w:p>
    <w:p>
      <w:pPr>
        <w:ind w:right="160"/>
        <w:spacing w:after="0" w:line="223" w:lineRule="auto"/>
        <w:rPr>
          <w:sz w:val="20"/>
          <w:szCs w:val="20"/>
          <w:color w:val="auto"/>
        </w:rPr>
      </w:pPr>
      <w:r>
        <w:rPr>
          <w:rFonts w:ascii="Times New Roman" w:cs="Times New Roman" w:eastAsia="Times New Roman" w:hAnsi="Times New Roman"/>
          <w:sz w:val="17"/>
          <w:szCs w:val="17"/>
          <w:color w:val="auto"/>
        </w:rPr>
        <w:t>million associated with the achievement of specified research milestones. As of September 30, 2022, the Company recorded no unbilled accounts receivable related to reimbursable research and development costs under the Acceleron Collaboration Agreement for activities performed during the three</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months ended September 30, 2022. As of December 31, 2021, the Company recorded unbilled accounts receivable of $0.7 million related to reimbursable research and development costs under the Acceleron Collaboration Agreement for activities performed during the three months ended December 31, 2021. As of September 30, 2022, the Company recorded less than $0.1 million of accounts receivable under the Acceleron Collaboration Agreement. As of December 31, 2021, the Company recorded no accounts receivable under the Acceleron Collaboration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Collaboration Agreement</w:t>
      </w:r>
    </w:p>
    <w:p>
      <w:pPr>
        <w:spacing w:after="0" w:line="216"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9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7"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00" w:lineRule="exact"/>
        <w:rPr>
          <w:sz w:val="20"/>
          <w:szCs w:val="20"/>
          <w:color w:val="auto"/>
        </w:rPr>
      </w:pPr>
    </w:p>
    <w:p>
      <w:pPr>
        <w:ind w:right="320" w:firstLine="509"/>
        <w:spacing w:after="0" w:line="237"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95"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1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20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62" w:lineRule="exact"/>
        <w:rPr>
          <w:sz w:val="20"/>
          <w:szCs w:val="20"/>
          <w:color w:val="auto"/>
        </w:rPr>
      </w:pPr>
    </w:p>
    <w:p>
      <w:pPr>
        <w:jc w:val="both"/>
        <w:ind w:right="840" w:firstLine="509"/>
        <w:spacing w:after="0" w:line="258"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2022.</w:t>
      </w:r>
    </w:p>
    <w:p>
      <w:pPr>
        <w:spacing w:after="0" w:line="1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1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27"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$1.2 million and $4.7 million, respectively, of collaboration revenue associated with the MyoKardia Collaboration Agreement, which includes $0.4 million and $2.7 million, respectively, of revenue recognized that was included in deferred revenue as of December 31, 2021. During the three and nine months ended September 30, 2021, the Company recognized $2.1 million and $6.3 million, respectively, of collaboration revenue associated with the MyoKardia Collaboration Agreement, which includes $1.5 million and $5.6 million, respectively, of revenue recognized that was included in deferred revenue as of December 31, 2020. As of September 30, 2022 and December 31, 2021, the Company recorded deferred revenue of $1.4 million and $4.1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September 30, 2022 and December 31, 2021. As of September 30, 2022, the Company had received $4.8 million of cost reimbursement payments under the MyoKardia Collaboration Agreement and $2.5 million associated with the achievement of a preclinical milestone. As of December 31, 2021, the Company had received $3.2 million of cost reimbursement payments under the MyoKardia Collaboration Agreement and no milestone or royalty payments. As of September 30, 2022, the Company recorded unbilled accounts receivable of $0.8 million related to reimbursable research and development costs under the MyoKardia Collaboration Agreement for activities performed during the three months ended September 30,</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2022. As of December 31, 2021, the Company recorded unbilled accounts receivable of $0.5 million related to reimbursable research and development costs under the MyoKardia Collaboration Agreement for activities performed during the three months ended December 31, 2021. As of September 30, 2022, the Company recorded no accounts receivable under the MyoKardia Collaboration Agreement. As of December 31, 2021, the Company recorded accounts receivable of $2.5 million under the MyoKardia Collaboration Agreement associated with the achievement of a preclinical milestone in December 2021.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Right of Reference and License Agreement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w:t>
      </w:r>
    </w:p>
    <w:p>
      <w:pPr>
        <w:spacing w:after="0" w:line="2"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8"/>
          <w:szCs w:val="18"/>
          <w:color w:val="auto"/>
        </w:rPr>
        <w:t>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3" w:lineRule="exact"/>
        <w:rPr>
          <w:sz w:val="20"/>
          <w:szCs w:val="20"/>
          <w:color w:val="auto"/>
        </w:rPr>
      </w:pPr>
    </w:p>
    <w:p>
      <w:pPr>
        <w:ind w:right="220" w:firstLine="509"/>
        <w:spacing w:after="0" w:line="222"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In addition, the Company may owe GSK up to $37.5 million in certain specified clinical and regulatory milestones, including a $5.0 million milestone that was achieved and paid during the nine</w:t>
      </w:r>
    </w:p>
    <w:p>
      <w:pPr>
        <w:spacing w:after="0" w:line="2" w:lineRule="exact"/>
        <w:rPr>
          <w:sz w:val="20"/>
          <w:szCs w:val="20"/>
          <w:color w:val="auto"/>
        </w:rPr>
      </w:pPr>
    </w:p>
    <w:p>
      <w:pPr>
        <w:jc w:val="both"/>
        <w:ind w:right="380"/>
        <w:spacing w:after="0" w:line="219" w:lineRule="auto"/>
        <w:rPr>
          <w:sz w:val="20"/>
          <w:szCs w:val="20"/>
          <w:color w:val="auto"/>
        </w:rPr>
      </w:pPr>
      <w:r>
        <w:rPr>
          <w:rFonts w:ascii="Times New Roman" w:cs="Times New Roman" w:eastAsia="Times New Roman" w:hAnsi="Times New Roman"/>
          <w:sz w:val="18"/>
          <w:szCs w:val="18"/>
          <w:color w:val="auto"/>
        </w:rPr>
        <w:t>months ended September 30,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w:t>
      </w:r>
    </w:p>
    <w:p>
      <w:pPr>
        <w:ind w:right="80"/>
        <w:spacing w:after="0" w:line="226" w:lineRule="auto"/>
        <w:rPr>
          <w:sz w:val="20"/>
          <w:szCs w:val="20"/>
          <w:color w:val="auto"/>
        </w:rPr>
      </w:pPr>
      <w:r>
        <w:rPr>
          <w:rFonts w:ascii="Times New Roman" w:cs="Times New Roman" w:eastAsia="Times New Roman" w:hAnsi="Times New Roman"/>
          <w:sz w:val="18"/>
          <w:szCs w:val="18"/>
          <w:color w:val="auto"/>
        </w:rPr>
        <w:t>specified circumstances. The Company achieved a $5.0 million milestone during the second quarter of 2022, which the Company recorded as research and development expense in the consolidated statement of operations and comprehensive loss for the nine months ended September 30, 2022.</w:t>
      </w:r>
    </w:p>
    <w:p>
      <w:pPr>
        <w:spacing w:after="0" w:line="171" w:lineRule="exact"/>
        <w:rPr>
          <w:sz w:val="20"/>
          <w:szCs w:val="20"/>
          <w:color w:val="auto"/>
        </w:rPr>
      </w:pPr>
    </w:p>
    <w:p>
      <w:pPr>
        <w:ind w:right="320" w:firstLine="509"/>
        <w:spacing w:after="0" w:line="244" w:lineRule="auto"/>
        <w:rPr>
          <w:sz w:val="20"/>
          <w:szCs w:val="20"/>
          <w:color w:val="auto"/>
        </w:rPr>
      </w:pPr>
      <w:r>
        <w:rPr>
          <w:rFonts w:ascii="Times New Roman" w:cs="Times New Roman" w:eastAsia="Times New Roman" w:hAnsi="Times New Roman"/>
          <w:sz w:val="17"/>
          <w:szCs w:val="17"/>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w:t>
      </w:r>
    </w:p>
    <w:p>
      <w:pPr>
        <w:spacing w:after="0" w:line="1" w:lineRule="exact"/>
        <w:rPr>
          <w:sz w:val="20"/>
          <w:szCs w:val="20"/>
          <w:color w:val="auto"/>
        </w:rPr>
      </w:pPr>
    </w:p>
    <w:p>
      <w:pPr>
        <w:ind w:right="680"/>
        <w:spacing w:after="0" w:line="226" w:lineRule="auto"/>
        <w:rPr>
          <w:sz w:val="20"/>
          <w:szCs w:val="20"/>
          <w:color w:val="auto"/>
        </w:rPr>
      </w:pPr>
      <w:r>
        <w:rPr>
          <w:rFonts w:ascii="Times New Roman" w:cs="Times New Roman" w:eastAsia="Times New Roman" w:hAnsi="Times New Roman"/>
          <w:sz w:val="18"/>
          <w:szCs w:val="18"/>
          <w:color w:val="auto"/>
        </w:rPr>
        <w:t>basis on the later of (i) ten years after the first commercial sale in the country or (ii) approval of a generic version of losmapimod by the applicable regulatory agency.</w:t>
      </w:r>
    </w:p>
    <w:p>
      <w:pPr>
        <w:spacing w:after="0" w:line="171" w:lineRule="exact"/>
        <w:rPr>
          <w:sz w:val="20"/>
          <w:szCs w:val="20"/>
          <w:color w:val="auto"/>
        </w:rPr>
      </w:pPr>
    </w:p>
    <w:p>
      <w:pPr>
        <w:ind w:right="180" w:firstLine="509"/>
        <w:spacing w:after="0" w:line="23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ind w:right="9940" w:firstLine="8"/>
        <w:spacing w:after="0" w:line="396"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b w:val="1"/>
          <w:bCs w:val="1"/>
          <w:i w:val="1"/>
          <w:iCs w:val="1"/>
          <w:color w:val="auto"/>
        </w:rPr>
        <w:t>Operating Leases</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14"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2022 and December 31, 2021.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27" w:lineRule="exact"/>
        <w:rPr>
          <w:sz w:val="20"/>
          <w:szCs w:val="20"/>
          <w:color w:val="auto"/>
        </w:rPr>
      </w:pPr>
    </w:p>
    <w:p>
      <w:pPr>
        <w:jc w:val="both"/>
        <w:ind w:right="12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26 Landsdowne Street lease on the consolidated balance sheet as of September 30, 2022. As there is no rate implicit in the 26 Landsdowne Street lease, the Company estimated its incremental borrowing rate based upon a synthetic credit rating and yield curve analysis. Based upon this analysis, the Company calculated a discount rate of 6.1% for the lease. As of September 30, 2022, the remaining lease term was 5.8 years.</w:t>
      </w:r>
    </w:p>
    <w:p>
      <w:pPr>
        <w:spacing w:after="0" w:line="18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and variable lease expense associated with this lease for the three months ended September 30, 2022 was approximately $0.4 million and $0.2 million, respectively. Operating lease expense and variable lease expense associated with this lease for the nine months ended September 30, 2022 was approximately $1.4 million and $0.7 million,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September 30, 2022,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8"/>
                <w:szCs w:val="18"/>
                <w:color w:val="auto"/>
              </w:rPr>
            </w:pP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(2,470 )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8572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45" w:lineRule="exact"/>
        <w:rPr>
          <w:sz w:val="20"/>
          <w:szCs w:val="20"/>
          <w:color w:val="auto"/>
        </w:rPr>
      </w:pPr>
    </w:p>
    <w:p>
      <w:pPr>
        <w:ind w:left="520" w:right="6260" w:hanging="512"/>
        <w:spacing w:after="0" w:line="48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three months ending December 31, 2022. </w:t>
      </w:r>
      <w:r>
        <w:rPr>
          <w:rFonts w:ascii="Times New Roman" w:cs="Times New Roman" w:eastAsia="Times New Roman" w:hAnsi="Times New Roman"/>
          <w:sz w:val="18"/>
          <w:szCs w:val="18"/>
          <w:i w:val="1"/>
          <w:iCs w:val="1"/>
          <w:u w:val="single" w:color="auto"/>
          <w:color w:val="auto"/>
        </w:rPr>
        <w:t>Accounting Under ASC 840</w:t>
      </w: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The Company recorded the leasehold improvement incentives as a deferred lease incentive on the consolidated balance sheets and amortized the deferred lease incentive through a reduction of rent expense ratably over the lease term.</w:t>
      </w:r>
    </w:p>
    <w:p>
      <w:pPr>
        <w:spacing w:after="0" w:line="18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Pursuant to ASC 840, rent expense associated with this lease for the three and nine months ended September 30, 2021 was approximately $0.5 million and $1.4 million, respectively. Under ASC 840, minimum rental commitments under non-cancelable leases for each of the next five years and total thereafter as of December 31, 2021, were as follows (in thousands):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200"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14"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125 Sidney Street lease on the consolidated balance sheet as of September 30, 2022. As there is no rate implicit in the 125 Sidney Street lease, the Company estimated its incremental borrowing rate based upon a synthetic credit rating and yield curve analysis. Based upon this analysis, the Company calculated a discount rate of 4.2% for the lease. As of September 30, 2022, the remaining lease term was 1.5 years.</w:t>
      </w:r>
    </w:p>
    <w:p>
      <w:pPr>
        <w:spacing w:after="0" w:line="18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associated with this lease for the three and nine months ended September 30, 2022 was approximately $0.1 million and $0.5 million, respectively. No variable lease expense was recorded associated with this lease for the three and nine months ended September 30, 2022. The future minimum lease payments associated with this lease as of September 30, 2022,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10"/>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8572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59" w:lineRule="exact"/>
        <w:rPr>
          <w:sz w:val="20"/>
          <w:szCs w:val="20"/>
          <w:color w:val="auto"/>
        </w:rPr>
      </w:pPr>
    </w:p>
    <w:p>
      <w:pPr>
        <w:ind w:left="520" w:right="6260" w:hanging="512"/>
        <w:spacing w:after="0" w:line="47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three months ending December 31, 2022. </w:t>
      </w:r>
      <w:r>
        <w:rPr>
          <w:rFonts w:ascii="Times New Roman" w:cs="Times New Roman" w:eastAsia="Times New Roman" w:hAnsi="Times New Roman"/>
          <w:sz w:val="18"/>
          <w:szCs w:val="18"/>
          <w:i w:val="1"/>
          <w:iCs w:val="1"/>
          <w:u w:val="single" w:color="auto"/>
          <w:color w:val="auto"/>
        </w:rPr>
        <w:t>Accounting Under ASC 840</w:t>
      </w:r>
    </w:p>
    <w:p>
      <w:pPr>
        <w:spacing w:after="0" w:line="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No rent expense was recorded during the three and nine months ended September 30, 2021 as the Company had not yet entered into the lease agreement.</w:t>
      </w:r>
    </w:p>
    <w:p>
      <w:pPr>
        <w:spacing w:after="0" w:line="17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Under ASC 840, minimum rental commitments under non-cancelable leases for each of the next five years and total thereafter as of December 31, 2021,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1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3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34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 w:name="page27"/>
    <w:bookmarkEnd w:id="26"/>
    <w:p>
      <w:pPr>
        <w:ind w:right="8420" w:firstLine="8"/>
        <w:spacing w:after="0" w:line="433" w:lineRule="auto"/>
        <w:tabs>
          <w:tab w:leader="none" w:pos="27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Indemnification Agreements</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not incurred any material costs as a result of such indemnifications. The Company is not aware of any claims under indemnification arrangements, and it has not accrued any liabilities related to such obligations as of September 30, 2022 or December 31, 2021.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nine months ended September 30, 2022 and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$0.6 million, respectively, in contributions to the 401(k) Plan for the three and nine months ended September 30, 2022. No contributions were made to the 401(k) Plan for the three and nine months ended September 30,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16"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42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38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9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2980" w:type="dxa"/>
            <w:vAlign w:val="bottom"/>
          </w:tcPr>
          <w:p>
            <w:pPr>
              <w:spacing w:after="0"/>
              <w:rPr>
                <w:sz w:val="14"/>
                <w:szCs w:val="14"/>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6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5,929,065</w:t>
            </w: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4,962,869</w:t>
            </w:r>
          </w:p>
        </w:tc>
        <w:tc>
          <w:tcPr>
            <w:tcW w:w="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5,929,065</w:t>
            </w:r>
          </w:p>
        </w:tc>
        <w:tc>
          <w:tcPr>
            <w:tcW w:w="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4,962,869</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95,174</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19,964</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95,174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19,964</w:t>
            </w:r>
          </w:p>
        </w:tc>
      </w:tr>
      <w:tr>
        <w:trPr>
          <w:trHeight w:val="250"/>
        </w:trPr>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6,024,239</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4,982,833</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6,024,239</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22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August 2022, the Company announced the implementation of a strategic plan to realign internal investments and operations to prioritize the Company's two clinical programs. In connection with this decision, the Company announced a workforce reduction of 25% of its planned headcount, which was completed in August 2022. During the three and nine months ended September 30, 2022, the Company recorded aggregate restructuring charges of $0.5 million related to severance and other employee-related costs. The Company does not expect to incur any additional significant costs associated with this restructuring. During the three and nine months ended September 30, 2022, the Company paid $0.4 million of the restructuring charges.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2021</w:t>
            </w:r>
          </w:p>
        </w:tc>
        <w:tc>
          <w:tcPr>
            <w:tcW w:w="44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44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September 30, 2022</w:t>
            </w:r>
          </w:p>
        </w:tc>
        <w:tc>
          <w:tcPr>
            <w:tcW w:w="4400" w:type="dxa"/>
            <w:vAlign w:val="bottom"/>
            <w:tcBorders>
              <w:top w:val="single" w:sz="8" w:color="CFF0FC"/>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400" w:type="dxa"/>
            <w:vAlign w:val="bottom"/>
            <w:vMerge w:val="restart"/>
          </w:tcPr>
          <w:p>
            <w:pPr>
              <w:jc w:val="right"/>
              <w:ind w:right="3390"/>
              <w:spacing w:after="0"/>
              <w:rPr>
                <w:sz w:val="20"/>
                <w:szCs w:val="20"/>
                <w:color w:val="auto"/>
              </w:rPr>
            </w:pPr>
            <w:r>
              <w:rPr>
                <w:rFonts w:ascii="Times New Roman" w:cs="Times New Roman" w:eastAsia="Times New Roman" w:hAnsi="Times New Roman"/>
                <w:sz w:val="18"/>
                <w:szCs w:val="18"/>
                <w:color w:val="auto"/>
              </w:rPr>
              <w:t>22</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8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0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3,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We initiated REACH, a randomized, double-blind, placebo-controlled, multi-national Phase 3 clinical trial of losmapimod, our product candidate for FSHD, in the second quarter of 2022 and plan to complete enrollment in 2023.</w:t>
      </w:r>
    </w:p>
    <w:p>
      <w:pPr>
        <w:spacing w:after="0" w:line="172"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8"/>
          <w:szCs w:val="18"/>
          <w:color w:val="auto"/>
        </w:rPr>
        <w:t xml:space="preserve">In October 2022, we presented data through 96 weeks from the open label extension portion of our randomized, double-blind, placebo-controlled, multicenter, international Phase 2b clinical trial of losmapimod, referred to as ReDUX4. Data presented indicated that patients in the initial treatment-arm who continued to receive losmapimod demonstrated maintenance of effect through 96-weeks as measured by reachable workspace, or RWS, mean change from baseline. RWS is a measure of function that assesses upper extremity range of motion and has been shown to be an important measure of independence. Additionally, patients who </w:t>
      </w:r>
      <w:r>
        <w:rPr>
          <w:rFonts w:ascii="Times New Roman" w:cs="Times New Roman" w:eastAsia="Times New Roman" w:hAnsi="Times New Roman"/>
          <w:sz w:val="18"/>
          <w:szCs w:val="18"/>
          <w:color w:val="242424"/>
        </w:rPr>
        <w:t>crossed over from placebo to losmapimod after the initial 48-week trial period showed improvement and slowing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of disease progression </w:t>
      </w:r>
      <w:r>
        <w:rPr>
          <w:rFonts w:ascii="Times New Roman" w:cs="Times New Roman" w:eastAsia="Times New Roman" w:hAnsi="Times New Roman"/>
          <w:sz w:val="18"/>
          <w:szCs w:val="18"/>
          <w:color w:val="000000"/>
        </w:rPr>
        <w:t>as measured by RWS mean change from baseline. Losmapimod continued to demonstrate an encouraging safety profile and was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generally well tolerated.</w:t>
      </w:r>
    </w:p>
    <w:p>
      <w:pPr>
        <w:spacing w:after="0" w:line="176" w:lineRule="exact"/>
        <w:rPr>
          <w:sz w:val="20"/>
          <w:szCs w:val="20"/>
          <w:color w:val="auto"/>
        </w:rPr>
      </w:pPr>
    </w:p>
    <w:p>
      <w:pPr>
        <w:jc w:val="both"/>
        <w:ind w:right="180" w:firstLine="509"/>
        <w:spacing w:after="0" w:line="229" w:lineRule="auto"/>
        <w:rPr>
          <w:sz w:val="20"/>
          <w:szCs w:val="20"/>
          <w:color w:val="auto"/>
        </w:rPr>
      </w:pPr>
      <w:r>
        <w:rPr>
          <w:rFonts w:ascii="Times New Roman" w:cs="Times New Roman" w:eastAsia="Times New Roman" w:hAnsi="Times New Roman"/>
          <w:sz w:val="18"/>
          <w:szCs w:val="18"/>
          <w:color w:val="auto"/>
        </w:rPr>
        <w:t>Our other clinical product candidate is FTX-6058, which is being developed for the treatment of certain hemoglobinopathies, including sickle cell disesase, or SCD. In June 2022, we announced clinical proof-of-concept data from the ongoing Phase 1b trial of FTX-6058 for the treatment of SCD. We are currently enrolling additional patients at the 6 mg and 2 mg dose cohorts, including patients both on and off hydroxyurea, and have selected 12 mg as the dose for the third cohort, for which we similarly plan to include patients both on and off hydroxyurea. We expect to continue enrolling patients in this trial into 2023, and plan to initiate a registrational trial in 2023.</w:t>
      </w:r>
    </w:p>
    <w:p>
      <w:pPr>
        <w:spacing w:after="0" w:line="174" w:lineRule="exact"/>
        <w:rPr>
          <w:sz w:val="20"/>
          <w:szCs w:val="20"/>
          <w:color w:val="auto"/>
        </w:rPr>
      </w:pPr>
    </w:p>
    <w:p>
      <w:pPr>
        <w:ind w:right="80" w:firstLine="509"/>
        <w:spacing w:after="0" w:line="228"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submit our next investigational new drug, or IND, application in 2023.</w:t>
      </w:r>
    </w:p>
    <w:p>
      <w:pPr>
        <w:spacing w:after="0" w:line="176" w:lineRule="exact"/>
        <w:rPr>
          <w:sz w:val="20"/>
          <w:szCs w:val="20"/>
          <w:color w:val="auto"/>
        </w:rPr>
      </w:pPr>
    </w:p>
    <w:p>
      <w:pPr>
        <w:jc w:val="both"/>
        <w:ind w:right="80" w:firstLine="509"/>
        <w:spacing w:after="0" w:line="236" w:lineRule="auto"/>
        <w:rPr>
          <w:sz w:val="20"/>
          <w:szCs w:val="20"/>
          <w:color w:val="auto"/>
        </w:rPr>
      </w:pPr>
      <w:r>
        <w:rPr>
          <w:rFonts w:ascii="Times New Roman" w:cs="Times New Roman" w:eastAsia="Times New Roman" w:hAnsi="Times New Roman"/>
          <w:sz w:val="18"/>
          <w:szCs w:val="18"/>
          <w:color w:val="auto"/>
        </w:rPr>
        <w:t>In August 2022, we announced a strategic plan to realign internal investments and operations to prioritize our two clinical programs. In connection with this decision, we announced a workforce reduction of 25% of our planned headcount that we completed in August 2022. This restructuring will result in cumulative savings of $40-50 million into mid-2024.</w:t>
      </w:r>
    </w:p>
    <w:p>
      <w:pPr>
        <w:spacing w:after="0" w:line="172"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74"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In August 2022, we issued and sold 11,029,410 shares of our common stock in a public offering at a public offering price of $7.82 per share, which includes 1,438,618 shares issued upon the exercise in full by the underwriters of their option to purchase additional shares at the public offering price, less underwriting discounts and commissions. The net proceeds of the offering were $80.8 million, after deducting underwriting discounts and commissions and offering expenses.</w:t>
      </w:r>
    </w:p>
    <w:p>
      <w:pPr>
        <w:spacing w:after="0" w:line="1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28" w:name="page29"/>
    <w:bookmarkEnd w:id="28"/>
    <w:p>
      <w:pPr>
        <w:ind w:right="80"/>
        <w:spacing w:after="0" w:line="236" w:lineRule="auto"/>
        <w:rPr>
          <w:sz w:val="20"/>
          <w:szCs w:val="20"/>
          <w:color w:val="auto"/>
        </w:rPr>
      </w:pPr>
      <w:r>
        <w:rPr>
          <w:rFonts w:ascii="Times New Roman" w:cs="Times New Roman" w:eastAsia="Times New Roman" w:hAnsi="Times New Roman"/>
          <w:sz w:val="18"/>
          <w:szCs w:val="18"/>
          <w:color w:val="auto"/>
        </w:rPr>
        <w:t>successful development and eventual commercialization of one or more of our product candidates. Our net losses were $23.7 million and $83.7 million for the three and nine months ended September 30, 2022 and $20.7 million and $57.4 million for the three and nine months ended September 30, 2021, respectively. As of September 30, 2022, we had an accumulated deficit of $386.2 million. We expect our expenses and operating losses will increase substantially over the next several years in connection with our ongoing activities, as we:</w:t>
      </w:r>
    </w:p>
    <w:p>
      <w:pPr>
        <w:spacing w:after="0" w:line="77"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right="5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03"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0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w:t>
      </w:r>
    </w:p>
    <w:p>
      <w:pPr>
        <w:spacing w:after="0" w:line="223" w:lineRule="auto"/>
        <w:rPr>
          <w:sz w:val="20"/>
          <w:szCs w:val="20"/>
          <w:color w:val="auto"/>
        </w:rPr>
      </w:pPr>
      <w:r>
        <w:rPr>
          <w:rFonts w:ascii="Times New Roman" w:cs="Times New Roman" w:eastAsia="Times New Roman" w:hAnsi="Times New Roman"/>
          <w:sz w:val="17"/>
          <w:szCs w:val="17"/>
          <w:color w:val="auto"/>
        </w:rPr>
        <w:t>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w:t>
      </w:r>
    </w:p>
    <w:p>
      <w:pPr>
        <w:spacing w:after="0" w:line="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w:t>
      </w:r>
    </w:p>
    <w:p>
      <w:pPr>
        <w:ind w:right="180"/>
        <w:spacing w:after="0" w:line="226" w:lineRule="auto"/>
        <w:rPr>
          <w:sz w:val="20"/>
          <w:szCs w:val="20"/>
          <w:color w:val="auto"/>
        </w:rPr>
      </w:pPr>
      <w:r>
        <w:rPr>
          <w:rFonts w:ascii="Times New Roman" w:cs="Times New Roman" w:eastAsia="Times New Roman" w:hAnsi="Times New Roman"/>
          <w:sz w:val="18"/>
          <w:szCs w:val="18"/>
          <w:color w:val="auto"/>
        </w:rPr>
        <w:t>profitable. If we fail to become profitable or are unable to sustain profitability on a continuing basis, then we may be unable to continue our operations at planned levels and be forced to reduce or terminate our operations.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September 30, 2022, we had $221.8 million in cash, cash equivalents, and marketable securities. We believe that our existing cash, cash</w:t>
      </w:r>
    </w:p>
    <w:p>
      <w:pPr>
        <w:spacing w:after="0" w:line="2"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equivalents, and marketable securities as of September 30, 2022 will enable us to fund our operating expenses and capital expenditure requirements into late-2024. We have based this estimate on assumptions that may prove to be wrong, and we could exhaust our available capital resources sooner than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See “—Liquidity and Capital Resources.”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w:t>
      </w:r>
    </w:p>
    <w:p>
      <w:pPr>
        <w:spacing w:after="0" w:line="2"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never succeed in obtaining regulatory approval for any of our product candidates.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9" w:name="page30"/>
    <w:bookmarkEnd w:id="29"/>
    <w:p>
      <w:pPr>
        <w:ind w:right="580" w:firstLine="509"/>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w:t>
      </w:r>
    </w:p>
    <w:p>
      <w:pPr>
        <w:spacing w:after="0" w:line="16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8"/>
          <w:szCs w:val="18"/>
          <w:color w:val="auto"/>
        </w:rPr>
        <w:t>For the three months ended September 30, 2022 and 2021, we recognized zero and $2.9 million, respectively, of collaboration revenue under the Acceleron collaboration agreement. For the nine months ended September 30, 2022 and 2021, we recognized $1.0 million and $7.8 million, respectively, of collaboration revenue under the Acceleron collaboration agreement. As of September 30, 2022 we have recorded no deferred revenue associated with the Acceleron collaboration agreement. As of December 31, 2021, we have recorded $0.6 million of deferred revenue associated with the Acceleron collaboration agreement, which is classified as either current or net of current portion in our consolidated balance sheets based on the period over which the revenue is expected to be recognized. As of September 30, 2022, we had received $4.9 million of cost reimbursement payments and $2.0 million of milestone payments under the Acceleron collaboration agreement. As of September 30, 2022, we recorded no unbilled accounts receivable related to</w:t>
      </w:r>
    </w:p>
    <w:p>
      <w:pPr>
        <w:ind w:right="60"/>
        <w:spacing w:after="0" w:line="260" w:lineRule="auto"/>
        <w:rPr>
          <w:sz w:val="20"/>
          <w:szCs w:val="20"/>
          <w:color w:val="auto"/>
        </w:rPr>
      </w:pPr>
      <w:r>
        <w:rPr>
          <w:rFonts w:ascii="Times New Roman" w:cs="Times New Roman" w:eastAsia="Times New Roman" w:hAnsi="Times New Roman"/>
          <w:sz w:val="18"/>
          <w:szCs w:val="18"/>
          <w:color w:val="auto"/>
        </w:rPr>
        <w:t>reimbursable research and development costs under the Acceleron collaboration agreement. As of September 30, 2022, we recorded accounts receivable of less than $0.1 million under the Acceleron collaboration agreement.</w:t>
      </w:r>
    </w:p>
    <w:p>
      <w:pPr>
        <w:spacing w:after="0" w:line="16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July 20, 2020, we entered into a collaboration and license agreement with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8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and 2021, we recognized $1.2 million and $2.1 million, respectively, of collaboration revenue under the MyoKardia collaboration agreement. For the nine months ended September 30, 2022 and 2021, we recognized $4.7 million and $6.3 million, respectively, of collaboration revenue under the MyoKardia collaboration agreement. As of September 30, 2022 and December 31, 2021, we have recorded $1.4 million and $4.1 million, respectively, of deferred revenue associated with the MyoKardia collaboration agreement, which is classified as either current or net of current portion in our consolidated balance sheets based on the period over which the revenue is expected to be recognized. As of September 30, 2022, we had received $4.8 million of cost reimbursement payments and $2.5 million of milestone payments under the MyoKardia collaboration agreement. As of September 30, 2022, we recorded unbilled accounts receivable of $0.8 million related to reimbursable research and development costs under the MyoKardia collaboration agreement for activities performed during the three months ended September 30, 2022. As of September 30, 2022, we recorded no accounts receivable under the MyoKardia collaboration agreement.</w:t>
      </w:r>
    </w:p>
    <w:p>
      <w:pPr>
        <w:spacing w:after="0" w:line="179" w:lineRule="exact"/>
        <w:rPr>
          <w:sz w:val="20"/>
          <w:szCs w:val="20"/>
          <w:color w:val="auto"/>
        </w:rPr>
      </w:pPr>
    </w:p>
    <w:p>
      <w:pPr>
        <w:ind w:right="220" w:firstLine="509"/>
        <w:spacing w:after="0" w:line="247" w:lineRule="auto"/>
        <w:rPr>
          <w:sz w:val="20"/>
          <w:szCs w:val="20"/>
          <w:color w:val="auto"/>
        </w:rPr>
      </w:pPr>
      <w:r>
        <w:rPr>
          <w:rFonts w:ascii="Times New Roman" w:cs="Times New Roman" w:eastAsia="Times New Roman" w:hAnsi="Times New Roman"/>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68" w:lineRule="exact"/>
        <w:rPr>
          <w:sz w:val="20"/>
          <w:szCs w:val="20"/>
          <w:color w:val="auto"/>
        </w:rPr>
      </w:pPr>
    </w:p>
    <w:p>
      <w:pPr>
        <w:ind w:left="900" w:right="7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0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expenses associated with our right of reference and license agreement with GlaxoSmithKline plc, or GSK.</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7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and nine months ended September 30, 2022 and 2021. Pre-development candidate expenses, unallocated expenses and internal research and development expenses are classified separately. Losmapimod external expenses during the nine months ended September 30, 2022 include a $5.0 million milestone achieved under our right of reference and license agreement with GSK upon initiation of the REACH trial during the second quarter of 2022.</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17,941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15,416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FTX-6058 external expenses</w:t>
            </w:r>
          </w:p>
        </w:tc>
        <w:tc>
          <w:tcPr>
            <w:tcW w:w="2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9,467</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12,281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12,247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15,880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13,659</w:t>
            </w: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15,366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58,216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50,789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69"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in light of the ongoing COVID-19 pandemic;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1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6"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67" w:lineRule="exact"/>
        <w:rPr>
          <w:sz w:val="20"/>
          <w:szCs w:val="20"/>
          <w:color w:val="auto"/>
        </w:rPr>
      </w:pPr>
    </w:p>
    <w:p>
      <w:pPr>
        <w:ind w:right="180" w:firstLine="509"/>
        <w:spacing w:after="0"/>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14"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In August 2022, we announced the implementation of a strategic plan to realign internal investments and operations to prioritize our two clinical programs. In connection with this decision, we announced a workforce reduction of 25% of our planned headcount, which was completed in August 2022. Restructuring expenses consist of severance and other employee-related costs.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1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September 30, 2022 and 2021, along with the changes in those items in dollars: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15,366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(1,711 )</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25,538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25,705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(23,738 )</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(20,716 )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-599440</wp:posOffset>
            </wp:positionV>
            <wp:extent cx="8572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-599440</wp:posOffset>
            </wp:positionV>
            <wp:extent cx="7683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Collaboration revenue decreased by $3.7 million from $4.9 million for the three months ended September 30, 2021 to $1.2 million for the three months ended September 30, 2022.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September 30, 2022 and 2021 we recognized zero and $2.9 million, respectively, of collaboration revenue under the Acceleron collaboration agreement and $1.2 million and $2.1 million, respectively, of collaboration revenue under the MyoKardia collaboration agreement.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2022:</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color w:val="auto"/>
                <w:highlight w:val="white"/>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-650875</wp:posOffset>
            </wp:positionV>
            <wp:extent cx="6032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-650875</wp:posOffset>
            </wp:positionV>
            <wp:extent cx="5143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33" w:name="page34"/>
    <w:bookmarkEnd w:id="33"/>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$1.7 million from $17.1 million for the three months ended September 30, 2021 to $15.4 million for the three months ended September 30, 2022. The decrease in research and development expense was primarily attributable to the following:</w:t>
      </w:r>
    </w:p>
    <w:p>
      <w:pPr>
        <w:spacing w:after="0" w:line="40" w:lineRule="exact"/>
        <w:rPr>
          <w:sz w:val="20"/>
          <w:szCs w:val="20"/>
          <w:color w:val="auto"/>
        </w:rPr>
      </w:pPr>
    </w:p>
    <w:p>
      <w:pPr>
        <w:ind w:left="1020" w:right="180" w:hanging="503"/>
        <w:spacing w:after="0" w:line="296"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$0.9 million in decreased employee compensation costs, including a $0.2 million decrease in stock-based compensation expense, primarily due to decreased research and development headcount as a result of our workforce reduction that was completed in August 2022;</w:t>
      </w:r>
    </w:p>
    <w:p>
      <w:pPr>
        <w:spacing w:after="0" w:line="4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 decreased external research and development costs;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laboratory supplies.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2022:</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(1,959 )</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from $8.6 million for the three months ended September 30, 2021 to $9.7 million for the three months ended September 30, 2022. The increase in general and administrative expenses was primarily attributable to the following:</w:t>
      </w:r>
    </w:p>
    <w:p>
      <w:pPr>
        <w:spacing w:after="0" w:line="68" w:lineRule="exact"/>
        <w:rPr>
          <w:sz w:val="20"/>
          <w:szCs w:val="20"/>
          <w:color w:val="auto"/>
        </w:rPr>
      </w:pPr>
    </w:p>
    <w:p>
      <w:pPr>
        <w:ind w:left="900" w:right="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 increased employee compensation costs, including a $0.9 million increase in stock-based compensation expense, primarily due to increased general and administrative headcount;</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 increased facility-related costs, primarily associated with our lease agreement for additional office space at 125 Sidney Street in Cambridge, Massachusetts, which commenced in November 2021, as well as depreciation and other utility and maintenance costs; and</w:t>
      </w:r>
    </w:p>
    <w:p>
      <w:pPr>
        <w:spacing w:after="0" w:line="40"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 increased other costs, offset by a $2.0 million decrease in professional services, primarily due to decreased use of consulting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1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Restructuring charges were $0.5 million for the three months ended September 30, 2022, compared to zero for the three months ended September 30, 2021. In August 2022, we announced the implementation of a strategic plan to realign internal investments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4" w:name="page35"/>
    <w:bookmarkEnd w:id="34"/>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operations to prioritize our two clinical programs. In connection with this decision, we announced a workforce reduction of 25% of our planned headcount, which was completed in August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14"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by $0.6 million from less than $0.1 million for the three months ended September 30, 2021 to $0.6 million for the three months ended September 30, 2022. The increase in other income, net was primarily attributable to an increased rate of return on our cash, cash equivalents, and marketable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nine months ended September 30, 2022 and 2021 along with the changes in those items in dollars:</w:t>
      </w:r>
    </w:p>
    <w:tbl>
      <w:tblPr>
        <w:tblLayout w:type="fixed"/>
        <w:tblInd w:w="1140" w:type="dxa"/>
        <w:tblCellMar>
          <w:top w:w="0" w:type="dxa"/>
          <w:left w:w="0" w:type="dxa"/>
          <w:bottom w:w="0" w:type="dxa"/>
          <w:right w:w="0" w:type="dxa"/>
        </w:tblCellMar>
      </w:tblPr>
      <w:tr>
        <w:trPr>
          <w:trHeight w:val="131"/>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gridSpan w:val="5"/>
          </w:tcPr>
          <w:p>
            <w:pPr>
              <w:jc w:val="right"/>
              <w:ind w:right="681"/>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1"/>
                <w:szCs w:val="11"/>
                <w:color w:val="auto"/>
              </w:rPr>
            </w:pPr>
          </w:p>
        </w:tc>
        <w:tc>
          <w:tcPr>
            <w:tcW w:w="9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90,245</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-599440</wp:posOffset>
            </wp:positionV>
            <wp:extent cx="6032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5143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Collaboration revenue decreased by $8.4 million from $14.1 million for the nine months ended September 30, 2021 to $5.7 million for the nine months ended September 30, 2022.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nine months ended September 30, 2022 and 2021, we recognized $1.0 million and $7.8 million, respectively, of collaboration revenue under the Acceleron collaboration agreement and $4.7 million and $6.3 million, respectively, of collaboration revenue under the MyoKardia collaboration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2022:</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58,216</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50,789</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-659765</wp:posOffset>
            </wp:positionV>
            <wp:extent cx="6032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-659765</wp:posOffset>
            </wp:positionV>
            <wp:extent cx="5143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-659765</wp:posOffset>
            </wp:positionV>
            <wp:extent cx="5143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$7.4 million from $50.8 million for the nine months ended September 30, 2021 to $58.2 million for the nine months ended September 30, 2022. The increase in research and development expense was primarily attributable to the following:</w:t>
      </w:r>
    </w:p>
    <w:p>
      <w:pPr>
        <w:spacing w:after="0" w:line="40" w:lineRule="exact"/>
        <w:rPr>
          <w:sz w:val="20"/>
          <w:szCs w:val="20"/>
          <w:color w:val="auto"/>
        </w:rPr>
      </w:pPr>
    </w:p>
    <w:p>
      <w:pPr>
        <w:ind w:left="1020" w:right="4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in increased external research and development costs, primarily associated with a $5.0 million milestone achieved during the second quarter of 2022 under the right of reference and license agreement with GSK upon the initiation of REACH during the second quarter of 2022;</w:t>
      </w:r>
    </w:p>
    <w:p>
      <w:pPr>
        <w:spacing w:after="0" w:line="61"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 increased employee compensation costs, including a $0.2 million increase in stock-based compensation expense, primarily due to increased research and development headcount;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 increased facilities costs;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other costs, offset by a $0.5 million decrease in laboratory supplies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2022 and 2021:</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$10.8 million from $20.8 million for the nine months ended September 30, 2021 to $31.6 million for the nine months ended September 30, 2022. The increase in general and administrative expenses was primarily attributable to the following:</w:t>
      </w:r>
    </w:p>
    <w:p>
      <w:pPr>
        <w:spacing w:after="0" w:line="68" w:lineRule="exact"/>
        <w:rPr>
          <w:sz w:val="20"/>
          <w:szCs w:val="20"/>
          <w:color w:val="auto"/>
        </w:rPr>
      </w:pPr>
    </w:p>
    <w:p>
      <w:pPr>
        <w:ind w:left="900" w:right="1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million in increased employee compensation costs, including a $2.6 million increase in stock-based compensation expense, primarily due to increased general and administrative headcount;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 increased professional services, primarily due to increased use of consulting services and preparatory commercial activities;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 increased facility-related costs, primarily associated with our lease agreement for additional office space at 125 Sidney Street in Cambridge, Massachusetts, which commenced in November 2021, as well as depreciation and other utility and maintenance costs;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1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Restructuring charges were $0.5 million for the nine months ended September 30, 2022, compared to zero for the nine months ended September 30, 2021. In August 2022, we announced the implementation of a strategic plan to realign internal investments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operations to prioritize our two clinical programs. In connection with this decision, we announced a workforce reduction of 25% of our planned headcount, which was completed in August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14"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by $0.8 million from $0.1 million for the nine months ended September 30, 2021 to $0.9 million for the nine months ended September 30, 2022. The increase in other income, net was primarily attributable to an increased rate of return on our cash, cash equivalents, and marketable securities.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September 30, 2022, we have funded our operations primarily with aggregate gross proceeds of $587.5 million from the sale of shares of our capital stock and from upfront payments received under our collaboration and license agreements. As of September 30, 2022, we had cash, cash equivalents, and marketable securities of $221.8 million.</w:t>
      </w:r>
    </w:p>
    <w:p>
      <w:pPr>
        <w:spacing w:after="0" w:line="195" w:lineRule="exact"/>
        <w:rPr>
          <w:sz w:val="20"/>
          <w:szCs w:val="20"/>
          <w:color w:val="auto"/>
        </w:rPr>
      </w:pPr>
    </w:p>
    <w:p>
      <w:pPr>
        <w:ind w:right="460" w:firstLine="509"/>
        <w:spacing w:after="0" w:line="250" w:lineRule="auto"/>
        <w:rPr>
          <w:sz w:val="20"/>
          <w:szCs w:val="20"/>
          <w:color w:val="auto"/>
        </w:rPr>
      </w:pPr>
      <w:r>
        <w:rPr>
          <w:rFonts w:ascii="Times New Roman" w:cs="Times New Roman" w:eastAsia="Times New Roman" w:hAnsi="Times New Roman"/>
          <w:sz w:val="18"/>
          <w:szCs w:val="18"/>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190" w:lineRule="exact"/>
        <w:rPr>
          <w:sz w:val="20"/>
          <w:szCs w:val="20"/>
          <w:color w:val="auto"/>
        </w:rPr>
      </w:pPr>
    </w:p>
    <w:p>
      <w:pPr>
        <w:jc w:val="both"/>
        <w:ind w:right="500" w:firstLine="509"/>
        <w:spacing w:after="0" w:line="250" w:lineRule="auto"/>
        <w:rPr>
          <w:sz w:val="20"/>
          <w:szCs w:val="20"/>
          <w:color w:val="auto"/>
        </w:rPr>
      </w:pPr>
      <w:r>
        <w:rPr>
          <w:rFonts w:ascii="Times New Roman" w:cs="Times New Roman" w:eastAsia="Times New Roman" w:hAnsi="Times New Roman"/>
          <w:sz w:val="18"/>
          <w:szCs w:val="18"/>
          <w:color w:val="auto"/>
        </w:rPr>
        <w:t>On August 16, 2021, we completed a public offering of our common stock and issued and sold 7,590,000 shares of common stock at a public offering price of $19.00 per share, resulting in net proceeds of $135.5 million after deducting underwriting discounts and commissions and offering expenses.</w:t>
      </w:r>
    </w:p>
    <w:p>
      <w:pPr>
        <w:spacing w:after="0" w:line="19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On May 9 2022, we entered into an equity distribution agreement with Piper Sandler &amp; Co., as sales agent, with respect to an at-the-market offering program pursuant to which we may offer and sell, from time to time in our sole discretion, shares of our common stock, par value $0.001 per share, having an aggregate offering price of up to $50.0 million through the sales agent. As of September 30, 2022, we have not issued or sold any shares of common stock under the at-the-market offering program.</w:t>
      </w:r>
    </w:p>
    <w:p>
      <w:pPr>
        <w:spacing w:after="0" w:line="194" w:lineRule="exact"/>
        <w:rPr>
          <w:sz w:val="20"/>
          <w:szCs w:val="20"/>
          <w:color w:val="auto"/>
        </w:rPr>
      </w:pPr>
    </w:p>
    <w:p>
      <w:pPr>
        <w:ind w:right="120" w:firstLine="509"/>
        <w:spacing w:after="0" w:line="296" w:lineRule="auto"/>
        <w:rPr>
          <w:sz w:val="20"/>
          <w:szCs w:val="20"/>
          <w:color w:val="auto"/>
        </w:rPr>
      </w:pPr>
      <w:r>
        <w:rPr>
          <w:rFonts w:ascii="Times New Roman" w:cs="Times New Roman" w:eastAsia="Times New Roman" w:hAnsi="Times New Roman"/>
          <w:sz w:val="17"/>
          <w:szCs w:val="17"/>
          <w:color w:val="auto"/>
        </w:rPr>
        <w:t>In August 2022, we completed a public offering of our common stock and issued and sold 11,029,410 shares of common stock at a public offering price of $7.82 per share, resulting in net proceeds of $80.8 million after deducting underwriting discounts and commissions and offering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2022 and 2021:</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(77,354 )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84,105</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55,526</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ind w:right="200" w:firstLine="509"/>
        <w:spacing w:after="0" w:line="236" w:lineRule="auto"/>
        <w:rPr>
          <w:sz w:val="20"/>
          <w:szCs w:val="20"/>
          <w:color w:val="auto"/>
        </w:rPr>
      </w:pPr>
      <w:r>
        <w:rPr>
          <w:rFonts w:ascii="Times New Roman" w:cs="Times New Roman" w:eastAsia="Times New Roman" w:hAnsi="Times New Roman"/>
          <w:sz w:val="18"/>
          <w:szCs w:val="18"/>
          <w:color w:val="auto"/>
        </w:rPr>
        <w:t>Net cash used in operating activities was $77.4 million during the nine months ended September 30, 2022 compared to net cash used in operating activities of $56.6 million during the nine months ended September 30, 2021. The increase in net cash used in operating activities of $20.8 million was primarily due to increased external research and development costs as we continue to</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7" w:name="page38"/>
    <w:bookmarkEnd w:id="37"/>
    <w:p>
      <w:pPr>
        <w:ind w:right="820"/>
        <w:spacing w:after="0" w:line="250" w:lineRule="auto"/>
        <w:rPr>
          <w:sz w:val="20"/>
          <w:szCs w:val="20"/>
          <w:color w:val="auto"/>
        </w:rPr>
      </w:pPr>
      <w:r>
        <w:rPr>
          <w:rFonts w:ascii="Times New Roman" w:cs="Times New Roman" w:eastAsia="Times New Roman" w:hAnsi="Times New Roman"/>
          <w:sz w:val="18"/>
          <w:szCs w:val="18"/>
          <w:color w:val="auto"/>
        </w:rPr>
        <w:t>advance our lead programs, increased employee compensation costs, and increased general and administrative costs to support the growth of our organization.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00" w:lineRule="exact"/>
        <w:rPr>
          <w:sz w:val="20"/>
          <w:szCs w:val="20"/>
          <w:color w:val="auto"/>
        </w:rPr>
      </w:pPr>
    </w:p>
    <w:p>
      <w:pPr>
        <w:ind w:right="40" w:firstLine="509"/>
        <w:spacing w:after="0" w:line="222" w:lineRule="auto"/>
        <w:rPr>
          <w:sz w:val="20"/>
          <w:szCs w:val="20"/>
          <w:color w:val="auto"/>
        </w:rPr>
      </w:pPr>
      <w:r>
        <w:rPr>
          <w:rFonts w:ascii="Times New Roman" w:cs="Times New Roman" w:eastAsia="Times New Roman" w:hAnsi="Times New Roman"/>
          <w:sz w:val="18"/>
          <w:szCs w:val="18"/>
          <w:color w:val="auto"/>
        </w:rPr>
        <w:t>Net cash provided by investing activities was $48.8 million during the nine months ended September 30, 2022 compared to net cash used in investing activities of $120.6 million during the nine months ended September 30, 2021. The increase in net cash provided by investing activities of $169.0</w:t>
      </w:r>
    </w:p>
    <w:p>
      <w:pPr>
        <w:spacing w:after="0" w:line="2"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million was primarily due to net maturities of marketable securities during the nine months ended September 30, 2022, as compared to net purchases of marketable securities during the nine months ended September 30, 2021.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$84.1 million during the nine months ended September 30, 2022 compared to net cash provided by financing activities of $185.6 million during the nine months ended September 30, 2021. Net cash provided by financing activities during the nine months ended September 30, 2022 primarily consisted of net proceeds of $80.8 million from the completion of the public offering of our common stock in August 2022. Net cash provided by financing activities during the nine months ended September 30, 2021 primarily consisted of net proceeds of $182.9 million from the completion of the public offerings of our common stock in January 2021 and August 2021.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77"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including successful implementation of the operational realignment, we believe that our existing cash, cash equivalents, and marketable securities as of September 30, 2022, will enable us to fund our operating expenses and capital expenditure requirements into late-2024. However, we have based this estimate on assumptions that may prove to be wrong and we could exhaust our capital resources sooner than we expect.</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FTX-6058;</w:t>
      </w:r>
    </w:p>
    <w:p>
      <w:pPr>
        <w:spacing w:after="0" w:line="103"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realize the anticipated operating cost savings and operating efficiencies that we anticipate from our strategic reorganization;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76" w:lineRule="exact"/>
        <w:rPr>
          <w:rFonts w:ascii="Times New Roman" w:cs="Times New Roman" w:eastAsia="Times New Roman" w:hAnsi="Times New Roman"/>
          <w:sz w:val="18"/>
          <w:szCs w:val="18"/>
          <w:color w:val="auto"/>
        </w:rPr>
      </w:pPr>
    </w:p>
    <w:p>
      <w:pPr>
        <w:ind w:left="900" w:right="30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90" w:lineRule="exact"/>
        <w:rPr>
          <w:rFonts w:ascii="Times New Roman" w:cs="Times New Roman" w:eastAsia="Times New Roman" w:hAnsi="Times New Roman"/>
          <w:sz w:val="18"/>
          <w:szCs w:val="18"/>
          <w:color w:val="auto"/>
        </w:rPr>
      </w:pPr>
    </w:p>
    <w:p>
      <w:pPr>
        <w:ind w:left="900" w:right="66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ind w:left="900" w:right="1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1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2022, there were no material changes to our critical accounting policies from those described in our Annual Report on Form 10-K filed with the SEC on March 3,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32" w:lineRule="exact"/>
        <w:rPr>
          <w:sz w:val="20"/>
          <w:szCs w:val="20"/>
          <w:color w:val="auto"/>
        </w:rPr>
      </w:pPr>
    </w:p>
    <w:p>
      <w:pPr>
        <w:ind w:right="80" w:firstLine="509"/>
        <w:spacing w:after="0" w:line="23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$80.8 million for the year ended December 31, 2021 and $83.7 million for the nine months ended September 30, 2022. As of September 30, 2022, we had an accumulated deficit of $386.2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8"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through later stage trials, such as REACH, the Phase 3 clinical trial of losmapimod for the treatment of FSHD;</w:t>
      </w:r>
    </w:p>
    <w:p>
      <w:pPr>
        <w:spacing w:after="0" w:line="54"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0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1" w:name="page42"/>
    <w:bookmarkEnd w:id="41"/>
    <w:p>
      <w:pPr>
        <w:ind w:right="160" w:firstLine="509"/>
        <w:spacing w:after="0" w:line="23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0" w:lineRule="exact"/>
        <w:rPr>
          <w:sz w:val="20"/>
          <w:szCs w:val="20"/>
          <w:color w:val="auto"/>
        </w:rPr>
      </w:pPr>
    </w:p>
    <w:p>
      <w:pPr>
        <w:ind w:left="900" w:right="62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19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0"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7"/>
          <w:szCs w:val="17"/>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w:t>
      </w:r>
    </w:p>
    <w:p>
      <w:pPr>
        <w:ind w:right="80"/>
        <w:spacing w:after="0" w:line="220" w:lineRule="auto"/>
        <w:rPr>
          <w:sz w:val="20"/>
          <w:szCs w:val="20"/>
          <w:color w:val="auto"/>
        </w:rPr>
      </w:pPr>
      <w:r>
        <w:rPr>
          <w:rFonts w:ascii="Times New Roman" w:cs="Times New Roman" w:eastAsia="Times New Roman" w:hAnsi="Times New Roman"/>
          <w:sz w:val="17"/>
          <w:szCs w:val="17"/>
          <w:color w:val="auto"/>
        </w:rPr>
        <w:t>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w:t>
      </w:r>
    </w:p>
    <w:p>
      <w:pPr>
        <w:spacing w:after="0" w:line="2"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8"/>
          <w:szCs w:val="18"/>
          <w:color w:val="auto"/>
        </w:rPr>
        <w:t>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programs or any future commercialization efforts.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900" w:right="40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and FTX-6058, including REACH, the Phase 3 clinical trial of losmapimod for the treatment of FSHD, which enrolled its first patient in June 2022;</w:t>
      </w:r>
    </w:p>
    <w:p>
      <w:pPr>
        <w:spacing w:after="0" w:line="63" w:lineRule="exact"/>
        <w:rPr>
          <w:rFonts w:ascii="Times New Roman" w:cs="Times New Roman" w:eastAsia="Times New Roman" w:hAnsi="Times New Roman"/>
          <w:sz w:val="18"/>
          <w:szCs w:val="18"/>
          <w:color w:val="auto"/>
        </w:rPr>
      </w:pPr>
    </w:p>
    <w:p>
      <w:pPr>
        <w:ind w:left="900" w:right="78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 such as our planned Phase 1b clinical trial of FTX-6058 in select hemoglobinopathies, including ß-thalassemia;</w:t>
      </w:r>
    </w:p>
    <w:p>
      <w:pPr>
        <w:spacing w:after="0" w:line="63" w:lineRule="exact"/>
        <w:rPr>
          <w:rFonts w:ascii="Times New Roman" w:cs="Times New Roman" w:eastAsia="Times New Roman" w:hAnsi="Times New Roman"/>
          <w:sz w:val="18"/>
          <w:szCs w:val="18"/>
          <w:color w:val="auto"/>
        </w:rPr>
      </w:pPr>
    </w:p>
    <w:p>
      <w:pPr>
        <w:ind w:left="900" w:right="54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0" w:lineRule="exact"/>
        <w:rPr>
          <w:rFonts w:ascii="Times New Roman" w:cs="Times New Roman" w:eastAsia="Times New Roman" w:hAnsi="Times New Roman"/>
          <w:sz w:val="18"/>
          <w:szCs w:val="18"/>
          <w:color w:val="auto"/>
        </w:rPr>
      </w:pPr>
    </w:p>
    <w:p>
      <w:pPr>
        <w:ind w:left="900" w:right="22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90" w:lineRule="exact"/>
        <w:rPr>
          <w:rFonts w:ascii="Times New Roman" w:cs="Times New Roman" w:eastAsia="Times New Roman" w:hAnsi="Times New Roman"/>
          <w:sz w:val="18"/>
          <w:szCs w:val="18"/>
          <w:color w:val="auto"/>
        </w:rPr>
      </w:pPr>
    </w:p>
    <w:p>
      <w:pPr>
        <w:ind w:left="900" w:right="64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76" w:lineRule="exact"/>
        <w:rPr>
          <w:rFonts w:ascii="Times New Roman" w:cs="Times New Roman" w:eastAsia="Times New Roman" w:hAnsi="Times New Roman"/>
          <w:sz w:val="18"/>
          <w:szCs w:val="18"/>
          <w:color w:val="auto"/>
        </w:rPr>
      </w:pPr>
    </w:p>
    <w:p>
      <w:pPr>
        <w:ind w:left="900" w:right="140" w:hanging="383"/>
        <w:spacing w:after="0" w:line="25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90" w:lineRule="exact"/>
        <w:rPr>
          <w:rFonts w:ascii="Times New Roman" w:cs="Times New Roman" w:eastAsia="Times New Roman" w:hAnsi="Times New Roman"/>
          <w:sz w:val="18"/>
          <w:szCs w:val="18"/>
          <w:color w:val="auto"/>
        </w:rPr>
      </w:pPr>
    </w:p>
    <w:p>
      <w:pPr>
        <w:ind w:left="900" w:right="800" w:hanging="383"/>
        <w:spacing w:after="0" w:line="23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and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2" w:name="page43"/>
    <w:bookmarkEnd w:id="42"/>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1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approximately $221.8 million. We believe that our cash, cash equivalents, and marketable securities as of September 30, 2022 will enable us to fund our operating expenses and capital expenditure requirements into late-2024.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7"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our recently announced strategic realignment.</w:t>
      </w:r>
    </w:p>
    <w:p>
      <w:pPr>
        <w:spacing w:after="0" w:line="29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45"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May 2022, we established a new ATM offering program to sell shares of our common stock having an aggregate offering price of up to $50.0 million from time to time. As of the end of the quarter, our stock price had declined by 54% in 2022, and it may continue to decline or remain at these prices during the remainder of 2022. Given the decrease in the market prices of our common stock and overall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spacing w:after="0" w:line="19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3" w:name="page44"/>
    <w:bookmarkEnd w:id="43"/>
    <w:p>
      <w:pPr>
        <w:ind w:right="420"/>
        <w:spacing w:after="0" w:line="282" w:lineRule="auto"/>
        <w:rPr>
          <w:sz w:val="20"/>
          <w:szCs w:val="20"/>
          <w:color w:val="auto"/>
        </w:rPr>
      </w:pPr>
      <w:r>
        <w:rPr>
          <w:rFonts w:ascii="Times New Roman" w:cs="Times New Roman" w:eastAsia="Times New Roman" w:hAnsi="Times New Roman"/>
          <w:sz w:val="18"/>
          <w:szCs w:val="18"/>
          <w:color w:val="auto"/>
        </w:rPr>
        <w:t>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4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21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73"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6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In light of the COVID-19 pandemic, we and our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pandemic.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response to the COVID-19 pandemic,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pandemic. In addition, since the beginning of the COVID-19 pandemic, several vaccines for COVID-19 have received Emergency Use Authorization by the FDA and a number of those later received marketing approval. Additional vaccines may be authorized or approved in the future. The response to the ongoing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recommended safety measures intended to limit in-person interactions.</w:t>
      </w:r>
    </w:p>
    <w:p>
      <w:pPr>
        <w:spacing w:after="0" w:line="7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Additionally, the impact of the ongoing COVID-19 pandemic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ongoing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ind w:right="460"/>
        <w:spacing w:after="0" w:line="282" w:lineRule="auto"/>
        <w:rPr>
          <w:sz w:val="20"/>
          <w:szCs w:val="20"/>
          <w:color w:val="auto"/>
        </w:rPr>
      </w:pPr>
      <w:r>
        <w:rPr>
          <w:rFonts w:ascii="Times New Roman" w:cs="Times New Roman" w:eastAsia="Times New Roman" w:hAnsi="Times New Roman"/>
          <w:sz w:val="18"/>
          <w:szCs w:val="18"/>
          <w:color w:val="auto"/>
        </w:rPr>
        <w:t>negative impact that the ongoing pandemic has on the ability of our CROs to deliver data sets and execute on experimentation could cause substantial delays for our discovery activities and materially impact our ability to fuel our pipeline with new product candidates.</w:t>
      </w:r>
    </w:p>
    <w:p>
      <w:pPr>
        <w:spacing w:after="0" w:line="40"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The ongoing COVID-19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ongoing COVID-19 pandemic will be on our business. The extent of the impact of COVID-19 on our business, financial condition, results of operations and prospects will depend on future developments that are uncertain, including as a result of new information that may emerge concerning COVID-19 or any variant strains of the virus and actions to be taken to contain or mitigate the impact of COVID-19, including the ongoing effectiveness of vaccines.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1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$245.8 million and $244.0 million, respectively, which begin to expire in 2035. Approximately $214.8 million of the federal net operating losses can be carried forward indefinitely. As of December 31, 2021, we also had federal orphan drug credits of $6.7 million, which begin to expire in 2040. As of December 31, 2021, we also had federal and state research and development tax credit carryforwards of $6.1 million and $3.3 million, respectively, which begin to expire in 2035 and 2030, respectively. These net operating loss and tax credit carryforwards could expire unused and be unavailable to offset future income tax liabilities.</w:t>
      </w:r>
    </w:p>
    <w:p>
      <w:pPr>
        <w:spacing w:after="0" w:line="69"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90"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0"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We are early in our development efforts, and we have advanced only two product candidates into clinical trials, losmapimod for the treatment of FSHD, and FTX-6058 for the treatment of SCD and select hemoglobinopathies. We have invested substantially all of our efforts and financial resources in</w:t>
      </w:r>
    </w:p>
    <w:p>
      <w:pPr>
        <w:ind w:right="120"/>
        <w:spacing w:after="0" w:line="226" w:lineRule="auto"/>
        <w:rPr>
          <w:sz w:val="20"/>
          <w:szCs w:val="20"/>
          <w:color w:val="auto"/>
        </w:rPr>
      </w:pPr>
      <w:r>
        <w:rPr>
          <w:rFonts w:ascii="Times New Roman" w:cs="Times New Roman" w:eastAsia="Times New Roman" w:hAnsi="Times New Roman"/>
          <w:sz w:val="18"/>
          <w:szCs w:val="18"/>
          <w:color w:val="auto"/>
        </w:rPr>
        <w:t>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51"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90"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FTX-6058 and future product candidates;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90" w:lineRule="exact"/>
        <w:rPr>
          <w:rFonts w:ascii="Times New Roman" w:cs="Times New Roman" w:eastAsia="Times New Roman" w:hAnsi="Times New Roman"/>
          <w:sz w:val="18"/>
          <w:szCs w:val="18"/>
          <w:color w:val="auto"/>
        </w:rPr>
      </w:pPr>
    </w:p>
    <w:p>
      <w:pPr>
        <w:ind w:left="900" w:right="10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19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product engine to build a pipeline of product candidates.</w:t>
      </w:r>
    </w:p>
    <w:p>
      <w:pPr>
        <w:spacing w:after="0" w:line="81" w:lineRule="exact"/>
        <w:rPr>
          <w:sz w:val="20"/>
          <w:szCs w:val="20"/>
          <w:color w:val="auto"/>
        </w:rPr>
      </w:pPr>
    </w:p>
    <w:p>
      <w:pPr>
        <w:ind w:right="80" w:firstLine="509"/>
        <w:spacing w:after="0" w:line="238" w:lineRule="auto"/>
        <w:rPr>
          <w:sz w:val="20"/>
          <w:szCs w:val="20"/>
          <w:color w:val="auto"/>
        </w:rPr>
      </w:pPr>
      <w:r>
        <w:rPr>
          <w:rFonts w:ascii="Times New Roman" w:cs="Times New Roman" w:eastAsia="Times New Roman" w:hAnsi="Times New Roman"/>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w:t>
      </w:r>
    </w:p>
    <w:p>
      <w:pPr>
        <w:spacing w:after="0" w:line="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8"/>
          <w:szCs w:val="18"/>
          <w:color w:val="auto"/>
        </w:rPr>
        <w:t>stockholders any assurance that we will be able to successfully identify additional product candidates with our product engine, including as a result of our collaboration with MyoKardia, advance any additional product candidates through the development process or successfully commercialize any such</w:t>
      </w:r>
    </w:p>
    <w:p>
      <w:pPr>
        <w:ind w:right="80"/>
        <w:spacing w:after="0" w:line="223" w:lineRule="auto"/>
        <w:rPr>
          <w:sz w:val="20"/>
          <w:szCs w:val="20"/>
          <w:color w:val="auto"/>
        </w:rPr>
      </w:pPr>
      <w:r>
        <w:rPr>
          <w:rFonts w:ascii="Times New Roman" w:cs="Times New Roman" w:eastAsia="Times New Roman" w:hAnsi="Times New Roman"/>
          <w:sz w:val="17"/>
          <w:szCs w:val="17"/>
          <w:color w:val="auto"/>
        </w:rPr>
        <w:t>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w:t>
      </w:r>
    </w:p>
    <w:p>
      <w:pPr>
        <w:spacing w:after="0" w:line="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7"/>
          <w:szCs w:val="17"/>
          <w:color w:val="auto"/>
        </w:rPr>
        <w:t>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6" w:name="page47"/>
    <w:bookmarkEnd w:id="46"/>
    <w:p>
      <w:pPr>
        <w:ind w:right="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7" w:lineRule="exact"/>
        <w:rPr>
          <w:sz w:val="20"/>
          <w:szCs w:val="20"/>
          <w:color w:val="auto"/>
        </w:rPr>
      </w:pPr>
    </w:p>
    <w:p>
      <w:pPr>
        <w:jc w:val="both"/>
        <w:ind w:right="220" w:firstLine="509"/>
        <w:spacing w:after="0" w:line="244"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2"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9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As described in Item 1 “Business—Licenses and Collaborations--Right of Reference and License Agreement with GlaxoSmithKline” in our Annual Report on Form 10-K for the year ended December 31, 2021, or the 2021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ind w:left="900" w:right="20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4" w:lineRule="exact"/>
        <w:rPr>
          <w:rFonts w:ascii="Times New Roman" w:cs="Times New Roman" w:eastAsia="Times New Roman" w:hAnsi="Times New Roman"/>
          <w:sz w:val="18"/>
          <w:szCs w:val="18"/>
          <w:color w:val="auto"/>
        </w:rPr>
      </w:pPr>
    </w:p>
    <w:p>
      <w:pPr>
        <w:ind w:left="900" w:right="78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4"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7" w:name="page48"/>
    <w:bookmarkEnd w:id="47"/>
    <w:p>
      <w:pPr>
        <w:ind w:left="900" w:right="340" w:hanging="383"/>
        <w:spacing w:after="0" w:line="312"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8" w:lineRule="exact"/>
        <w:rPr>
          <w:rFonts w:ascii="Times New Roman" w:cs="Times New Roman" w:eastAsia="Times New Roman" w:hAnsi="Times New Roman"/>
          <w:sz w:val="17"/>
          <w:szCs w:val="17"/>
          <w:color w:val="auto"/>
        </w:rPr>
      </w:pPr>
    </w:p>
    <w:p>
      <w:pPr>
        <w:ind w:left="900" w:right="80" w:hanging="383"/>
        <w:spacing w:after="0" w:line="25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1"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40" w:lineRule="exact"/>
        <w:rPr>
          <w:rFonts w:ascii="Times New Roman" w:cs="Times New Roman" w:eastAsia="Times New Roman" w:hAnsi="Times New Roman"/>
          <w:sz w:val="18"/>
          <w:szCs w:val="18"/>
          <w:color w:val="auto"/>
        </w:rPr>
      </w:pPr>
    </w:p>
    <w:p>
      <w:pPr>
        <w:ind w:left="900" w:right="380" w:hanging="383"/>
        <w:spacing w:after="0" w:line="279"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00" w:hanging="383"/>
        <w:spacing w:after="0" w:line="237"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0" w:lineRule="exact"/>
        <w:rPr>
          <w:rFonts w:ascii="Times New Roman" w:cs="Times New Roman" w:eastAsia="Times New Roman" w:hAnsi="Times New Roman"/>
          <w:sz w:val="18"/>
          <w:szCs w:val="18"/>
          <w:color w:val="auto"/>
        </w:rPr>
      </w:pPr>
    </w:p>
    <w:p>
      <w:pPr>
        <w:ind w:left="900" w:right="640" w:hanging="383"/>
        <w:spacing w:after="0" w:line="25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41" w:lineRule="exact"/>
        <w:rPr>
          <w:rFonts w:ascii="Times New Roman" w:cs="Times New Roman" w:eastAsia="Times New Roman" w:hAnsi="Times New Roman"/>
          <w:sz w:val="18"/>
          <w:szCs w:val="18"/>
          <w:color w:val="auto"/>
        </w:rPr>
      </w:pPr>
    </w:p>
    <w:p>
      <w:pPr>
        <w:ind w:left="900" w:right="340" w:hanging="383"/>
        <w:spacing w:after="0" w:line="25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4" w:lineRule="exact"/>
        <w:rPr>
          <w:rFonts w:ascii="Times New Roman" w:cs="Times New Roman" w:eastAsia="Times New Roman" w:hAnsi="Times New Roman"/>
          <w:sz w:val="18"/>
          <w:szCs w:val="18"/>
          <w:color w:val="auto"/>
        </w:rPr>
      </w:pPr>
    </w:p>
    <w:p>
      <w:pPr>
        <w:ind w:left="900" w:right="100" w:hanging="383"/>
        <w:spacing w:after="0" w:line="23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instability from an outbreak of pandemic or contagious disease, such as the ongoing COVID-19 pandemic, in or around the countries in which we conduct our clinical trials, could delay the commencement or rate of completion of our clinical trials; and</w:t>
      </w:r>
    </w:p>
    <w:p>
      <w:pPr>
        <w:spacing w:after="0" w:line="50" w:lineRule="exact"/>
        <w:rPr>
          <w:rFonts w:ascii="Times New Roman" w:cs="Times New Roman" w:eastAsia="Times New Roman" w:hAnsi="Times New Roman"/>
          <w:sz w:val="18"/>
          <w:szCs w:val="18"/>
          <w:color w:val="auto"/>
        </w:rPr>
      </w:pPr>
    </w:p>
    <w:p>
      <w:pPr>
        <w:ind w:left="900" w:right="400" w:hanging="383"/>
        <w:spacing w:after="0" w:line="25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68"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For example, in response to the ongoing COVID-19 pandemic,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82"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48" w:name="page49"/>
    <w:bookmarkEnd w:id="48"/>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w:t>
      </w:r>
    </w:p>
    <w:p>
      <w:pPr>
        <w:spacing w:after="0" w:line="2" w:lineRule="exact"/>
        <w:rPr>
          <w:sz w:val="20"/>
          <w:szCs w:val="20"/>
          <w:color w:val="auto"/>
        </w:rPr>
      </w:pPr>
    </w:p>
    <w:p>
      <w:pPr>
        <w:ind w:right="600"/>
        <w:spacing w:after="0" w:line="223" w:lineRule="auto"/>
        <w:rPr>
          <w:sz w:val="20"/>
          <w:szCs w:val="20"/>
          <w:color w:val="auto"/>
        </w:rPr>
      </w:pPr>
      <w:r>
        <w:rPr>
          <w:rFonts w:ascii="Times New Roman" w:cs="Times New Roman" w:eastAsia="Times New Roman" w:hAnsi="Times New Roman"/>
          <w:sz w:val="17"/>
          <w:szCs w:val="17"/>
          <w:color w:val="auto"/>
        </w:rPr>
        <w:t>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commercialize our product candidates and may harm our business and results of operations.</w:t>
      </w:r>
    </w:p>
    <w:p>
      <w:pPr>
        <w:spacing w:after="0" w:line="28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3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ongoing Phase 1b trial of FTX-6058, although we enrolled six subjects in the initial cohort, only three subjects remained evaluable as of the data cutoff date. Although we have modified the study protocol to monitor subject adherence,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04"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9" w:name="page50"/>
    <w:bookmarkEnd w:id="49"/>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0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0" w:lineRule="exact"/>
        <w:rPr>
          <w:sz w:val="20"/>
          <w:szCs w:val="20"/>
          <w:color w:val="auto"/>
        </w:rPr>
      </w:pPr>
    </w:p>
    <w:p>
      <w:pPr>
        <w:ind w:right="320" w:firstLine="509"/>
        <w:spacing w:after="0" w:line="232"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66"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0" w:name="page51"/>
    <w:bookmarkEnd w:id="50"/>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9"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63"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9"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1" w:name="page52"/>
    <w:bookmarkEnd w:id="51"/>
    <w:p>
      <w:pPr>
        <w:ind w:left="900" w:right="2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41"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30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1"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900" w:right="12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0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bluebird, Aruvant Sciences, Inc., Novo Nordisk A/S, or Novo Nordisk, Imara, Inc., Agios Pharmaceuticals, Inc., Forma Therapeutics Holdings, Inc., or Forma, (proposed to be acquired by Novo Nordisk), Global Blood Therapeutics, Inc. (recently acquired by Pfizer. Inc.), Takeda Pharmaceutical Company Limited, Pfizer, Inc., CSL Behring, Intellia Therapeutics, Inc., Editas Medicine, Inc., Sangamo Therapeutics Inc., or Sangamo and CRISPR Therapeutics AG (in collaboration with Vertex Pharmaceuticals, Inc.) are developing therapeutic approaches for patients with SCD. Acceleron (in collaboration with Celgene), Bellicum Pharmaceuticals, Inc., Silence Therapeutics plcImara Inc., Agios Pharmaceuticals, Inc., Forma, Ionis Pharmaceuticals, Inc., Orchard Therapeutics plc, Sangamo and CRISPR Therapeutics AG (in collaboration with Vertex Pharmaceuticals, Inc.) are developing therapeutic approaches for patients with ß-thalassemia.</w:t>
      </w:r>
    </w:p>
    <w:p>
      <w:pPr>
        <w:spacing w:after="0" w:line="9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7"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8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7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53" w:name="page54"/>
    <w:bookmarkEnd w:id="53"/>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7"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4" w:lineRule="exact"/>
        <w:rPr>
          <w:sz w:val="20"/>
          <w:szCs w:val="20"/>
          <w:color w:val="auto"/>
        </w:rPr>
      </w:pPr>
    </w:p>
    <w:p>
      <w:pPr>
        <w:ind w:right="100" w:firstLine="509"/>
        <w:spacing w:after="0" w:line="22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68" w:lineRule="exact"/>
        <w:rPr>
          <w:sz w:val="20"/>
          <w:szCs w:val="20"/>
          <w:color w:val="auto"/>
        </w:rPr>
      </w:pPr>
    </w:p>
    <w:p>
      <w:pPr>
        <w:ind w:right="60" w:firstLine="509"/>
        <w:spacing w:after="0" w:line="224"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5"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4"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30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Phase 2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300"/>
        <w:spacing w:after="0" w:line="258" w:lineRule="auto"/>
        <w:rPr>
          <w:sz w:val="20"/>
          <w:szCs w:val="20"/>
          <w:color w:val="auto"/>
        </w:rPr>
      </w:pPr>
      <w:r>
        <w:rPr>
          <w:rFonts w:ascii="Times New Roman" w:cs="Times New Roman" w:eastAsia="Times New Roman" w:hAnsi="Times New Roman"/>
          <w:sz w:val="18"/>
          <w:szCs w:val="18"/>
          <w:color w:val="auto"/>
        </w:rPr>
        <w:t>believe we have obtained sufficient quantities of FTX-6058 from a CMO for the completion of our ongoing Phase 1 clinical trial, our ongoing Phase 1b clinical trial for SCD, and our planned Phase 1b trial in non-SCD hemoglobinopathies, including ß-thalassemia, we cannot be sure we have correctly estimated our drug product requirements, which could delay, prevent or impair our development efforts.</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9" w:lineRule="exact"/>
        <w:rPr>
          <w:sz w:val="20"/>
          <w:szCs w:val="20"/>
          <w:color w:val="auto"/>
        </w:rPr>
      </w:pPr>
    </w:p>
    <w:p>
      <w:pPr>
        <w:ind w:right="20" w:firstLine="509"/>
        <w:spacing w:after="0" w:line="296"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8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entitled “Business — Pharmaceutical Insurance Coverage and Health Care Reform” in the 2021 Annual Report.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5" w:name="page56"/>
    <w:bookmarkEnd w:id="55"/>
    <w:p>
      <w:pPr>
        <w:ind w:firstLine="509"/>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81"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w:t>
      </w:r>
    </w:p>
    <w:p>
      <w:pPr>
        <w:spacing w:after="0" w:line="27"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70" w:lineRule="exact"/>
        <w:rPr>
          <w:sz w:val="20"/>
          <w:szCs w:val="20"/>
          <w:color w:val="auto"/>
        </w:rPr>
      </w:pPr>
    </w:p>
    <w:p>
      <w:pPr>
        <w:ind w:left="900" w:right="280" w:hanging="383"/>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54" w:lineRule="exact"/>
        <w:rPr>
          <w:rFonts w:ascii="Times New Roman" w:cs="Times New Roman" w:eastAsia="Times New Roman" w:hAnsi="Times New Roman"/>
          <w:sz w:val="18"/>
          <w:szCs w:val="18"/>
          <w:color w:val="auto"/>
        </w:rPr>
      </w:pPr>
    </w:p>
    <w:p>
      <w:pPr>
        <w:ind w:left="900" w:right="100" w:hanging="383"/>
        <w:spacing w:after="0" w:line="250"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68"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6" w:name="page57"/>
    <w:bookmarkEnd w:id="56"/>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16"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36"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64"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2"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7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ongoing clinical trials of losmapimod and FTX-6058.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7" w:name="page58"/>
    <w:bookmarkEnd w:id="57"/>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4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7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0"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See “Business—License Agreements and Collaborations” in the 2021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ind w:left="900" w:right="280" w:hanging="383"/>
        <w:spacing w:after="0" w:line="258"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1"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1" w:lineRule="exact"/>
        <w:rPr>
          <w:rFonts w:ascii="Times New Roman" w:cs="Times New Roman" w:eastAsia="Times New Roman" w:hAnsi="Times New Roman"/>
          <w:sz w:val="18"/>
          <w:szCs w:val="18"/>
          <w:color w:val="auto"/>
        </w:rPr>
      </w:pPr>
    </w:p>
    <w:p>
      <w:pPr>
        <w:ind w:left="900" w:right="60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900" w:right="160" w:hanging="383"/>
        <w:spacing w:after="0" w:line="250"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82" w:lineRule="exact"/>
        <w:rPr>
          <w:rFonts w:ascii="Times New Roman" w:cs="Times New Roman" w:eastAsia="Times New Roman" w:hAnsi="Times New Roman"/>
          <w:sz w:val="18"/>
          <w:szCs w:val="18"/>
          <w:color w:val="auto"/>
        </w:rPr>
      </w:pPr>
    </w:p>
    <w:p>
      <w:pPr>
        <w:ind w:left="900" w:right="560" w:hanging="383"/>
        <w:spacing w:after="0" w:line="250"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82"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4"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left="9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40" w:lineRule="exact"/>
        <w:rPr>
          <w:rFonts w:ascii="Times New Roman" w:cs="Times New Roman" w:eastAsia="Times New Roman" w:hAnsi="Times New Roman"/>
          <w:sz w:val="18"/>
          <w:szCs w:val="18"/>
          <w:color w:val="auto"/>
        </w:rPr>
      </w:pPr>
    </w:p>
    <w:p>
      <w:pPr>
        <w:ind w:left="900" w:right="60" w:hanging="383"/>
        <w:spacing w:after="0" w:line="250"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9"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0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40"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6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7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9"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40" w:lineRule="exact"/>
        <w:rPr>
          <w:sz w:val="20"/>
          <w:szCs w:val="20"/>
          <w:color w:val="auto"/>
        </w:rPr>
      </w:pPr>
    </w:p>
    <w:p>
      <w:pPr>
        <w:ind w:right="320" w:firstLine="509"/>
        <w:spacing w:after="0" w:line="296"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44"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2021 Annual Report.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right="80" w:firstLine="509"/>
        <w:spacing w:after="0" w:line="258" w:lineRule="auto"/>
        <w:rPr>
          <w:sz w:val="20"/>
          <w:szCs w:val="20"/>
          <w:color w:val="auto"/>
        </w:rPr>
      </w:pPr>
      <w:r>
        <w:rPr>
          <w:rFonts w:ascii="Times New Roman" w:cs="Times New Roman" w:eastAsia="Times New Roman" w:hAnsi="Times New Roman"/>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6"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94"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9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1" w:name="page62"/>
    <w:bookmarkEnd w:id="61"/>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7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202"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9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“Business—Intellectual Property” in the 2021 Annual Report for additional information regarding patent laws and patent protection.</w:t>
      </w:r>
    </w:p>
    <w:p>
      <w:pPr>
        <w:spacing w:after="0" w:line="272"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0"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4"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w:t>
      </w:r>
    </w:p>
    <w:p>
      <w:pPr>
        <w:spacing w:after="0" w:line="1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2"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8"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0" w:lineRule="exact"/>
        <w:rPr>
          <w:sz w:val="20"/>
          <w:szCs w:val="20"/>
          <w:color w:val="auto"/>
        </w:rPr>
      </w:pPr>
    </w:p>
    <w:p>
      <w:pPr>
        <w:ind w:right="120" w:firstLine="509"/>
        <w:spacing w:after="0" w:line="231"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3" w:name="page64"/>
    <w:bookmarkEnd w:id="63"/>
    <w:p>
      <w:pPr>
        <w:ind w:right="20"/>
        <w:spacing w:after="0" w:line="231" w:lineRule="auto"/>
        <w:rPr>
          <w:sz w:val="20"/>
          <w:szCs w:val="20"/>
          <w:color w:val="auto"/>
        </w:rPr>
      </w:pPr>
      <w:r>
        <w:rPr>
          <w:rFonts w:ascii="Times New Roman" w:cs="Times New Roman" w:eastAsia="Times New Roman" w:hAnsi="Times New Roman"/>
          <w:sz w:val="18"/>
          <w:szCs w:val="18"/>
          <w:color w:val="auto"/>
        </w:rPr>
        <w:t>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8"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8"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4" w:name="page65"/>
    <w:bookmarkEnd w:id="64"/>
    <w:p>
      <w:pPr>
        <w:ind w:right="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8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5" w:name="page66"/>
    <w:bookmarkEnd w:id="65"/>
    <w:p>
      <w:pPr>
        <w:ind w:right="60"/>
        <w:spacing w:after="0" w:line="266" w:lineRule="auto"/>
        <w:rPr>
          <w:sz w:val="20"/>
          <w:szCs w:val="20"/>
          <w:color w:val="auto"/>
        </w:rPr>
      </w:pPr>
      <w:r>
        <w:rPr>
          <w:rFonts w:ascii="Times New Roman" w:cs="Times New Roman" w:eastAsia="Times New Roman" w:hAnsi="Times New Roman"/>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20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6" w:name="page67"/>
    <w:bookmarkEnd w:id="66"/>
    <w:p>
      <w:pPr>
        <w:ind w:right="300"/>
        <w:spacing w:after="0" w:line="282" w:lineRule="auto"/>
        <w:rPr>
          <w:sz w:val="20"/>
          <w:szCs w:val="20"/>
          <w:color w:val="auto"/>
        </w:rPr>
      </w:pPr>
      <w:r>
        <w:rPr>
          <w:rFonts w:ascii="Times New Roman" w:cs="Times New Roman" w:eastAsia="Times New Roman" w:hAnsi="Times New Roman"/>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5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left="900" w:right="1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03"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6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8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3"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addition, since March 2020 when foreign and domestic inspections of facilities were largely placed on hold due to the COVID-19 pandemic, the FDA has been working to resume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7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8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it is determined that a drug no longer meets the criteria for orphan drug designation, including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73"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right="40"/>
        <w:spacing w:after="0" w:line="250" w:lineRule="auto"/>
        <w:rPr>
          <w:sz w:val="20"/>
          <w:szCs w:val="20"/>
          <w:color w:val="auto"/>
        </w:rPr>
      </w:pPr>
      <w:r>
        <w:rPr>
          <w:rFonts w:ascii="Times New Roman" w:cs="Times New Roman" w:eastAsia="Times New Roman" w:hAnsi="Times New Roman"/>
          <w:sz w:val="18"/>
          <w:szCs w:val="18"/>
          <w:color w:val="auto"/>
        </w:rPr>
        <w:t>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82"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7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6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69"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6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6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right="40"/>
        <w:spacing w:after="0" w:line="282" w:lineRule="auto"/>
        <w:rPr>
          <w:sz w:val="20"/>
          <w:szCs w:val="20"/>
          <w:color w:val="auto"/>
        </w:rPr>
      </w:pPr>
      <w:r>
        <w:rPr>
          <w:rFonts w:ascii="Times New Roman" w:cs="Times New Roman" w:eastAsia="Times New Roman" w:hAnsi="Times New Roman"/>
          <w:sz w:val="18"/>
          <w:szCs w:val="18"/>
          <w:color w:val="auto"/>
        </w:rPr>
        <w:t>an inability to obtain, any marketing approvals could prevent us from commercializing any product candidates in the United Kingdom and/or the European Union and restrict our ability to generate revenue and achieve and sustain profitability.</w:t>
      </w:r>
    </w:p>
    <w:p>
      <w:pPr>
        <w:spacing w:after="0" w:line="25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0"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40"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jc w:val="both"/>
        <w:ind w:right="500" w:firstLine="509"/>
        <w:spacing w:after="0" w:line="258"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6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We will also be subject to other regulatory requirements, including submissions of safety and other post-marketing</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information and reports, registration and listing requirements, requirements regarding the distribution of samples to clinicians, and recordkeeping.</w:t>
      </w:r>
    </w:p>
    <w:p>
      <w:pPr>
        <w:spacing w:after="0" w:line="329"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the section entitled “Business—Government Regulation and Product Approvals—Health Care Law and Regulation” in the 2021 Annual Report.</w:t>
      </w:r>
    </w:p>
    <w:p>
      <w:pPr>
        <w:spacing w:after="0" w:line="7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6"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7" w:lineRule="exact"/>
        <w:rPr>
          <w:sz w:val="20"/>
          <w:szCs w:val="20"/>
          <w:color w:val="auto"/>
        </w:rPr>
      </w:pPr>
    </w:p>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on May 25, 2018. The withdrawal of the United Kingdom from the European Union and the subsequent separation of the data protection regimes of these territories mean we are required to comply with separate data protection laws in the European Union and the United Kingdom, which may lead to additional compliance costs and could increase our overall risk.</w:t>
      </w:r>
    </w:p>
    <w:p>
      <w:pPr>
        <w:spacing w:after="0" w:line="67"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Similar data protection regulatory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in California, the California Consumer Protection Act, or CCPA, which went into effect on January 1, 2020, is creating similar risks and obligations as those created by the GDPR, and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For more information regarding the GDPR, the CCPA and other regulations, see Item 1 “Business –Government Regulation and Product Approvals” in the 2021 Annual Report.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firstLine="509"/>
        <w:spacing w:after="0" w:line="225"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EEA and the United Kingdom.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36"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2021 Annual Report.</w:t>
      </w:r>
    </w:p>
    <w:p>
      <w:pPr>
        <w:spacing w:after="0" w:line="67"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On August 16,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effect of Inflation Reduction Act of 2022 on our business and the healthcare industry in general is not yet known.</w:t>
      </w:r>
    </w:p>
    <w:p>
      <w:pPr>
        <w:spacing w:after="0" w:line="65" w:lineRule="exact"/>
        <w:rPr>
          <w:sz w:val="20"/>
          <w:szCs w:val="20"/>
          <w:color w:val="auto"/>
        </w:rPr>
      </w:pPr>
    </w:p>
    <w:p>
      <w:pPr>
        <w:ind w:right="80" w:firstLine="509"/>
        <w:spacing w:after="0" w:line="230"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81" w:lineRule="exact"/>
        <w:rPr>
          <w:sz w:val="20"/>
          <w:szCs w:val="20"/>
          <w:color w:val="auto"/>
        </w:rPr>
      </w:pPr>
    </w:p>
    <w:p>
      <w:pPr>
        <w:ind w:right="60" w:firstLine="509"/>
        <w:spacing w:after="0" w:line="217"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6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100" w:firstLine="509"/>
        <w:spacing w:after="0" w:line="226"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jc w:val="both"/>
        <w:ind w:right="180" w:firstLine="509"/>
        <w:spacing w:after="0" w:line="236"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3" w:lineRule="exact"/>
        <w:rPr>
          <w:sz w:val="20"/>
          <w:szCs w:val="20"/>
          <w:color w:val="auto"/>
        </w:rPr>
      </w:pPr>
    </w:p>
    <w:p>
      <w:pPr>
        <w:jc w:val="both"/>
        <w:ind w:right="220" w:firstLine="509"/>
        <w:spacing w:after="0" w:line="23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4"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7"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6"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7"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4" w:name="page75"/>
    <w:bookmarkEnd w:id="7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0"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66"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94"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75" w:name="page76"/>
    <w:bookmarkEnd w:id="75"/>
    <w:p>
      <w:pPr>
        <w:ind w:right="60" w:firstLine="509"/>
        <w:spacing w:after="0" w:line="225" w:lineRule="auto"/>
        <w:rPr>
          <w:sz w:val="20"/>
          <w:szCs w:val="20"/>
          <w:color w:val="auto"/>
        </w:rPr>
      </w:pPr>
      <w:r>
        <w:rPr>
          <w:rFonts w:ascii="Times New Roman" w:cs="Times New Roman" w:eastAsia="Times New Roman" w:hAnsi="Times New Roman"/>
          <w:sz w:val="18"/>
          <w:szCs w:val="18"/>
          <w:color w:val="auto"/>
        </w:rPr>
        <w:t>We have had recent executive transitions, including of our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We recently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3"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As of November 1, 2022, our executive officers and directors and our stockholders who owned more than 5% of our outstanding common stock in the aggregate beneficially owned shares representing approximately 65.4%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04"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16"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5540" w:right="2660" w:hanging="5023"/>
        <w:spacing w:after="0" w:line="516"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6" w:name="page77"/>
    <w:bookmarkEnd w:id="76"/>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4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7"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9" w:lineRule="exact"/>
        <w:rPr>
          <w:sz w:val="20"/>
          <w:szCs w:val="20"/>
          <w:color w:val="auto"/>
        </w:rPr>
      </w:pPr>
    </w:p>
    <w:p>
      <w:pPr>
        <w:ind w:left="900" w:right="84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7" w:name="page78"/>
    <w:bookmarkEnd w:id="77"/>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2"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0"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64"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72" w:lineRule="exact"/>
        <w:rPr>
          <w:sz w:val="20"/>
          <w:szCs w:val="20"/>
          <w:color w:val="auto"/>
        </w:rPr>
      </w:pPr>
    </w:p>
    <w:p>
      <w:pPr>
        <w:ind w:right="360" w:firstLine="509"/>
        <w:spacing w:after="0" w:line="242" w:lineRule="auto"/>
        <w:rPr>
          <w:sz w:val="20"/>
          <w:szCs w:val="20"/>
          <w:color w:val="auto"/>
        </w:rPr>
      </w:pPr>
      <w:r>
        <w:rPr>
          <w:rFonts w:ascii="Times New Roman" w:cs="Times New Roman" w:eastAsia="Times New Roman" w:hAnsi="Times New Roman"/>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2"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00" w:hanging="383"/>
        <w:spacing w:after="0" w:line="250"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0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78" w:name="page79"/>
    <w:bookmarkEnd w:id="78"/>
    <w:p>
      <w:pPr>
        <w:jc w:val="both"/>
        <w:ind w:right="140" w:firstLine="509"/>
        <w:spacing w:after="0" w:line="242"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0"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24"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ind w:right="40" w:firstLine="509"/>
        <w:spacing w:after="0" w:line="225"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78"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9" w:name="page80"/>
    <w:bookmarkEnd w:id="79"/>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7"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3"/>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0140" w:type="dxa"/>
            <w:vAlign w:val="bottom"/>
            <w:gridSpan w:val="17"/>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8-K filed with the Securities and Exchange Commission on July 22, 2019).</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w w:val="98"/>
              </w:rPr>
            </w:pPr>
            <w:hyperlink r:id="rId255">
              <w:r>
                <w:rPr>
                  <w:rFonts w:ascii="Times New Roman" w:cs="Times New Roman" w:eastAsia="Times New Roman" w:hAnsi="Times New Roman"/>
                  <w:sz w:val="18"/>
                  <w:szCs w:val="18"/>
                  <w:color w:val="0000FF"/>
                  <w:w w:val="98"/>
                </w:rPr>
                <w:t>Amended and Restated Bylaws of the Registrant (incorporated by reference</w:t>
              </w:r>
            </w:hyperlink>
          </w:p>
        </w:tc>
        <w:tc>
          <w:tcPr>
            <w:tcW w:w="4740" w:type="dxa"/>
            <w:vAlign w:val="bottom"/>
            <w:gridSpan w:val="9"/>
          </w:tcPr>
          <w:p>
            <w:pPr>
              <w:ind w:left="100"/>
              <w:spacing w:after="0" w:line="182"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to Exhibit 3.2 to the Registrant’s Current Report on Form 8-K</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filed with the Securities and Exchange Commission on July 22,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4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Employment Agreement by and between Mel Hayes and Fulcrum Therapeutics, Inc., dated as of September 7, 2021 (incorporated by</w:t>
              </w:r>
            </w:hyperlink>
          </w:p>
        </w:tc>
        <w:tc>
          <w:tcPr>
            <w:tcW w:w="5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40" w:type="dxa"/>
            <w:vAlign w:val="bottom"/>
            <w:gridSpan w:val="17"/>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reference to Exhibit 10.1 to the Registrant’s Current Report on Form 8-K filed with the Securities and Exchange Commission on August 11,</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56">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96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96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2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1010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6"/>
              </w:rPr>
              <w:t>Certification</w:t>
            </w:r>
          </w:p>
        </w:tc>
        <w:tc>
          <w:tcPr>
            <w:tcW w:w="20" w:type="dxa"/>
            <w:vAlign w:val="bottom"/>
            <w:tcBorders>
              <w:top w:val="single" w:sz="8" w:color="0000EE"/>
            </w:tcBorders>
          </w:tcPr>
          <w:p>
            <w:pPr>
              <w:spacing w:after="0"/>
              <w:rPr>
                <w:sz w:val="15"/>
                <w:szCs w:val="15"/>
                <w:color w:val="auto"/>
              </w:rPr>
            </w:pPr>
          </w:p>
        </w:tc>
        <w:tc>
          <w:tcPr>
            <w:tcW w:w="9220" w:type="dxa"/>
            <w:vAlign w:val="bottom"/>
            <w:gridSpan w:val="13"/>
          </w:tcPr>
          <w:p>
            <w:pPr>
              <w:ind w:left="4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100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3"/>
              </w:rPr>
              <w:t>Inline XBRL</w:t>
            </w:r>
          </w:p>
        </w:tc>
        <w:tc>
          <w:tcPr>
            <w:tcW w:w="20" w:type="dxa"/>
            <w:vAlign w:val="bottom"/>
            <w:tcBorders>
              <w:top w:val="single" w:sz="8" w:color="0000EE"/>
            </w:tcBorders>
          </w:tcPr>
          <w:p>
            <w:pPr>
              <w:spacing w:after="0"/>
              <w:rPr>
                <w:sz w:val="19"/>
                <w:szCs w:val="19"/>
                <w:color w:val="auto"/>
              </w:rPr>
            </w:pPr>
          </w:p>
        </w:tc>
        <w:tc>
          <w:tcPr>
            <w:tcW w:w="922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Instance Document</w:t>
            </w:r>
          </w:p>
        </w:tc>
        <w:tc>
          <w:tcPr>
            <w:tcW w:w="0" w:type="dxa"/>
            <w:vAlign w:val="bottom"/>
          </w:tcPr>
          <w:p>
            <w:pPr>
              <w:spacing w:after="0"/>
              <w:rPr>
                <w:sz w:val="1"/>
                <w:szCs w:val="1"/>
                <w:color w:val="auto"/>
              </w:rPr>
            </w:pPr>
          </w:p>
        </w:tc>
      </w:tr>
      <w:tr>
        <w:trPr>
          <w:trHeight w:val="35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1014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1014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1014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260" w:firstLine="21"/>
        <w:spacing w:after="0" w:line="406" w:lineRule="auto"/>
        <w:tabs>
          <w:tab w:leader="none" w:pos="109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ind w:left="140" w:hanging="132"/>
        <w:spacing w:after="0" w:line="236" w:lineRule="auto"/>
        <w:tabs>
          <w:tab w:leader="none" w:pos="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512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198" w:lineRule="exact"/>
        <w:rPr>
          <w:sz w:val="20"/>
          <w:szCs w:val="20"/>
          <w:color w:val="auto"/>
        </w:rPr>
      </w:pPr>
    </w:p>
    <w:p>
      <w:pPr>
        <w:ind w:left="5320" w:right="2220" w:hanging="7953"/>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Bryan Stuart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 and President, Director (Principal Executive Officer)</w:t>
      </w:r>
    </w:p>
    <w:p>
      <w:pPr>
        <w:spacing w:after="0" w:line="190" w:lineRule="exact"/>
        <w:rPr>
          <w:sz w:val="20"/>
          <w:szCs w:val="20"/>
          <w:color w:val="auto"/>
        </w:rPr>
      </w:pPr>
    </w:p>
    <w:p>
      <w:pPr>
        <w:ind w:left="5320" w:right="2100" w:hanging="7838"/>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Esther Rajavelu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Stuart, certify that:</w:t>
      </w:r>
    </w:p>
    <w:p>
      <w:pPr>
        <w:spacing w:after="0" w:line="117" w:lineRule="exact"/>
        <w:rPr>
          <w:sz w:val="20"/>
          <w:szCs w:val="20"/>
          <w:color w:val="auto"/>
        </w:rPr>
      </w:pPr>
    </w:p>
    <w:p>
      <w:pPr>
        <w:ind w:left="700" w:hanging="183"/>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40" w:firstLine="517"/>
        <w:spacing w:after="0" w:line="296" w:lineRule="auto"/>
        <w:tabs>
          <w:tab w:leader="none" w:pos="68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7"/>
          <w:szCs w:val="17"/>
          <w:color w:val="auto"/>
        </w:rPr>
      </w:pPr>
    </w:p>
    <w:p>
      <w:pPr>
        <w:ind w:firstLine="517"/>
        <w:spacing w:after="0" w:line="266"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40" w:firstLine="517"/>
        <w:spacing w:after="0" w:line="258"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520" w:right="380" w:firstLine="506"/>
        <w:spacing w:after="0" w:line="258"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520" w:right="100" w:firstLine="506"/>
        <w:spacing w:after="0" w:line="258"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520" w:right="200" w:firstLine="506"/>
        <w:spacing w:after="0" w:line="250"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firstLine="517"/>
        <w:spacing w:after="0" w:line="266"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440" w:firstLine="506"/>
        <w:spacing w:after="0" w:line="266"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520" w:right="120" w:firstLine="506"/>
        <w:spacing w:after="0" w:line="266"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Bryan Stuart</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Rajavelu, certify that:</w:t>
      </w:r>
    </w:p>
    <w:p>
      <w:pPr>
        <w:spacing w:after="0" w:line="117" w:lineRule="exact"/>
        <w:rPr>
          <w:sz w:val="20"/>
          <w:szCs w:val="20"/>
          <w:color w:val="auto"/>
        </w:rPr>
      </w:pPr>
    </w:p>
    <w:p>
      <w:pPr>
        <w:ind w:left="1080" w:hanging="563"/>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80" w:firstLine="517"/>
        <w:spacing w:after="0" w:line="258" w:lineRule="auto"/>
        <w:tabs>
          <w:tab w:leader="none" w:pos="10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right="540" w:firstLine="517"/>
        <w:spacing w:after="0" w:line="266" w:lineRule="auto"/>
        <w:tabs>
          <w:tab w:leader="none" w:pos="10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360" w:firstLine="517"/>
        <w:spacing w:after="0" w:line="254" w:lineRule="auto"/>
        <w:tabs>
          <w:tab w:leader="none" w:pos="10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8"/>
          <w:szCs w:val="18"/>
          <w:color w:val="auto"/>
        </w:rPr>
      </w:pPr>
    </w:p>
    <w:p>
      <w:pPr>
        <w:ind w:left="520" w:right="420" w:firstLine="507"/>
        <w:spacing w:after="0" w:line="258"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520" w:right="160" w:firstLine="507"/>
        <w:spacing w:after="0" w:line="258"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240" w:firstLine="507"/>
        <w:spacing w:after="0" w:line="282"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520" w:right="120" w:firstLine="507"/>
        <w:spacing w:after="0" w:line="258"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jc w:val="both"/>
        <w:ind w:right="600" w:firstLine="517"/>
        <w:spacing w:after="0" w:line="296" w:lineRule="auto"/>
        <w:tabs>
          <w:tab w:leader="none" w:pos="106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520" w:right="200" w:firstLine="507"/>
        <w:spacing w:after="0" w:line="282"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520" w:right="480" w:firstLine="507"/>
        <w:spacing w:after="0" w:line="266"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Esther Rajavelu</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2022,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tab/>
        <w:t>/s/ Bryan Stuart</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2022, as filed with the Securities and Exchange Commission on the date hereof (the “Report”), the undersigned, Esther Rajavelu, Chief Financial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decimal"/>
      <w:start w:val="12"/>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3"/>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o"/>
      <w:numFmt w:val="bullet"/>
      <w:start w:val="1"/>
    </w:lvl>
  </w:abstractNum>
  <w:abstractNum w:abstractNumId="26">
    <w:nsid w:val="3855585C"/>
    <w:multiLevelType w:val="hybridMultilevel"/>
    <w:lvl w:ilvl="0">
      <w:lvlJc w:val="left"/>
      <w:lvlText w:val="o"/>
      <w:numFmt w:val="bullet"/>
      <w:start w:val="1"/>
    </w:lvl>
  </w:abstractNum>
  <w:abstractNum w:abstractNumId="27">
    <w:nsid w:val="70A64E2A"/>
    <w:multiLevelType w:val="hybridMultilevel"/>
    <w:lvl w:ilvl="0">
      <w:lvlJc w:val="left"/>
      <w:lvlText w:val="o"/>
      <w:numFmt w:val="bullet"/>
      <w:start w:val="1"/>
    </w:lvl>
  </w:abstractNum>
  <w:abstractNum w:abstractNumId="28">
    <w:nsid w:val="6A2342EC"/>
    <w:multiLevelType w:val="hybridMultilevel"/>
    <w:lvl w:ilvl="0">
      <w:lvlJc w:val="left"/>
      <w:lvlText w:val="o"/>
      <w:numFmt w:val="bullet"/>
      <w:start w:val="1"/>
    </w:lvl>
  </w:abstractNum>
  <w:abstractNum w:abstractNumId="29">
    <w:nsid w:val="2A487CB0"/>
    <w:multiLevelType w:val="hybridMultilevel"/>
    <w:lvl w:ilvl="0">
      <w:lvlJc w:val="left"/>
      <w:lvlText w:val="o"/>
      <w:numFmt w:val="bullet"/>
      <w:start w:val="1"/>
    </w:lvl>
  </w:abstractNum>
  <w:abstractNum w:abstractNumId="30">
    <w:nsid w:val="1D4ED43B"/>
    <w:multiLevelType w:val="hybridMultilevel"/>
    <w:lvl w:ilvl="0">
      <w:lvlJc w:val="left"/>
      <w:lvlText w:val="o"/>
      <w:numFmt w:val="bullet"/>
      <w:start w:val="1"/>
    </w:lvl>
  </w:abstractNum>
  <w:abstractNum w:abstractNumId="31">
    <w:nsid w:val="725A06FB"/>
    <w:multiLevelType w:val="hybridMultilevel"/>
    <w:lvl w:ilvl="0">
      <w:lvlJc w:val="left"/>
      <w:lvlText w:val="o"/>
      <w:numFmt w:val="bullet"/>
      <w:start w:val="1"/>
    </w:lvl>
  </w:abstractNum>
  <w:abstractNum w:abstractNumId="32">
    <w:nsid w:val="2CD89A32"/>
    <w:multiLevelType w:val="hybridMultilevel"/>
    <w:lvl w:ilvl="0">
      <w:lvlJc w:val="left"/>
      <w:lvlText w:val="o"/>
      <w:numFmt w:val="bullet"/>
      <w:start w:val="1"/>
    </w:lvl>
  </w:abstractNum>
  <w:abstractNum w:abstractNumId="33">
    <w:nsid w:val="57E4CCAF"/>
    <w:multiLevelType w:val="hybridMultilevel"/>
    <w:lvl w:ilvl="0">
      <w:lvlJc w:val="left"/>
      <w:lvlText w:val="o"/>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o"/>
      <w:numFmt w:val="bullet"/>
      <w:start w:val="1"/>
    </w:lvl>
  </w:abstractNum>
  <w:abstractNum w:abstractNumId="37">
    <w:nsid w:val="6DE91B18"/>
    <w:multiLevelType w:val="hybridMultilevel"/>
    <w:lvl w:ilvl="0">
      <w:lvlJc w:val="left"/>
      <w:lvlText w:val="o"/>
      <w:numFmt w:val="bullet"/>
      <w:start w:val="1"/>
    </w:lvl>
  </w:abstractNum>
  <w:abstractNum w:abstractNumId="38">
    <w:nsid w:val="38437FDB"/>
    <w:multiLevelType w:val="hybridMultilevel"/>
    <w:lvl w:ilvl="0">
      <w:lvlJc w:val="left"/>
      <w:lvlText w:val="o"/>
      <w:numFmt w:val="bullet"/>
      <w:start w:val="1"/>
    </w:lvl>
  </w:abstractNum>
  <w:abstractNum w:abstractNumId="39">
    <w:nsid w:val="7644A45C"/>
    <w:multiLevelType w:val="hybridMultilevel"/>
    <w:lvl w:ilvl="0">
      <w:lvlJc w:val="left"/>
      <w:lvlText w:val="o"/>
      <w:numFmt w:val="bullet"/>
      <w:start w:val="1"/>
    </w:lvl>
  </w:abstractNum>
  <w:abstractNum w:abstractNumId="40">
    <w:nsid w:val="32FFF902"/>
    <w:multiLevelType w:val="hybridMultilevel"/>
    <w:lvl w:ilvl="0">
      <w:lvlJc w:val="left"/>
      <w:lvlText w:val="o"/>
      <w:numFmt w:val="bullet"/>
      <w:start w:val="1"/>
    </w:lvl>
  </w:abstractNum>
  <w:abstractNum w:abstractNumId="41">
    <w:nsid w:val="684A481A"/>
    <w:multiLevelType w:val="hybridMultilevel"/>
    <w:lvl w:ilvl="0">
      <w:lvlJc w:val="left"/>
      <w:lvlText w:val="o"/>
      <w:numFmt w:val="bullet"/>
      <w:start w:val="1"/>
    </w:lvl>
  </w:abstractNum>
  <w:abstractNum w:abstractNumId="42">
    <w:nsid w:val="579478FE"/>
    <w:multiLevelType w:val="hybridMultilevel"/>
    <w:lvl w:ilvl="0">
      <w:lvlJc w:val="left"/>
      <w:lvlText w:val="o"/>
      <w:numFmt w:val="bullet"/>
      <w:start w:val="1"/>
    </w:lvl>
  </w:abstractNum>
  <w:abstractNum w:abstractNumId="43">
    <w:nsid w:val="749ABB43"/>
    <w:multiLevelType w:val="hybridMultilevel"/>
    <w:lvl w:ilvl="0">
      <w:lvlJc w:val="left"/>
      <w:lvlText w:val="o"/>
      <w:numFmt w:val="bullet"/>
      <w:start w:val="1"/>
    </w:lvl>
  </w:abstractNum>
  <w:abstractNum w:abstractNumId="44">
    <w:nsid w:val="3DC240FB"/>
    <w:multiLevelType w:val="hybridMultilevel"/>
    <w:lvl w:ilvl="0">
      <w:lvlJc w:val="left"/>
      <w:lvlText w:val="o"/>
      <w:numFmt w:val="bullet"/>
      <w:start w:val="1"/>
    </w:lvl>
  </w:abstractNum>
  <w:abstractNum w:abstractNumId="45">
    <w:nsid w:val="1BA026FA"/>
    <w:multiLevelType w:val="hybridMultilevel"/>
    <w:lvl w:ilvl="0">
      <w:lvlJc w:val="left"/>
      <w:lvlText w:val="o"/>
      <w:numFmt w:val="bullet"/>
      <w:start w:val="1"/>
    </w:lvl>
  </w:abstractNum>
  <w:abstractNum w:abstractNumId="46">
    <w:nsid w:val="79A1DEAA"/>
    <w:multiLevelType w:val="hybridMultilevel"/>
    <w:lvl w:ilvl="0">
      <w:lvlJc w:val="left"/>
      <w:lvlText w:val="o"/>
      <w:numFmt w:val="bullet"/>
      <w:start w:val="1"/>
    </w:lvl>
  </w:abstractNum>
  <w:abstractNum w:abstractNumId="47">
    <w:nsid w:val="75C6C33A"/>
    <w:multiLevelType w:val="hybridMultilevel"/>
    <w:lvl w:ilvl="0">
      <w:lvlJc w:val="left"/>
      <w:lvlText w:val="o"/>
      <w:numFmt w:val="bullet"/>
      <w:start w:val="1"/>
    </w:lvl>
  </w:abstractNum>
  <w:abstractNum w:abstractNumId="48">
    <w:nsid w:val="12E685FB"/>
    <w:multiLevelType w:val="hybridMultilevel"/>
    <w:lvl w:ilvl="0">
      <w:lvlJc w:val="left"/>
      <w:lvlText w:val="o"/>
      <w:numFmt w:val="bullet"/>
      <w:start w:val="1"/>
    </w:lvl>
  </w:abstractNum>
  <w:abstractNum w:abstractNumId="49">
    <w:nsid w:val="70C6A529"/>
    <w:multiLevelType w:val="hybridMultilevel"/>
    <w:lvl w:ilvl="0">
      <w:lvlJc w:val="left"/>
      <w:lvlText w:val="o"/>
      <w:numFmt w:val="bullet"/>
      <w:start w:val="1"/>
    </w:lvl>
  </w:abstractNum>
  <w:abstractNum w:abstractNumId="50">
    <w:nsid w:val="520EEDD1"/>
    <w:multiLevelType w:val="hybridMultilevel"/>
    <w:lvl w:ilvl="0">
      <w:lvlJc w:val="left"/>
      <w:lvlText w:val="o"/>
      <w:numFmt w:val="bullet"/>
      <w:start w:val="1"/>
    </w:lvl>
  </w:abstractNum>
  <w:abstractNum w:abstractNumId="51">
    <w:nsid w:val="374A3FE6"/>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54" Type="http://schemas.openxmlformats.org/officeDocument/2006/relationships/hyperlink" Target="https://www.sec.gov/Archives/edgar/data/0001680581/000104746919004324/a2239321zex-3_1.htm" TargetMode="External"/><Relationship Id="rId255" Type="http://schemas.openxmlformats.org/officeDocument/2006/relationships/hyperlink" Target="https://www.sec.gov/Archives/edgar/data/0001680581/000104746919004324/a2239321zex-3_2.htm" TargetMode="External"/><Relationship Id="rId256" Type="http://schemas.openxmlformats.org/officeDocument/2006/relationships/hyperlink" Target="https://www.sec.gov/Archives/edgar/data/1680581/000119312522217954/d3461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2022-11-08T06:51:35Z</dcterms:created>
  <dcterms:modified xsi:type="dcterms:W3CDTF">2022-11-08T06:51:35Z</dcterms:modified>
</cp:coreProperties>
</file>