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Fulcrum Therapeutics,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359616109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August 21,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120" w:firstLine="9"/>
        <w:spacing w:after="0" w:line="226" w:lineRule="exact"/>
        <w:tabs>
          <w:tab w:leader="none" w:pos="110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120" w:hanging="451"/>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4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734685"/>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100"/>
        <w:spacing w:after="0" w:line="4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32" w:lineRule="exact"/>
        <w:rPr>
          <w:sz w:val="20"/>
          <w:szCs w:val="20"/>
          <w:color w:val="auto"/>
        </w:rPr>
      </w:pPr>
    </w:p>
    <w:p>
      <w:pPr>
        <w:ind w:left="580" w:hanging="365"/>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5" w:lineRule="exact"/>
        <w:rPr>
          <w:sz w:val="20"/>
          <w:szCs w:val="20"/>
          <w:color w:val="auto"/>
        </w:rPr>
      </w:pPr>
    </w:p>
    <w:p>
      <w:pPr>
        <w:ind w:left="580" w:hanging="36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60" w:right="4160" w:hanging="358"/>
        <w:spacing w:after="0" w:line="406"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5,544,216</w:t>
      </w:r>
    </w:p>
    <w:p>
      <w:pPr>
        <w:spacing w:after="0" w:line="2" w:lineRule="exact"/>
        <w:rPr>
          <w:sz w:val="20"/>
          <w:szCs w:val="20"/>
          <w:color w:val="auto"/>
        </w:rPr>
      </w:pPr>
    </w:p>
    <w:p>
      <w:pPr>
        <w:ind w:left="160"/>
        <w:spacing w:after="0" w:line="207" w:lineRule="exact"/>
        <w:tabs>
          <w:tab w:leader="none" w:pos="540" w:val="left"/>
          <w:tab w:leader="none" w:pos="918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60" w:right="5660" w:hanging="400"/>
        <w:spacing w:after="0" w:line="438"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color w:val="auto"/>
        </w:rPr>
      </w:pPr>
    </w:p>
    <w:p>
      <w:pPr>
        <w:ind w:left="560" w:right="6380" w:hanging="403"/>
        <w:spacing w:after="0" w:line="438"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5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5735320"/>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100"/>
        <w:spacing w:after="0" w:line="4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32" w:lineRule="exact"/>
        <w:rPr>
          <w:sz w:val="20"/>
          <w:szCs w:val="20"/>
          <w:color w:val="auto"/>
        </w:rPr>
      </w:pPr>
    </w:p>
    <w:p>
      <w:pPr>
        <w:ind w:left="580" w:hanging="365"/>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5" w:lineRule="exact"/>
        <w:rPr>
          <w:sz w:val="20"/>
          <w:szCs w:val="20"/>
          <w:color w:val="auto"/>
        </w:rPr>
      </w:pPr>
    </w:p>
    <w:p>
      <w:pPr>
        <w:ind w:left="580" w:hanging="365"/>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60" w:right="4160" w:hanging="358"/>
        <w:spacing w:after="0" w:line="406"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5,544,216</w:t>
      </w:r>
    </w:p>
    <w:p>
      <w:pPr>
        <w:spacing w:after="0" w:line="2" w:lineRule="exact"/>
        <w:rPr>
          <w:sz w:val="20"/>
          <w:szCs w:val="20"/>
          <w:color w:val="auto"/>
        </w:rPr>
      </w:pPr>
    </w:p>
    <w:p>
      <w:pPr>
        <w:ind w:left="160"/>
        <w:spacing w:after="0" w:line="207" w:lineRule="exact"/>
        <w:tabs>
          <w:tab w:leader="none" w:pos="540" w:val="left"/>
          <w:tab w:leader="none" w:pos="918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60" w:right="5660" w:hanging="400"/>
        <w:spacing w:after="0" w:line="438"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color w:val="auto"/>
        </w:rPr>
      </w:pPr>
    </w:p>
    <w:p>
      <w:pPr>
        <w:ind w:left="560" w:right="6380" w:hanging="403"/>
        <w:spacing w:after="0" w:line="438"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4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734685"/>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100"/>
        <w:spacing w:after="0" w:line="4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32" w:lineRule="exact"/>
        <w:rPr>
          <w:sz w:val="20"/>
          <w:szCs w:val="20"/>
          <w:color w:val="auto"/>
        </w:rPr>
      </w:pPr>
    </w:p>
    <w:p>
      <w:pPr>
        <w:ind w:left="580" w:hanging="365"/>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5" w:lineRule="exact"/>
        <w:rPr>
          <w:sz w:val="20"/>
          <w:szCs w:val="20"/>
          <w:color w:val="auto"/>
        </w:rPr>
      </w:pPr>
    </w:p>
    <w:p>
      <w:pPr>
        <w:ind w:left="580" w:hanging="365"/>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60" w:right="4160" w:hanging="358"/>
        <w:spacing w:after="0" w:line="406"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5,544,216</w:t>
      </w:r>
    </w:p>
    <w:p>
      <w:pPr>
        <w:spacing w:after="0" w:line="2" w:lineRule="exact"/>
        <w:rPr>
          <w:sz w:val="20"/>
          <w:szCs w:val="20"/>
          <w:color w:val="auto"/>
        </w:rPr>
      </w:pPr>
    </w:p>
    <w:p>
      <w:pPr>
        <w:ind w:left="160"/>
        <w:spacing w:after="0" w:line="207" w:lineRule="exact"/>
        <w:tabs>
          <w:tab w:leader="none" w:pos="540" w:val="left"/>
          <w:tab w:leader="none" w:pos="918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60" w:right="5660" w:hanging="400"/>
        <w:spacing w:after="0" w:line="438"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color w:val="auto"/>
        </w:rPr>
      </w:pPr>
    </w:p>
    <w:p>
      <w:pPr>
        <w:ind w:left="560" w:right="6380" w:hanging="403"/>
        <w:spacing w:after="0" w:line="438"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735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5735320"/>
                    </a:xfrm>
                    <a:prstGeom prst="rect">
                      <a:avLst/>
                    </a:prstGeom>
                    <a:noFill/>
                  </pic:spPr>
                </pic:pic>
              </a:graphicData>
            </a:graphic>
          </wp:anchor>
        </w:drawing>
      </w:r>
    </w:p>
    <w:p>
      <w:pPr>
        <w:spacing w:after="0" w:line="30" w:lineRule="exact"/>
        <w:rPr>
          <w:sz w:val="20"/>
          <w:szCs w:val="20"/>
          <w:color w:val="auto"/>
        </w:rPr>
      </w:pPr>
    </w:p>
    <w:p>
      <w:pPr>
        <w:ind w:left="580" w:hanging="365"/>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100"/>
        <w:spacing w:after="0" w:line="4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32" w:lineRule="exact"/>
        <w:rPr>
          <w:sz w:val="20"/>
          <w:szCs w:val="20"/>
          <w:color w:val="auto"/>
        </w:rPr>
      </w:pPr>
    </w:p>
    <w:p>
      <w:pPr>
        <w:ind w:left="580" w:hanging="36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5" w:lineRule="exact"/>
        <w:rPr>
          <w:sz w:val="20"/>
          <w:szCs w:val="20"/>
          <w:color w:val="auto"/>
        </w:rPr>
      </w:pPr>
    </w:p>
    <w:p>
      <w:pPr>
        <w:ind w:left="580" w:hanging="365"/>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6" w:lineRule="exact"/>
        <w:rPr>
          <w:sz w:val="20"/>
          <w:szCs w:val="20"/>
          <w:color w:val="auto"/>
        </w:rPr>
      </w:pPr>
    </w:p>
    <w:p>
      <w:pPr>
        <w:ind w:left="580" w:right="7020" w:hanging="365"/>
        <w:spacing w:after="0" w:line="433"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right w:val="single" w:sz="8" w:color="auto"/>
            </w:tcBorders>
            <w:vMerge w:val="continue"/>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10"/>
                <w:szCs w:val="10"/>
                <w:color w:val="auto"/>
              </w:rPr>
            </w:pPr>
          </w:p>
        </w:tc>
        <w:tc>
          <w:tcPr>
            <w:tcW w:w="9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tcBorders>
              <w:right w:val="single" w:sz="8" w:color="auto"/>
            </w:tcBorders>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right w:val="single" w:sz="8" w:color="auto"/>
            </w:tcBorders>
          </w:tcPr>
          <w:p>
            <w:pPr>
              <w:spacing w:after="0"/>
              <w:rPr>
                <w:sz w:val="18"/>
                <w:szCs w:val="18"/>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right w:val="single" w:sz="8" w:color="auto"/>
            </w:tcBorders>
          </w:tcPr>
          <w:p>
            <w:pPr>
              <w:spacing w:after="0"/>
              <w:rPr>
                <w:sz w:val="7"/>
                <w:szCs w:val="7"/>
                <w:color w:val="auto"/>
              </w:rPr>
            </w:pPr>
          </w:p>
        </w:tc>
        <w:tc>
          <w:tcPr>
            <w:tcW w:w="9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520" w:type="dxa"/>
            <w:vAlign w:val="bottom"/>
            <w:tcBorders>
              <w:right w:val="single" w:sz="8" w:color="auto"/>
            </w:tcBorders>
            <w:vMerge w:val="continue"/>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9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20" w:type="dxa"/>
            <w:vAlign w:val="bottom"/>
            <w:tcBorders>
              <w:right w:val="single" w:sz="8" w:color="auto"/>
            </w:tcBorders>
          </w:tcPr>
          <w:p>
            <w:pPr>
              <w:spacing w:after="0"/>
              <w:rPr>
                <w:sz w:val="21"/>
                <w:szCs w:val="21"/>
                <w:color w:val="auto"/>
              </w:rPr>
            </w:pPr>
          </w:p>
        </w:tc>
        <w:tc>
          <w:tcPr>
            <w:tcW w:w="4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5,544,216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60" w:right="4160" w:hanging="358"/>
        <w:spacing w:after="0" w:line="406" w:lineRule="auto"/>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5,544,216</w:t>
      </w:r>
    </w:p>
    <w:p>
      <w:pPr>
        <w:spacing w:after="0" w:line="2" w:lineRule="exact"/>
        <w:rPr>
          <w:sz w:val="20"/>
          <w:szCs w:val="20"/>
          <w:color w:val="auto"/>
        </w:rPr>
      </w:pPr>
    </w:p>
    <w:p>
      <w:pPr>
        <w:ind w:left="160"/>
        <w:spacing w:after="0" w:line="207" w:lineRule="exact"/>
        <w:tabs>
          <w:tab w:leader="none" w:pos="540" w:val="left"/>
          <w:tab w:leader="none" w:pos="918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306" w:lineRule="exact"/>
        <w:rPr>
          <w:sz w:val="20"/>
          <w:szCs w:val="20"/>
          <w:color w:val="auto"/>
        </w:rPr>
      </w:pPr>
    </w:p>
    <w:p>
      <w:pPr>
        <w:ind w:left="560" w:right="5660" w:hanging="400"/>
        <w:spacing w:after="0" w:line="438"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4" w:lineRule="exact"/>
        <w:rPr>
          <w:rFonts w:ascii="Times New Roman" w:cs="Times New Roman" w:eastAsia="Times New Roman" w:hAnsi="Times New Roman"/>
          <w:sz w:val="18"/>
          <w:szCs w:val="18"/>
          <w:color w:val="auto"/>
        </w:rPr>
      </w:pPr>
    </w:p>
    <w:p>
      <w:pPr>
        <w:ind w:left="560" w:right="6380" w:hanging="403"/>
        <w:spacing w:after="0" w:line="438" w:lineRule="auto"/>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392"/>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Fulcrum Therapeutics, Inc. (the “Issuer”)</w:t>
            </w:r>
          </w:p>
        </w:tc>
      </w:tr>
      <w:tr>
        <w:trPr>
          <w:trHeight w:val="20"/>
        </w:trPr>
        <w:tc>
          <w:tcPr>
            <w:tcW w:w="1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32"/>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26 Landsdowne Street, Cambridge, MA 02139</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391"/>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tc>
      </w:tr>
      <w:tr>
        <w:trPr>
          <w:trHeight w:val="412"/>
        </w:trPr>
        <w:tc>
          <w:tcPr>
            <w:tcW w:w="1040" w:type="dxa"/>
            <w:vAlign w:val="bottom"/>
          </w:tcPr>
          <w:p>
            <w:pPr>
              <w:spacing w:after="0"/>
              <w:rPr>
                <w:sz w:val="24"/>
                <w:szCs w:val="24"/>
                <w:color w:val="auto"/>
              </w:rPr>
            </w:pPr>
          </w:p>
        </w:tc>
        <w:tc>
          <w:tcPr>
            <w:tcW w:w="468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RA Capital Management, L.P. (“RA Capital”)</w:t>
            </w:r>
          </w:p>
        </w:tc>
        <w:tc>
          <w:tcPr>
            <w:tcW w:w="1320" w:type="dxa"/>
            <w:vAlign w:val="bottom"/>
            <w:tcBorders>
              <w:top w:val="single" w:sz="8" w:color="auto"/>
            </w:tcBorders>
            <w:gridSpan w:val="2"/>
          </w:tcPr>
          <w:p>
            <w:pPr>
              <w:spacing w:after="0"/>
              <w:rPr>
                <w:sz w:val="24"/>
                <w:szCs w:val="24"/>
                <w:color w:val="auto"/>
              </w:rPr>
            </w:pPr>
          </w:p>
        </w:tc>
        <w:tc>
          <w:tcPr>
            <w:tcW w:w="4200" w:type="dxa"/>
            <w:vAlign w:val="bottom"/>
            <w:gridSpan w:val="5"/>
          </w:tcPr>
          <w:p>
            <w:pPr>
              <w:spacing w:after="0"/>
              <w:rPr>
                <w:sz w:val="24"/>
                <w:szCs w:val="24"/>
                <w:color w:val="auto"/>
              </w:rPr>
            </w:pPr>
          </w:p>
        </w:tc>
      </w:tr>
      <w:tr>
        <w:trPr>
          <w:trHeight w:val="218"/>
        </w:trPr>
        <w:tc>
          <w:tcPr>
            <w:tcW w:w="1040" w:type="dxa"/>
            <w:vAlign w:val="bottom"/>
          </w:tcPr>
          <w:p>
            <w:pPr>
              <w:spacing w:after="0"/>
              <w:rPr>
                <w:sz w:val="18"/>
                <w:szCs w:val="18"/>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Peter Kolchinsky</w:t>
            </w:r>
          </w:p>
        </w:tc>
        <w:tc>
          <w:tcPr>
            <w:tcW w:w="820" w:type="dxa"/>
            <w:vAlign w:val="bottom"/>
            <w:tcBorders>
              <w:top w:val="single" w:sz="8" w:color="auto"/>
            </w:tcBorders>
            <w:gridSpan w:val="4"/>
          </w:tcPr>
          <w:p>
            <w:pPr>
              <w:spacing w:after="0"/>
              <w:rPr>
                <w:sz w:val="18"/>
                <w:szCs w:val="18"/>
                <w:color w:val="auto"/>
              </w:rPr>
            </w:pPr>
          </w:p>
        </w:tc>
        <w:tc>
          <w:tcPr>
            <w:tcW w:w="6760" w:type="dxa"/>
            <w:vAlign w:val="bottom"/>
            <w:gridSpan w:val="10"/>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Rajeev Shah</w:t>
            </w:r>
          </w:p>
        </w:tc>
      </w:tr>
      <w:tr>
        <w:trPr>
          <w:trHeight w:val="194"/>
        </w:trPr>
        <w:tc>
          <w:tcPr>
            <w:tcW w:w="1040" w:type="dxa"/>
            <w:vAlign w:val="bottom"/>
          </w:tcPr>
          <w:p>
            <w:pPr>
              <w:spacing w:after="0"/>
              <w:rPr>
                <w:sz w:val="16"/>
                <w:szCs w:val="16"/>
                <w:color w:val="auto"/>
              </w:rPr>
            </w:pPr>
          </w:p>
        </w:tc>
        <w:tc>
          <w:tcPr>
            <w:tcW w:w="10200" w:type="dxa"/>
            <w:vAlign w:val="bottom"/>
            <w:gridSpan w:val="15"/>
          </w:tcPr>
          <w:p>
            <w:pPr>
              <w:ind w:left="260"/>
              <w:spacing w:after="0" w:line="194" w:lineRule="exact"/>
              <w:rPr>
                <w:sz w:val="20"/>
                <w:szCs w:val="20"/>
                <w:color w:val="auto"/>
              </w:rPr>
            </w:pPr>
            <w:r>
              <w:rPr>
                <w:rFonts w:ascii="Times New Roman" w:cs="Times New Roman" w:eastAsia="Times New Roman" w:hAnsi="Times New Roman"/>
                <w:sz w:val="18"/>
                <w:szCs w:val="18"/>
                <w:color w:val="auto"/>
              </w:rPr>
              <w:t>RA Capital Healthcare Fund, L.P. (the “Fund”)</w:t>
            </w:r>
          </w:p>
        </w:tc>
      </w:tr>
      <w:tr>
        <w:trPr>
          <w:trHeight w:val="20"/>
        </w:trPr>
        <w:tc>
          <w:tcPr>
            <w:tcW w:w="10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32"/>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tc>
      </w:tr>
      <w:tr>
        <w:trPr>
          <w:trHeight w:val="432"/>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c/o RA Capital Management, L.P., 200 Berkeley Street, 18th Floor, Boston MA 02116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w:t>
            </w:r>
          </w:p>
        </w:tc>
      </w:tr>
      <w:tr>
        <w:trPr>
          <w:trHeight w:val="234"/>
        </w:trPr>
        <w:tc>
          <w:tcPr>
            <w:tcW w:w="1040" w:type="dxa"/>
            <w:vAlign w:val="bottom"/>
          </w:tcPr>
          <w:p>
            <w:pPr>
              <w:spacing w:after="0"/>
              <w:rPr>
                <w:sz w:val="20"/>
                <w:szCs w:val="20"/>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Dr. Kolchinsky and Mr. Shah are United States citizens.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391"/>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Common Stock, par value $0.001 per share (“Common Stock”)</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356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140" w:type="dxa"/>
            <w:vAlign w:val="bottom"/>
            <w:tcBorders>
              <w:top w:val="single" w:sz="8" w:color="auto"/>
            </w:tcBorders>
            <w:gridSpan w:val="2"/>
          </w:tcPr>
          <w:p>
            <w:pPr>
              <w:spacing w:after="0"/>
              <w:rPr>
                <w:sz w:val="24"/>
                <w:szCs w:val="24"/>
                <w:color w:val="auto"/>
              </w:rPr>
            </w:pPr>
          </w:p>
        </w:tc>
        <w:tc>
          <w:tcPr>
            <w:tcW w:w="5500" w:type="dxa"/>
            <w:vAlign w:val="bottom"/>
            <w:gridSpan w:val="6"/>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359616109</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14"/>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w:t>
            </w:r>
          </w:p>
        </w:tc>
      </w:tr>
      <w:tr>
        <w:trPr>
          <w:trHeight w:val="216"/>
        </w:trPr>
        <w:tc>
          <w:tcPr>
            <w:tcW w:w="1040" w:type="dxa"/>
            <w:vAlign w:val="bottom"/>
          </w:tcPr>
          <w:p>
            <w:pPr>
              <w:spacing w:after="0"/>
              <w:rPr>
                <w:sz w:val="18"/>
                <w:szCs w:val="18"/>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this Schedule 13G/A. The ownership percentages reported are based upon the sum of (i) 53,063,149 shares of Common Stock</w:t>
            </w:r>
          </w:p>
        </w:tc>
      </w:tr>
      <w:tr>
        <w:trPr>
          <w:trHeight w:val="216"/>
        </w:trPr>
        <w:tc>
          <w:tcPr>
            <w:tcW w:w="1040" w:type="dxa"/>
            <w:vAlign w:val="bottom"/>
          </w:tcPr>
          <w:p>
            <w:pPr>
              <w:spacing w:after="0"/>
              <w:rPr>
                <w:sz w:val="18"/>
                <w:szCs w:val="18"/>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outstanding as of August 22, 2024, as disclosed to the Reporting Persons by the Issuer and (ii) 2,434,512 Common Shares issuable upon</w:t>
            </w:r>
          </w:p>
        </w:tc>
      </w:tr>
      <w:tr>
        <w:trPr>
          <w:trHeight w:val="234"/>
        </w:trPr>
        <w:tc>
          <w:tcPr>
            <w:tcW w:w="1040" w:type="dxa"/>
            <w:vAlign w:val="bottom"/>
          </w:tcPr>
          <w:p>
            <w:pPr>
              <w:spacing w:after="0"/>
              <w:rPr>
                <w:sz w:val="20"/>
                <w:szCs w:val="20"/>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the exercise of Pre-Funded Warrants (as defined below).</w:t>
            </w:r>
          </w:p>
        </w:tc>
      </w:tr>
      <w:tr>
        <w:trPr>
          <w:trHeight w:val="391"/>
        </w:trPr>
        <w:tc>
          <w:tcPr>
            <w:tcW w:w="1040" w:type="dxa"/>
            <w:vAlign w:val="bottom"/>
          </w:tcPr>
          <w:p>
            <w:pPr>
              <w:spacing w:after="0"/>
              <w:rPr>
                <w:sz w:val="24"/>
                <w:szCs w:val="24"/>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The Fund directly holds 3,109,704 shares of Common Stock and pre-funded warrants (“Pre-Funded Warrants”) exercisable for up to</w:t>
            </w:r>
          </w:p>
        </w:tc>
      </w:tr>
      <w:tr>
        <w:trPr>
          <w:trHeight w:val="20"/>
        </w:trPr>
        <w:tc>
          <w:tcPr>
            <w:tcW w:w="1040" w:type="dxa"/>
            <w:vAlign w:val="bottom"/>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15"/>
          </w:tcPr>
          <w:p>
            <w:pPr>
              <w:ind w:left="260"/>
              <w:spacing w:after="0" w:line="196" w:lineRule="exact"/>
              <w:rPr>
                <w:sz w:val="20"/>
                <w:szCs w:val="20"/>
                <w:color w:val="auto"/>
              </w:rPr>
            </w:pPr>
            <w:r>
              <w:rPr>
                <w:rFonts w:ascii="Times New Roman" w:cs="Times New Roman" w:eastAsia="Times New Roman" w:hAnsi="Times New Roman"/>
                <w:sz w:val="18"/>
                <w:szCs w:val="18"/>
                <w:color w:val="auto"/>
              </w:rPr>
              <w:t>8,500,000 shares of Common Stock. The Pre-Funded Warrants contain a provision (the “Beneficial Ownership Blocker”), which</w:t>
            </w:r>
          </w:p>
        </w:tc>
      </w:tr>
      <w:tr>
        <w:trPr>
          <w:trHeight w:val="20"/>
        </w:trPr>
        <w:tc>
          <w:tcPr>
            <w:tcW w:w="1040" w:type="dxa"/>
            <w:vAlign w:val="bottom"/>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8"/>
        </w:trPr>
        <w:tc>
          <w:tcPr>
            <w:tcW w:w="1040" w:type="dxa"/>
            <w:vAlign w:val="bottom"/>
          </w:tcPr>
          <w:p>
            <w:pPr>
              <w:spacing w:after="0"/>
              <w:rPr>
                <w:sz w:val="18"/>
                <w:szCs w:val="18"/>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precludes the exercise of the Pre-Funded Warrants to the extent that, following exercise, the Fund, together with its affiliates and other</w:t>
            </w:r>
          </w:p>
        </w:tc>
      </w:tr>
      <w:tr>
        <w:trPr>
          <w:trHeight w:val="216"/>
        </w:trPr>
        <w:tc>
          <w:tcPr>
            <w:tcW w:w="1040" w:type="dxa"/>
            <w:vAlign w:val="bottom"/>
          </w:tcPr>
          <w:p>
            <w:pPr>
              <w:spacing w:after="0"/>
              <w:rPr>
                <w:sz w:val="18"/>
                <w:szCs w:val="18"/>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attribution parties, would own more than 9.99% of the Common Stock outstanding. The Fund is currently prohibited from exercising the</w:t>
            </w:r>
          </w:p>
        </w:tc>
      </w:tr>
      <w:tr>
        <w:trPr>
          <w:trHeight w:val="216"/>
        </w:trPr>
        <w:tc>
          <w:tcPr>
            <w:tcW w:w="1040" w:type="dxa"/>
            <w:vAlign w:val="bottom"/>
          </w:tcPr>
          <w:p>
            <w:pPr>
              <w:spacing w:after="0"/>
              <w:rPr>
                <w:sz w:val="18"/>
                <w:szCs w:val="18"/>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Pre-Funded Warrants to the extent that such exercise would result in beneficial ownership of more than 5,544,216 shares of Common</w:t>
            </w:r>
          </w:p>
        </w:tc>
      </w:tr>
      <w:tr>
        <w:trPr>
          <w:trHeight w:val="234"/>
        </w:trPr>
        <w:tc>
          <w:tcPr>
            <w:tcW w:w="1040" w:type="dxa"/>
            <w:vAlign w:val="bottom"/>
          </w:tcPr>
          <w:p>
            <w:pPr>
              <w:spacing w:after="0"/>
              <w:rPr>
                <w:sz w:val="20"/>
                <w:szCs w:val="20"/>
                <w:color w:val="auto"/>
              </w:rPr>
            </w:pPr>
          </w:p>
        </w:tc>
        <w:tc>
          <w:tcPr>
            <w:tcW w:w="10200" w:type="dxa"/>
            <w:vAlign w:val="bottom"/>
            <w:gridSpan w:val="15"/>
          </w:tcPr>
          <w:p>
            <w:pPr>
              <w:ind w:left="260"/>
              <w:spacing w:after="0"/>
              <w:rPr>
                <w:sz w:val="20"/>
                <w:szCs w:val="20"/>
                <w:color w:val="auto"/>
              </w:rPr>
            </w:pPr>
            <w:r>
              <w:rPr>
                <w:rFonts w:ascii="Times New Roman" w:cs="Times New Roman" w:eastAsia="Times New Roman" w:hAnsi="Times New Roman"/>
                <w:sz w:val="18"/>
                <w:szCs w:val="18"/>
                <w:color w:val="auto"/>
              </w:rPr>
              <w:t>Stock.</w:t>
            </w:r>
          </w:p>
        </w:tc>
      </w:tr>
      <w:tr>
        <w:trPr>
          <w:trHeight w:val="702"/>
        </w:trPr>
        <w:tc>
          <w:tcPr>
            <w:tcW w:w="10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GP, LLC, of which Dr. Kolchinsky and Mr. Shah are the controlling persons. RA Capital serves as investment adviser for the Fund and</w:t>
            </w:r>
          </w:p>
        </w:tc>
      </w:tr>
      <w:tr>
        <w:trPr>
          <w:trHeight w:val="194"/>
        </w:trPr>
        <w:tc>
          <w:tcPr>
            <w:tcW w:w="980" w:type="dxa"/>
            <w:vAlign w:val="bottom"/>
          </w:tcPr>
          <w:p>
            <w:pPr>
              <w:spacing w:after="0"/>
              <w:rPr>
                <w:sz w:val="16"/>
                <w:szCs w:val="16"/>
                <w:color w:val="auto"/>
              </w:rPr>
            </w:pPr>
          </w:p>
        </w:tc>
        <w:tc>
          <w:tcPr>
            <w:tcW w:w="10260" w:type="dxa"/>
            <w:vAlign w:val="bottom"/>
            <w:gridSpan w:val="3"/>
          </w:tcPr>
          <w:p>
            <w:pPr>
              <w:ind w:left="320"/>
              <w:spacing w:after="0" w:line="194" w:lineRule="exact"/>
              <w:rPr>
                <w:sz w:val="20"/>
                <w:szCs w:val="20"/>
                <w:color w:val="auto"/>
              </w:rPr>
            </w:pPr>
            <w:r>
              <w:rPr>
                <w:rFonts w:ascii="Times New Roman" w:cs="Times New Roman" w:eastAsia="Times New Roman" w:hAnsi="Times New Roman"/>
                <w:sz w:val="18"/>
                <w:szCs w:val="18"/>
                <w:color w:val="auto"/>
              </w:rPr>
              <w:t>may be deemed a beneficial owner, for purposes of Section 13(d) of the Securities Exchange Act of 1934, as amended (the “Act”), of any</w:t>
            </w:r>
          </w:p>
        </w:tc>
      </w:tr>
      <w:tr>
        <w:trPr>
          <w:trHeight w:val="20"/>
        </w:trPr>
        <w:tc>
          <w:tcPr>
            <w:tcW w:w="98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securities of the Issuer held by the Fund. The Fund has delegated to RA Capital the sole power to vote and the sole power to dispose of</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all securities held in the Fund’s portfolio, including the shares of the Issuer’s Common Stock reported herein. Because the Fund has</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divested voting and investment power over the reported securities it holds and may not revoke that delegation on less than 61 days’</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 the Fund disclaims beneficial ownership of the securities it holds for purposes of Section 13(d) of the Act and therefore disclaims</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any obligation to report ownership of the reported securities under Section 13(d) of the Act. As managers of RA Capital, Dr. Kolchinsky</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and Mr. Shah may be deemed beneficial owners, for purposes of Section 13(d) of the Act, of any securities of the Issuer beneficially</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owned by RA Capital. RA Capital, Dr. Kolchinsky, and Mr. Shah disclaim beneficial ownership of the securities reported in this Schedule</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13G/A other than for the purpose of determining their obligations under Section 13(d) of the Act, and the filing of this Schedule 13G/A</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shall not be deemed an admission that either RA Capital, Dr. Kolchinsky, or Mr. Shah is the beneficial owner of such securities for any</w:t>
            </w:r>
          </w:p>
        </w:tc>
      </w:tr>
      <w:tr>
        <w:trPr>
          <w:trHeight w:val="234"/>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purpose.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78"/>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10260" w:type="dxa"/>
            <w:vAlign w:val="bottom"/>
            <w:gridSpan w:val="3"/>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9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80" w:type="dxa"/>
            <w:vAlign w:val="bottom"/>
          </w:tcPr>
          <w:p>
            <w:pPr>
              <w:spacing w:after="0"/>
              <w:rPr>
                <w:sz w:val="24"/>
                <w:szCs w:val="24"/>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held for the purpose of or with the effect of changing or influencing the control of the issuer of the securities and were not acquired and</w:t>
            </w:r>
          </w:p>
        </w:tc>
      </w:tr>
      <w:tr>
        <w:trPr>
          <w:trHeight w:val="216"/>
        </w:trPr>
        <w:tc>
          <w:tcPr>
            <w:tcW w:w="980" w:type="dxa"/>
            <w:vAlign w:val="bottom"/>
          </w:tcPr>
          <w:p>
            <w:pPr>
              <w:spacing w:after="0"/>
              <w:rPr>
                <w:sz w:val="18"/>
                <w:szCs w:val="18"/>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 other than activities solely in</w:t>
            </w:r>
          </w:p>
        </w:tc>
      </w:tr>
      <w:tr>
        <w:trPr>
          <w:trHeight w:val="234"/>
        </w:trPr>
        <w:tc>
          <w:tcPr>
            <w:tcW w:w="980" w:type="dxa"/>
            <w:vAlign w:val="bottom"/>
          </w:tcPr>
          <w:p>
            <w:pPr>
              <w:spacing w:after="0"/>
              <w:rPr>
                <w:sz w:val="20"/>
                <w:szCs w:val="20"/>
                <w:color w:val="auto"/>
              </w:rPr>
            </w:pPr>
          </w:p>
        </w:tc>
        <w:tc>
          <w:tcPr>
            <w:tcW w:w="10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connection with a nomination under § 240.14a-11.</w:t>
            </w:r>
          </w:p>
        </w:tc>
      </w:tr>
      <w:tr>
        <w:trPr>
          <w:trHeight w:val="675"/>
        </w:trPr>
        <w:tc>
          <w:tcPr>
            <w:tcW w:w="98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or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23,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August 23, 2024 is by and among RA Capital Management, L.P., Peter Kolchinsky, Rajeev Shah, and RA Capital Healthcare Fund, L.P. (the foregoing are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the Common Stock, par value $0.001 per share of Fulcrum Therapeutics, Inc. beneficially owned by them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36"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lvl w:ilvl="1">
      <w:lvlJc w:val="left"/>
      <w:lvlText w:val="(%2)"/>
      <w:numFmt w:val="lowerLetter"/>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lvl w:ilvl="1">
      <w:lvlJc w:val="left"/>
      <w:lvlText w:val="(%2)"/>
      <w:numFmt w:val="lowerLetter"/>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lvl w:ilvl="1">
      <w:lvlJc w:val="left"/>
      <w:lvlText w:val="(%2)"/>
      <w:numFmt w:val="lowerLetter"/>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1"/>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lvl w:ilvl="1">
      <w:lvlJc w:val="left"/>
      <w:lvlText w:val="(%2)"/>
      <w:numFmt w:val="lowerLetter"/>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2024-08-23T15:32:36Z</dcterms:created>
  <dcterms:modified xsi:type="dcterms:W3CDTF">2024-08-23T15:32:36Z</dcterms:modified>
</cp:coreProperties>
</file>