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August 26, 2019</w:t>
      </w:r>
    </w:p>
    <w:p>
      <w:pPr>
        <w:spacing w:after="0" w:line="77" w:lineRule="exact"/>
        <w:rPr>
          <w:sz w:val="24"/>
          <w:szCs w:val="24"/>
          <w:color w:val="auto"/>
        </w:rPr>
      </w:pPr>
    </w:p>
    <w:p>
      <w:pPr>
        <w:ind w:left="8940"/>
        <w:spacing w:after="0"/>
        <w:rPr>
          <w:sz w:val="20"/>
          <w:szCs w:val="20"/>
          <w:color w:val="auto"/>
        </w:rPr>
      </w:pPr>
      <w:r>
        <w:rPr>
          <w:rFonts w:ascii="Arial" w:cs="Arial" w:eastAsia="Arial" w:hAnsi="Arial"/>
          <w:sz w:val="16"/>
          <w:szCs w:val="16"/>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109220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REGISTRATION STATEMENT</w:t>
      </w:r>
    </w:p>
    <w:p>
      <w:pPr>
        <w:jc w:val="center"/>
        <w:ind w:right="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4" w:lineRule="exact"/>
        <w:rPr>
          <w:sz w:val="24"/>
          <w:szCs w:val="24"/>
          <w:color w:val="auto"/>
        </w:rPr>
      </w:pPr>
    </w:p>
    <w:tbl>
      <w:tblPr>
        <w:tblLayout w:type="fixed"/>
        <w:tblInd w:w="860" w:type="dxa"/>
        <w:tblCellMar>
          <w:top w:w="0" w:type="dxa"/>
          <w:left w:w="0" w:type="dxa"/>
          <w:bottom w:w="0" w:type="dxa"/>
          <w:right w:w="0" w:type="dxa"/>
        </w:tblCellMar>
      </w:tblPr>
      <w:tr>
        <w:trPr>
          <w:trHeight w:val="212"/>
        </w:trPr>
        <w:tc>
          <w:tcPr>
            <w:tcW w:w="6260" w:type="dxa"/>
            <w:vAlign w:val="bottom"/>
          </w:tcPr>
          <w:p>
            <w:pPr>
              <w:jc w:val="center"/>
              <w:ind w:right="2335"/>
              <w:spacing w:after="0"/>
              <w:rPr>
                <w:sz w:val="20"/>
                <w:szCs w:val="20"/>
                <w:color w:val="auto"/>
              </w:rPr>
            </w:pPr>
            <w:r>
              <w:rPr>
                <w:rFonts w:ascii="Arial" w:cs="Arial" w:eastAsia="Arial" w:hAnsi="Arial"/>
                <w:sz w:val="18"/>
                <w:szCs w:val="18"/>
                <w:b w:val="1"/>
                <w:bCs w:val="1"/>
                <w:color w:val="auto"/>
                <w:w w:val="91"/>
              </w:rPr>
              <w:t>Delaware</w:t>
            </w:r>
          </w:p>
        </w:tc>
        <w:tc>
          <w:tcPr>
            <w:tcW w:w="2340" w:type="dxa"/>
            <w:vAlign w:val="bottom"/>
          </w:tcPr>
          <w:p>
            <w:pPr>
              <w:jc w:val="right"/>
              <w:ind w:right="599"/>
              <w:spacing w:after="0"/>
              <w:rPr>
                <w:sz w:val="20"/>
                <w:szCs w:val="20"/>
                <w:color w:val="auto"/>
              </w:rPr>
            </w:pPr>
            <w:r>
              <w:rPr>
                <w:rFonts w:ascii="Arial" w:cs="Arial" w:eastAsia="Arial" w:hAnsi="Arial"/>
                <w:sz w:val="18"/>
                <w:szCs w:val="18"/>
                <w:b w:val="1"/>
                <w:bCs w:val="1"/>
                <w:color w:val="auto"/>
              </w:rPr>
              <w:t>47-4839948</w:t>
            </w:r>
          </w:p>
        </w:tc>
      </w:tr>
      <w:tr>
        <w:trPr>
          <w:trHeight w:val="186"/>
        </w:trPr>
        <w:tc>
          <w:tcPr>
            <w:tcW w:w="6260" w:type="dxa"/>
            <w:vAlign w:val="bottom"/>
          </w:tcPr>
          <w:p>
            <w:pPr>
              <w:jc w:val="center"/>
              <w:ind w:right="2335"/>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2340" w:type="dxa"/>
            <w:vAlign w:val="bottom"/>
          </w:tcPr>
          <w:p>
            <w:pPr>
              <w:jc w:val="center"/>
              <w:ind w:left="3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99"/>
        </w:trPr>
        <w:tc>
          <w:tcPr>
            <w:tcW w:w="6260" w:type="dxa"/>
            <w:vAlign w:val="bottom"/>
          </w:tcPr>
          <w:p>
            <w:pPr>
              <w:jc w:val="center"/>
              <w:ind w:right="2315"/>
              <w:spacing w:after="0"/>
              <w:rPr>
                <w:sz w:val="20"/>
                <w:szCs w:val="20"/>
                <w:color w:val="auto"/>
              </w:rPr>
            </w:pPr>
            <w:r>
              <w:rPr>
                <w:rFonts w:ascii="Arial" w:cs="Arial" w:eastAsia="Arial" w:hAnsi="Arial"/>
                <w:sz w:val="18"/>
                <w:szCs w:val="18"/>
                <w:b w:val="1"/>
                <w:bCs w:val="1"/>
                <w:color w:val="auto"/>
                <w:w w:val="88"/>
              </w:rPr>
              <w:t>26 Landsdowne Street</w:t>
            </w:r>
          </w:p>
        </w:tc>
        <w:tc>
          <w:tcPr>
            <w:tcW w:w="2340" w:type="dxa"/>
            <w:vAlign w:val="bottom"/>
          </w:tcPr>
          <w:p>
            <w:pPr>
              <w:spacing w:after="0"/>
              <w:rPr>
                <w:sz w:val="24"/>
                <w:szCs w:val="24"/>
                <w:color w:val="auto"/>
              </w:rPr>
            </w:pPr>
          </w:p>
        </w:tc>
      </w:tr>
      <w:tr>
        <w:trPr>
          <w:trHeight w:val="225"/>
        </w:trPr>
        <w:tc>
          <w:tcPr>
            <w:tcW w:w="6260" w:type="dxa"/>
            <w:vAlign w:val="bottom"/>
          </w:tcPr>
          <w:p>
            <w:pPr>
              <w:jc w:val="center"/>
              <w:ind w:right="2315"/>
              <w:spacing w:after="0"/>
              <w:rPr>
                <w:sz w:val="20"/>
                <w:szCs w:val="20"/>
                <w:color w:val="auto"/>
              </w:rPr>
            </w:pPr>
            <w:r>
              <w:rPr>
                <w:rFonts w:ascii="Arial" w:cs="Arial" w:eastAsia="Arial" w:hAnsi="Arial"/>
                <w:sz w:val="18"/>
                <w:szCs w:val="18"/>
                <w:b w:val="1"/>
                <w:bCs w:val="1"/>
                <w:color w:val="auto"/>
                <w:w w:val="88"/>
              </w:rPr>
              <w:t>Cambridge, Massachusetts</w:t>
            </w:r>
          </w:p>
        </w:tc>
        <w:tc>
          <w:tcPr>
            <w:tcW w:w="2340" w:type="dxa"/>
            <w:vAlign w:val="bottom"/>
          </w:tcPr>
          <w:p>
            <w:pPr>
              <w:jc w:val="right"/>
              <w:ind w:right="799"/>
              <w:spacing w:after="0"/>
              <w:rPr>
                <w:sz w:val="20"/>
                <w:szCs w:val="20"/>
                <w:color w:val="auto"/>
              </w:rPr>
            </w:pPr>
            <w:r>
              <w:rPr>
                <w:rFonts w:ascii="Arial" w:cs="Arial" w:eastAsia="Arial" w:hAnsi="Arial"/>
                <w:sz w:val="18"/>
                <w:szCs w:val="18"/>
                <w:b w:val="1"/>
                <w:bCs w:val="1"/>
                <w:color w:val="auto"/>
              </w:rPr>
              <w:t>02139</w:t>
            </w:r>
          </w:p>
        </w:tc>
      </w:tr>
      <w:tr>
        <w:trPr>
          <w:trHeight w:val="186"/>
        </w:trPr>
        <w:tc>
          <w:tcPr>
            <w:tcW w:w="6260" w:type="dxa"/>
            <w:vAlign w:val="bottom"/>
          </w:tcPr>
          <w:p>
            <w:pPr>
              <w:jc w:val="center"/>
              <w:ind w:right="2315"/>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40" w:type="dxa"/>
            <w:vAlign w:val="bottom"/>
          </w:tcPr>
          <w:p>
            <w:pPr>
              <w:jc w:val="center"/>
              <w:ind w:left="39"/>
              <w:spacing w:after="0"/>
              <w:rPr>
                <w:sz w:val="20"/>
                <w:szCs w:val="20"/>
                <w:color w:val="auto"/>
              </w:rPr>
            </w:pPr>
            <w:r>
              <w:rPr>
                <w:rFonts w:ascii="Arial" w:cs="Arial" w:eastAsia="Arial" w:hAnsi="Arial"/>
                <w:sz w:val="14"/>
                <w:szCs w:val="14"/>
                <w:b w:val="1"/>
                <w:bCs w:val="1"/>
                <w:color w:val="auto"/>
                <w:w w:val="95"/>
              </w:rPr>
              <w:t>(Zip Code)</w:t>
            </w:r>
          </w:p>
        </w:tc>
      </w:tr>
      <w:tr>
        <w:trPr>
          <w:trHeight w:val="291"/>
        </w:trPr>
        <w:tc>
          <w:tcPr>
            <w:tcW w:w="6260" w:type="dxa"/>
            <w:vAlign w:val="bottom"/>
          </w:tcPr>
          <w:p>
            <w:pPr>
              <w:jc w:val="center"/>
              <w:ind w:left="2955"/>
              <w:spacing w:after="0"/>
              <w:rPr>
                <w:sz w:val="20"/>
                <w:szCs w:val="20"/>
                <w:color w:val="auto"/>
              </w:rPr>
            </w:pPr>
            <w:r>
              <w:rPr>
                <w:rFonts w:ascii="Arial" w:cs="Arial" w:eastAsia="Arial" w:hAnsi="Arial"/>
                <w:sz w:val="18"/>
                <w:szCs w:val="18"/>
                <w:b w:val="1"/>
                <w:bCs w:val="1"/>
                <w:color w:val="auto"/>
                <w:w w:val="89"/>
              </w:rPr>
              <w:t>2016 Stock Incentive Plan, as amended</w:t>
            </w:r>
          </w:p>
        </w:tc>
        <w:tc>
          <w:tcPr>
            <w:tcW w:w="2340" w:type="dxa"/>
            <w:vAlign w:val="bottom"/>
          </w:tcPr>
          <w:p>
            <w:pPr>
              <w:spacing w:after="0"/>
              <w:rPr>
                <w:sz w:val="24"/>
                <w:szCs w:val="24"/>
                <w:color w:val="auto"/>
              </w:rPr>
            </w:pPr>
          </w:p>
        </w:tc>
      </w:tr>
      <w:tr>
        <w:trPr>
          <w:trHeight w:val="216"/>
        </w:trPr>
        <w:tc>
          <w:tcPr>
            <w:tcW w:w="6260" w:type="dxa"/>
            <w:vAlign w:val="bottom"/>
          </w:tcPr>
          <w:p>
            <w:pPr>
              <w:jc w:val="center"/>
              <w:ind w:left="2955"/>
              <w:spacing w:after="0"/>
              <w:rPr>
                <w:sz w:val="20"/>
                <w:szCs w:val="20"/>
                <w:color w:val="auto"/>
              </w:rPr>
            </w:pPr>
            <w:r>
              <w:rPr>
                <w:rFonts w:ascii="Arial" w:cs="Arial" w:eastAsia="Arial" w:hAnsi="Arial"/>
                <w:sz w:val="18"/>
                <w:szCs w:val="18"/>
                <w:b w:val="1"/>
                <w:bCs w:val="1"/>
                <w:color w:val="auto"/>
                <w:w w:val="89"/>
              </w:rPr>
              <w:t>2019 Stock Incentive Plan</w:t>
            </w:r>
          </w:p>
        </w:tc>
        <w:tc>
          <w:tcPr>
            <w:tcW w:w="2340" w:type="dxa"/>
            <w:vAlign w:val="bottom"/>
          </w:tcPr>
          <w:p>
            <w:pPr>
              <w:spacing w:after="0"/>
              <w:rPr>
                <w:sz w:val="18"/>
                <w:szCs w:val="18"/>
                <w:color w:val="auto"/>
              </w:rPr>
            </w:pPr>
          </w:p>
        </w:tc>
      </w:tr>
      <w:tr>
        <w:trPr>
          <w:trHeight w:val="212"/>
        </w:trPr>
        <w:tc>
          <w:tcPr>
            <w:tcW w:w="6260" w:type="dxa"/>
            <w:vAlign w:val="bottom"/>
          </w:tcPr>
          <w:p>
            <w:pPr>
              <w:jc w:val="center"/>
              <w:ind w:left="2955"/>
              <w:spacing w:after="0"/>
              <w:rPr>
                <w:sz w:val="20"/>
                <w:szCs w:val="20"/>
                <w:color w:val="auto"/>
              </w:rPr>
            </w:pPr>
            <w:r>
              <w:rPr>
                <w:rFonts w:ascii="Arial" w:cs="Arial" w:eastAsia="Arial" w:hAnsi="Arial"/>
                <w:sz w:val="18"/>
                <w:szCs w:val="18"/>
                <w:b w:val="1"/>
                <w:bCs w:val="1"/>
                <w:color w:val="auto"/>
                <w:w w:val="88"/>
              </w:rPr>
              <w:t>2019 Employee Stock Purchase Plan</w:t>
            </w:r>
          </w:p>
        </w:tc>
        <w:tc>
          <w:tcPr>
            <w:tcW w:w="2340" w:type="dxa"/>
            <w:vAlign w:val="bottom"/>
          </w:tcPr>
          <w:p>
            <w:pPr>
              <w:spacing w:after="0"/>
              <w:rPr>
                <w:sz w:val="18"/>
                <w:szCs w:val="18"/>
                <w:color w:val="auto"/>
              </w:rPr>
            </w:pPr>
          </w:p>
        </w:tc>
      </w:tr>
      <w:tr>
        <w:trPr>
          <w:trHeight w:val="186"/>
        </w:trPr>
        <w:tc>
          <w:tcPr>
            <w:tcW w:w="6260" w:type="dxa"/>
            <w:vAlign w:val="bottom"/>
          </w:tcPr>
          <w:p>
            <w:pPr>
              <w:jc w:val="center"/>
              <w:ind w:left="2975"/>
              <w:spacing w:after="0"/>
              <w:rPr>
                <w:sz w:val="20"/>
                <w:szCs w:val="20"/>
                <w:color w:val="auto"/>
              </w:rPr>
            </w:pPr>
            <w:r>
              <w:rPr>
                <w:rFonts w:ascii="Arial" w:cs="Arial" w:eastAsia="Arial" w:hAnsi="Arial"/>
                <w:sz w:val="14"/>
                <w:szCs w:val="14"/>
                <w:b w:val="1"/>
                <w:bCs w:val="1"/>
                <w:color w:val="auto"/>
                <w:w w:val="95"/>
              </w:rPr>
              <w:t>(Full Title of the Plan)</w:t>
            </w:r>
          </w:p>
        </w:tc>
        <w:tc>
          <w:tcPr>
            <w:tcW w:w="2340" w:type="dxa"/>
            <w:vAlign w:val="bottom"/>
          </w:tcPr>
          <w:p>
            <w:pPr>
              <w:spacing w:after="0"/>
              <w:rPr>
                <w:sz w:val="16"/>
                <w:szCs w:val="16"/>
                <w:color w:val="auto"/>
              </w:rPr>
            </w:pPr>
          </w:p>
        </w:tc>
      </w:tr>
      <w:tr>
        <w:trPr>
          <w:trHeight w:val="291"/>
        </w:trPr>
        <w:tc>
          <w:tcPr>
            <w:tcW w:w="6260" w:type="dxa"/>
            <w:vAlign w:val="bottom"/>
          </w:tcPr>
          <w:p>
            <w:pPr>
              <w:jc w:val="center"/>
              <w:ind w:left="2975"/>
              <w:spacing w:after="0"/>
              <w:rPr>
                <w:sz w:val="20"/>
                <w:szCs w:val="20"/>
                <w:color w:val="auto"/>
              </w:rPr>
            </w:pPr>
            <w:r>
              <w:rPr>
                <w:rFonts w:ascii="Arial" w:cs="Arial" w:eastAsia="Arial" w:hAnsi="Arial"/>
                <w:sz w:val="18"/>
                <w:szCs w:val="18"/>
                <w:b w:val="1"/>
                <w:bCs w:val="1"/>
                <w:color w:val="auto"/>
                <w:w w:val="92"/>
              </w:rPr>
              <w:t>Robert J. Gould, Ph.D.</w:t>
            </w:r>
          </w:p>
        </w:tc>
        <w:tc>
          <w:tcPr>
            <w:tcW w:w="2340" w:type="dxa"/>
            <w:vAlign w:val="bottom"/>
          </w:tcPr>
          <w:p>
            <w:pPr>
              <w:spacing w:after="0"/>
              <w:rPr>
                <w:sz w:val="24"/>
                <w:szCs w:val="24"/>
                <w:color w:val="auto"/>
              </w:rPr>
            </w:pPr>
          </w:p>
        </w:tc>
      </w:tr>
      <w:tr>
        <w:trPr>
          <w:trHeight w:val="216"/>
        </w:trPr>
        <w:tc>
          <w:tcPr>
            <w:tcW w:w="6260" w:type="dxa"/>
            <w:vAlign w:val="bottom"/>
          </w:tcPr>
          <w:p>
            <w:pPr>
              <w:jc w:val="center"/>
              <w:ind w:left="2975"/>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2340" w:type="dxa"/>
            <w:vAlign w:val="bottom"/>
          </w:tcPr>
          <w:p>
            <w:pPr>
              <w:spacing w:after="0"/>
              <w:rPr>
                <w:sz w:val="18"/>
                <w:szCs w:val="18"/>
                <w:color w:val="auto"/>
              </w:rPr>
            </w:pPr>
          </w:p>
        </w:tc>
      </w:tr>
      <w:tr>
        <w:trPr>
          <w:trHeight w:val="216"/>
        </w:trPr>
        <w:tc>
          <w:tcPr>
            <w:tcW w:w="6260" w:type="dxa"/>
            <w:vAlign w:val="bottom"/>
          </w:tcPr>
          <w:p>
            <w:pPr>
              <w:jc w:val="center"/>
              <w:ind w:left="2955"/>
              <w:spacing w:after="0"/>
              <w:rPr>
                <w:sz w:val="20"/>
                <w:szCs w:val="20"/>
                <w:color w:val="auto"/>
              </w:rPr>
            </w:pPr>
            <w:r>
              <w:rPr>
                <w:rFonts w:ascii="Arial" w:cs="Arial" w:eastAsia="Arial" w:hAnsi="Arial"/>
                <w:sz w:val="18"/>
                <w:szCs w:val="18"/>
                <w:b w:val="1"/>
                <w:bCs w:val="1"/>
                <w:color w:val="auto"/>
                <w:w w:val="91"/>
              </w:rPr>
              <w:t>Fulcrum Therapeutics, Inc.</w:t>
            </w:r>
          </w:p>
        </w:tc>
        <w:tc>
          <w:tcPr>
            <w:tcW w:w="2340" w:type="dxa"/>
            <w:vAlign w:val="bottom"/>
          </w:tcPr>
          <w:p>
            <w:pPr>
              <w:spacing w:after="0"/>
              <w:rPr>
                <w:sz w:val="18"/>
                <w:szCs w:val="18"/>
                <w:color w:val="auto"/>
              </w:rPr>
            </w:pPr>
          </w:p>
        </w:tc>
      </w:tr>
      <w:tr>
        <w:trPr>
          <w:trHeight w:val="216"/>
        </w:trPr>
        <w:tc>
          <w:tcPr>
            <w:tcW w:w="6260" w:type="dxa"/>
            <w:vAlign w:val="bottom"/>
          </w:tcPr>
          <w:p>
            <w:pPr>
              <w:jc w:val="center"/>
              <w:ind w:left="2955"/>
              <w:spacing w:after="0"/>
              <w:rPr>
                <w:sz w:val="20"/>
                <w:szCs w:val="20"/>
                <w:color w:val="auto"/>
              </w:rPr>
            </w:pPr>
            <w:r>
              <w:rPr>
                <w:rFonts w:ascii="Arial" w:cs="Arial" w:eastAsia="Arial" w:hAnsi="Arial"/>
                <w:sz w:val="18"/>
                <w:szCs w:val="18"/>
                <w:b w:val="1"/>
                <w:bCs w:val="1"/>
                <w:color w:val="auto"/>
                <w:w w:val="88"/>
              </w:rPr>
              <w:t>26 Landsdowne Street</w:t>
            </w:r>
          </w:p>
        </w:tc>
        <w:tc>
          <w:tcPr>
            <w:tcW w:w="2340" w:type="dxa"/>
            <w:vAlign w:val="bottom"/>
          </w:tcPr>
          <w:p>
            <w:pPr>
              <w:spacing w:after="0"/>
              <w:rPr>
                <w:sz w:val="18"/>
                <w:szCs w:val="18"/>
                <w:color w:val="auto"/>
              </w:rPr>
            </w:pPr>
          </w:p>
        </w:tc>
      </w:tr>
      <w:tr>
        <w:trPr>
          <w:trHeight w:val="212"/>
        </w:trPr>
        <w:tc>
          <w:tcPr>
            <w:tcW w:w="6260" w:type="dxa"/>
            <w:vAlign w:val="bottom"/>
          </w:tcPr>
          <w:p>
            <w:pPr>
              <w:jc w:val="center"/>
              <w:ind w:left="2975"/>
              <w:spacing w:after="0"/>
              <w:rPr>
                <w:sz w:val="20"/>
                <w:szCs w:val="20"/>
                <w:color w:val="auto"/>
              </w:rPr>
            </w:pPr>
            <w:r>
              <w:rPr>
                <w:rFonts w:ascii="Arial" w:cs="Arial" w:eastAsia="Arial" w:hAnsi="Arial"/>
                <w:sz w:val="18"/>
                <w:szCs w:val="18"/>
                <w:b w:val="1"/>
                <w:bCs w:val="1"/>
                <w:color w:val="auto"/>
                <w:w w:val="88"/>
              </w:rPr>
              <w:t>Cambridge, Massachusetts 02139</w:t>
            </w:r>
          </w:p>
        </w:tc>
        <w:tc>
          <w:tcPr>
            <w:tcW w:w="2340" w:type="dxa"/>
            <w:vAlign w:val="bottom"/>
          </w:tcPr>
          <w:p>
            <w:pPr>
              <w:spacing w:after="0"/>
              <w:rPr>
                <w:sz w:val="18"/>
                <w:szCs w:val="18"/>
                <w:color w:val="auto"/>
              </w:rPr>
            </w:pPr>
          </w:p>
        </w:tc>
      </w:tr>
      <w:tr>
        <w:trPr>
          <w:trHeight w:val="186"/>
        </w:trPr>
        <w:tc>
          <w:tcPr>
            <w:tcW w:w="6260" w:type="dxa"/>
            <w:vAlign w:val="bottom"/>
          </w:tcPr>
          <w:p>
            <w:pPr>
              <w:jc w:val="center"/>
              <w:ind w:left="2975"/>
              <w:spacing w:after="0"/>
              <w:rPr>
                <w:sz w:val="20"/>
                <w:szCs w:val="20"/>
                <w:color w:val="auto"/>
              </w:rPr>
            </w:pPr>
            <w:r>
              <w:rPr>
                <w:rFonts w:ascii="Arial" w:cs="Arial" w:eastAsia="Arial" w:hAnsi="Arial"/>
                <w:sz w:val="14"/>
                <w:szCs w:val="14"/>
                <w:b w:val="1"/>
                <w:bCs w:val="1"/>
                <w:color w:val="auto"/>
                <w:w w:val="92"/>
              </w:rPr>
              <w:t>(Name and Address of Agent For Service)</w:t>
            </w:r>
          </w:p>
        </w:tc>
        <w:tc>
          <w:tcPr>
            <w:tcW w:w="2340" w:type="dxa"/>
            <w:vAlign w:val="bottom"/>
          </w:tcPr>
          <w:p>
            <w:pPr>
              <w:spacing w:after="0"/>
              <w:rPr>
                <w:sz w:val="16"/>
                <w:szCs w:val="16"/>
                <w:color w:val="auto"/>
              </w:rPr>
            </w:pPr>
          </w:p>
        </w:tc>
      </w:tr>
    </w:tbl>
    <w:p>
      <w:pPr>
        <w:spacing w:after="0" w:line="7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651-8851</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142240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2"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840" w:type="dxa"/>
        <w:tblCellMar>
          <w:top w:w="0" w:type="dxa"/>
          <w:left w:w="0" w:type="dxa"/>
          <w:bottom w:w="0" w:type="dxa"/>
          <w:right w:w="0" w:type="dxa"/>
        </w:tblCellMar>
      </w:tblPr>
      <w:tr>
        <w:trPr>
          <w:trHeight w:val="283"/>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28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4"/>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28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4"/>
        </w:trPr>
        <w:tc>
          <w:tcPr>
            <w:tcW w:w="16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84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spacing w:after="0" w:line="7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4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4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b w:val="1"/>
                <w:bCs w:val="1"/>
                <w:color w:val="auto"/>
              </w:rPr>
              <w:t>Amount to be</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Borders>
              <w:right w:val="single" w:sz="8" w:color="auto"/>
            </w:tcBorders>
            <w:vMerge w:val="restart"/>
          </w:tcPr>
          <w:p>
            <w:pPr>
              <w:ind w:left="1340"/>
              <w:spacing w:after="0"/>
              <w:rPr>
                <w:sz w:val="20"/>
                <w:szCs w:val="20"/>
                <w:color w:val="auto"/>
              </w:rPr>
            </w:pPr>
            <w:r>
              <w:rPr>
                <w:rFonts w:ascii="Arial" w:cs="Arial" w:eastAsia="Arial" w:hAnsi="Arial"/>
                <w:sz w:val="14"/>
                <w:szCs w:val="14"/>
                <w:b w:val="1"/>
                <w:bCs w:val="1"/>
                <w:color w:val="auto"/>
              </w:rPr>
              <w:t>Title of Securities to be Registered</w:t>
            </w:r>
          </w:p>
        </w:tc>
        <w:tc>
          <w:tcPr>
            <w:tcW w:w="15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Offering Price Per</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 Offering</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Borders>
              <w:bottom w:val="single" w:sz="8" w:color="auto"/>
              <w:right w:val="single" w:sz="8" w:color="auto"/>
            </w:tcBorders>
            <w:vMerge w:val="continue"/>
          </w:tcPr>
          <w:p>
            <w:pPr>
              <w:spacing w:after="0"/>
              <w:rPr>
                <w:sz w:val="14"/>
                <w:szCs w:val="14"/>
                <w:color w:val="auto"/>
              </w:rPr>
            </w:pPr>
          </w:p>
        </w:tc>
        <w:tc>
          <w:tcPr>
            <w:tcW w:w="15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b w:val="1"/>
                <w:bCs w:val="1"/>
                <w:color w:val="auto"/>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0"/>
              </w:rPr>
              <w:t>4,636,319 shares(2)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$9.77(3)</w:t>
            </w:r>
          </w:p>
        </w:tc>
        <w:tc>
          <w:tcPr>
            <w:tcW w:w="15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8"/>
                <w:szCs w:val="18"/>
                <w:color w:val="auto"/>
                <w:w w:val="96"/>
              </w:rPr>
              <w:t>$45,318,852.24(3)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$5,493.00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right="280" w:hanging="436"/>
        <w:spacing w:after="0" w:line="290"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spacing w:after="0" w:line="1" w:lineRule="exact"/>
        <w:rPr>
          <w:rFonts w:ascii="Arial" w:cs="Arial" w:eastAsia="Arial" w:hAnsi="Arial"/>
          <w:sz w:val="16"/>
          <w:szCs w:val="16"/>
          <w:color w:val="auto"/>
        </w:rPr>
      </w:pPr>
    </w:p>
    <w:p>
      <w:pPr>
        <w:ind w:left="440" w:right="60" w:hanging="436"/>
        <w:spacing w:after="0" w:line="265"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Consists of (i) 1,596,422 shares issuable under the 2016 Stock Incentive Plan, as amended (the “2016 Stock Incentive Plan”), (ii) 2,787,755 shares issuable under the 2019 Stock Incentive Plan, and (iii) 252,142 shares issuable under the 2019 Employee Stock Purchase Plan. Upon the expiration, termination, surrender, cancellation, forfeiture or repurchase of outstanding awards under the 2016 Stock Incentive Plan, the unissued balance of shares issuable under such awards will become issuable under the 2019 Stock Incentive Plan.</w:t>
      </w:r>
    </w:p>
    <w:p>
      <w:pPr>
        <w:jc w:val="both"/>
        <w:ind w:left="440" w:right="100" w:hanging="436"/>
        <w:spacing w:after="0" w:line="281"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457(h) of the Securities Act of 1933, as amended. The price per share and aggregate offering price are calculated based on (a) $7.81, the weighted average per share exercise price of the 1,596,422 shares subject to outstanding stock option grants under the 2016 Stock Incentive Plan, at exercise prices ranging from $4.83 to $11.06 per share,</w:t>
      </w:r>
    </w:p>
    <w:p>
      <w:pPr>
        <w:spacing w:after="0" w:line="2" w:lineRule="exact"/>
        <w:rPr>
          <w:rFonts w:ascii="Arial" w:cs="Arial" w:eastAsia="Arial" w:hAnsi="Arial"/>
          <w:sz w:val="16"/>
          <w:szCs w:val="16"/>
          <w:color w:val="auto"/>
        </w:rPr>
      </w:pPr>
    </w:p>
    <w:p>
      <w:pPr>
        <w:ind w:left="440" w:right="20"/>
        <w:spacing w:after="0" w:line="290" w:lineRule="auto"/>
        <w:rPr>
          <w:rFonts w:ascii="Arial" w:cs="Arial" w:eastAsia="Arial" w:hAnsi="Arial"/>
          <w:sz w:val="16"/>
          <w:szCs w:val="16"/>
          <w:color w:val="auto"/>
        </w:rPr>
      </w:pPr>
      <w:r>
        <w:rPr>
          <w:rFonts w:ascii="Arial" w:cs="Arial" w:eastAsia="Arial" w:hAnsi="Arial"/>
          <w:sz w:val="16"/>
          <w:szCs w:val="16"/>
          <w:color w:val="auto"/>
        </w:rPr>
        <w:t>(b) $16.00, the exercise price of the 308,486 shares subject to outstanding stock option grants under the 2019 Stock Incentive Plan and (c) $10.22, the average high and low sale price of the registrant’s common stock on the Nasdaq Global Market on August 19, 2019, in accordance with Rule 457(c) under the Securities Act of 1933, as amended, for the 2,479,269 shares issuable under the 2019 Stock Incentive Plan and the 252,142 shares issuable under the 2019 Employee Stock Purchase Plan. Pursuant to the 2019 Employee Stock Purchase Plan, the purchase price of the shares of common stock reserved for issuance thereunder will be 85% of the lesser of the closing price of the common stock on (i) the first business day of the applicable offering period and (ii) the last business day of the applicable offering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229" w:right="419" w:bottom="241"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REQUIRED IN THE SECTION 10(a) PROSPECTUS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Plan Information.</w:t>
      </w:r>
    </w:p>
    <w:p>
      <w:pPr>
        <w:spacing w:after="0" w:line="229"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The information required by Item 1 is included in documents sent or given to participants in the plans covered by this registration statement pursuant to Rule 428(b)(1) of the Securities Act of 1933, as amended (the “Securities Act”).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Registrant Information and Employee Plan Annual Information.</w:t>
      </w:r>
    </w:p>
    <w:p>
      <w:pPr>
        <w:spacing w:after="0" w:line="229" w:lineRule="exact"/>
        <w:rPr>
          <w:sz w:val="20"/>
          <w:szCs w:val="20"/>
          <w:color w:val="auto"/>
        </w:rPr>
      </w:pPr>
    </w:p>
    <w:p>
      <w:pPr>
        <w:jc w:val="both"/>
        <w:ind w:right="80" w:firstLine="441"/>
        <w:spacing w:after="0" w:line="277" w:lineRule="auto"/>
        <w:rPr>
          <w:sz w:val="20"/>
          <w:szCs w:val="20"/>
          <w:color w:val="auto"/>
        </w:rPr>
      </w:pPr>
      <w:r>
        <w:rPr>
          <w:rFonts w:ascii="Arial" w:cs="Arial" w:eastAsia="Arial" w:hAnsi="Arial"/>
          <w:sz w:val="18"/>
          <w:szCs w:val="18"/>
          <w:color w:val="auto"/>
        </w:rPr>
        <w:t>The written statement required by Item 2 is included in documents sent or given to participants in the plans covered by this registration statement pursuant to Rule 428(b)(1) of the Securities Act.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REQUIRED IN THE REGISTRATION STATEMENT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Incorporation of Documents by Reference.</w:t>
      </w:r>
    </w:p>
    <w:p>
      <w:pPr>
        <w:spacing w:after="0" w:line="229" w:lineRule="exact"/>
        <w:rPr>
          <w:sz w:val="20"/>
          <w:szCs w:val="20"/>
          <w:color w:val="auto"/>
        </w:rPr>
      </w:pPr>
    </w:p>
    <w:p>
      <w:pPr>
        <w:jc w:val="both"/>
        <w:ind w:right="100" w:firstLine="441"/>
        <w:spacing w:after="0" w:line="259" w:lineRule="auto"/>
        <w:rPr>
          <w:sz w:val="20"/>
          <w:szCs w:val="20"/>
          <w:color w:val="auto"/>
        </w:rPr>
      </w:pPr>
      <w:r>
        <w:rPr>
          <w:rFonts w:ascii="Arial" w:cs="Arial" w:eastAsia="Arial" w:hAnsi="Arial"/>
          <w:sz w:val="18"/>
          <w:szCs w:val="18"/>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spacing w:after="0" w:line="187" w:lineRule="exact"/>
        <w:rPr>
          <w:sz w:val="20"/>
          <w:szCs w:val="20"/>
          <w:color w:val="auto"/>
        </w:rPr>
      </w:pPr>
    </w:p>
    <w:p>
      <w:pPr>
        <w:ind w:right="40" w:firstLine="444"/>
        <w:spacing w:after="0" w:line="264" w:lineRule="auto"/>
        <w:tabs>
          <w:tab w:leader="none" w:pos="81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181" w:lineRule="exact"/>
        <w:rPr>
          <w:rFonts w:ascii="Arial" w:cs="Arial" w:eastAsia="Arial" w:hAnsi="Arial"/>
          <w:sz w:val="18"/>
          <w:szCs w:val="18"/>
          <w:color w:val="auto"/>
        </w:rPr>
      </w:pPr>
    </w:p>
    <w:p>
      <w:pPr>
        <w:ind w:right="480" w:firstLine="444"/>
        <w:spacing w:after="0" w:line="277" w:lineRule="auto"/>
        <w:tabs>
          <w:tab w:leader="none" w:pos="821"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document referred to in (a) above.</w:t>
      </w:r>
    </w:p>
    <w:p>
      <w:pPr>
        <w:spacing w:after="0" w:line="170" w:lineRule="exact"/>
        <w:rPr>
          <w:rFonts w:ascii="Arial" w:cs="Arial" w:eastAsia="Arial" w:hAnsi="Arial"/>
          <w:sz w:val="18"/>
          <w:szCs w:val="18"/>
          <w:color w:val="auto"/>
        </w:rPr>
      </w:pPr>
    </w:p>
    <w:p>
      <w:pPr>
        <w:ind w:firstLine="444"/>
        <w:spacing w:after="0" w:line="277" w:lineRule="auto"/>
        <w:tabs>
          <w:tab w:leader="none" w:pos="81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securities contained in the registrant’s registration statement on Form 8-A filed under the Exchange Act, including any amendment or report filed for the purpose of updating such description.</w:t>
      </w:r>
    </w:p>
    <w:p>
      <w:pPr>
        <w:spacing w:after="0" w:line="170"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color w:val="auto"/>
        </w:rPr>
        <w:t>Description of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0980"/>
          </w:cols>
          <w:pgMar w:left="440" w:top="270" w:right="479" w:bottom="1440" w:gutter="0" w:footer="0" w:header="0"/>
        </w:sectPr>
      </w:pPr>
    </w:p>
    <w:bookmarkStart w:id="2" w:name="page3"/>
    <w:bookmarkEnd w:id="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5. </w:t>
      </w:r>
      <w:r>
        <w:rPr>
          <w:rFonts w:ascii="Arial" w:cs="Arial" w:eastAsia="Arial" w:hAnsi="Arial"/>
          <w:sz w:val="18"/>
          <w:szCs w:val="18"/>
          <w:color w:val="auto"/>
        </w:rPr>
        <w:t>Interests of Named Experts and Counsel.</w:t>
      </w:r>
    </w:p>
    <w:p>
      <w:pPr>
        <w:spacing w:after="0" w:line="229"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Wilmer Cutler Pickering Hale and Dorr LLP (“WilmerHale”) has opined as to the legality of the securities being offered by this registration statement.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Indemnification of Directors and Officers.</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Section 102 of the Delaware General Corporation Law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The registrant’s certificate of incorporation provides that no director shall be personally liable to the registrant or the registrant’s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89"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spacing w:after="0" w:line="16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registrant’s certificate of incorporation provides that the registrant will indemnify each person who was or is a party or threatened to be made a party to any threatened, pending or completed action, suit or proceeding, whether civil, criminal, administrative or investigative (other than an action by or in the right of the registrant), by reason of the fact that he or she is or was, or has agreed to become, the registrant’s director or officer, or is or 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registrant’s best interests, and, with respect to any criminal action or proceeding, he or she had no reasonable cause to believe his or her conduct was unlawful.</w:t>
      </w:r>
    </w:p>
    <w:p>
      <w:pPr>
        <w:spacing w:after="0" w:line="182"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The registrant’s certificate of incorporation also provides that the registrant will indemnify any Indemnitee who was or is a party to an action or suit by or in the right of the registrant to procure a judgment in the registrant’s favor by reason of the fact that the Indemnitee is or was, or has agreed to become, the registrant’s director or officer, or is or was serving, or has agreed to serve, at the registrant’s request as a director, officer, partner, employee or trustee of, or in a similar capacity with, another corporation, partnership, joint venture, trust or other enterprise, or by reason of any action alleged to have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20"/>
          </w:cols>
          <w:pgMar w:left="440" w:top="270" w:right="439" w:bottom="1440" w:gutter="0" w:footer="0" w:header="0"/>
        </w:sectPr>
      </w:pPr>
    </w:p>
    <w:bookmarkStart w:id="3" w:name="page4"/>
    <w:bookmarkEnd w:id="3"/>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registrant’s best interests,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registrant against all expenses (including attorneys’ fees) actually and reasonably incurred by him or her or on his or her behalf in connection therewith. If the registrant does not assume the defense, expenses must be advanced to an Indemnitee under certain circumstances.</w:t>
      </w:r>
    </w:p>
    <w:p>
      <w:pPr>
        <w:spacing w:after="0" w:line="166"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In addition, the registrant has entered into indemnification agreements with all of the registrant’s executive officers and directors. In general, these agreements provide that the registrant will indemnify the executive officer or director to the fullest extent permitted by law for claims arising in his or her capacity as an executive officer or director of the registrant or in connection with his or her service at the registrant’s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173"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registrant maintains a general liability insurance policy that covers certain liabilities of the registrant’s directors and officers arising out of claims based on acts or omissions in their capacities as directors or officers.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Exemption from Registration Claimed.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incorporated herein by reference: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996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960" w:type="dxa"/>
            <w:vAlign w:val="bottom"/>
            <w:gridSpan w:val="10"/>
          </w:tcPr>
          <w:p>
            <w:pPr>
              <w:spacing w:after="0"/>
              <w:rPr>
                <w:rFonts w:ascii="Arial" w:cs="Arial" w:eastAsia="Arial" w:hAnsi="Arial"/>
                <w:sz w:val="18"/>
                <w:szCs w:val="18"/>
                <w:color w:val="0000EE"/>
                <w:w w:val="94"/>
              </w:rPr>
            </w:pPr>
            <w:hyperlink r:id="rId19">
              <w:r>
                <w:rPr>
                  <w:rFonts w:ascii="Arial" w:cs="Arial" w:eastAsia="Arial" w:hAnsi="Arial"/>
                  <w:sz w:val="18"/>
                  <w:szCs w:val="18"/>
                  <w:color w:val="0000EE"/>
                  <w:w w:val="94"/>
                </w:rPr>
                <w:t>Restated Certificate of Incorporation of the Registrant (incorporated by reference to Exhibit 3.1 to the Registrant’s Current Report on</w:t>
              </w:r>
            </w:hyperlink>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Form 8-K (File No. 001-38978) filed with the Securities and Exchange Commission on July 22, 2019)</w:t>
              </w:r>
            </w:hyperlink>
          </w:p>
        </w:tc>
        <w:tc>
          <w:tcPr>
            <w:tcW w:w="22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9960" w:type="dxa"/>
            <w:vAlign w:val="bottom"/>
            <w:tcBorders>
              <w:bottom w:val="single" w:sz="8" w:color="0000EE"/>
            </w:tcBorders>
            <w:gridSpan w:val="10"/>
          </w:tcPr>
          <w:p>
            <w:pPr>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Amended and Restated Bylaws of the Registrant (incorporated by reference to Exhibit 3.2 to the Registrant’s Current Report on Form 8-K</w:t>
              </w:r>
            </w:hyperlink>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(File No. 001-38978) filed with the Securities and Exchange Commission on July 22, 2019)</w:t>
              </w:r>
            </w:hyperlink>
          </w:p>
        </w:tc>
        <w:tc>
          <w:tcPr>
            <w:tcW w:w="3340" w:type="dxa"/>
            <w:vAlign w:val="bottom"/>
            <w:gridSpan w:val="3"/>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0000EE"/>
              </w:rPr>
              <w:t>Opinion of Wilmer Cutler Pickering Hale and Dorr LLP, counsel to the Registrant</w:t>
            </w: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59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w w:val="95"/>
              </w:rPr>
              <w:t>Consent of Ernst &amp; Young LLP, independent registered public accounting firm</w:t>
            </w:r>
          </w:p>
        </w:tc>
        <w:tc>
          <w:tcPr>
            <w:tcW w:w="4060" w:type="dxa"/>
            <w:vAlign w:val="bottom"/>
            <w:gridSpan w:val="4"/>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4"/>
                <w:szCs w:val="24"/>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0000EE"/>
              </w:rPr>
              <w:t>Consent of Wilmer Cutler Pickering Hale and Dorr LLP (included in Exhibit 5.1)</w:t>
            </w: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58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Power of Attorney (included on the signature pages of this registration statement)</w:t>
              </w:r>
            </w:hyperlink>
          </w:p>
        </w:tc>
        <w:tc>
          <w:tcPr>
            <w:tcW w:w="4080" w:type="dxa"/>
            <w:vAlign w:val="bottom"/>
            <w:gridSpan w:val="5"/>
          </w:tcPr>
          <w:p>
            <w:pPr>
              <w:spacing w:after="0"/>
              <w:rPr>
                <w:sz w:val="24"/>
                <w:szCs w:val="24"/>
                <w:color w:val="auto"/>
              </w:rPr>
            </w:pPr>
          </w:p>
        </w:tc>
      </w:tr>
      <w:tr>
        <w:trPr>
          <w:trHeight w:val="385"/>
        </w:trPr>
        <w:tc>
          <w:tcPr>
            <w:tcW w:w="520" w:type="dxa"/>
            <w:vAlign w:val="bottom"/>
          </w:tcPr>
          <w:p>
            <w:pPr>
              <w:spacing w:after="0"/>
              <w:rPr>
                <w:sz w:val="24"/>
                <w:szCs w:val="24"/>
                <w:color w:val="auto"/>
              </w:rPr>
            </w:pPr>
          </w:p>
        </w:tc>
        <w:tc>
          <w:tcPr>
            <w:tcW w:w="6180" w:type="dxa"/>
            <w:vAlign w:val="bottom"/>
            <w:gridSpan w:val="4"/>
          </w:tcPr>
          <w:p>
            <w:pPr>
              <w:jc w:val="right"/>
              <w:ind w:right="1040"/>
              <w:spacing w:after="0"/>
              <w:rPr>
                <w:sz w:val="20"/>
                <w:szCs w:val="20"/>
                <w:color w:val="auto"/>
              </w:rPr>
            </w:pPr>
            <w:r>
              <w:rPr>
                <w:rFonts w:ascii="Arial" w:cs="Arial" w:eastAsia="Arial" w:hAnsi="Arial"/>
                <w:sz w:val="18"/>
                <w:szCs w:val="18"/>
                <w:color w:val="auto"/>
              </w:rPr>
              <w:t>- 3 -</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990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900" w:type="dxa"/>
            <w:vAlign w:val="bottom"/>
            <w:gridSpan w:val="3"/>
          </w:tcPr>
          <w:p>
            <w:pPr>
              <w:ind w:left="520"/>
              <w:spacing w:after="0"/>
              <w:rPr>
                <w:rFonts w:ascii="Arial" w:cs="Arial" w:eastAsia="Arial" w:hAnsi="Arial"/>
                <w:sz w:val="18"/>
                <w:szCs w:val="18"/>
                <w:color w:val="0000EE"/>
                <w:w w:val="89"/>
              </w:rPr>
            </w:pPr>
            <w:hyperlink r:id="rId22">
              <w:r>
                <w:rPr>
                  <w:rFonts w:ascii="Arial" w:cs="Arial" w:eastAsia="Arial" w:hAnsi="Arial"/>
                  <w:sz w:val="18"/>
                  <w:szCs w:val="18"/>
                  <w:color w:val="0000EE"/>
                  <w:w w:val="89"/>
                </w:rPr>
                <w:t>2016</w:t>
              </w:r>
            </w:hyperlink>
          </w:p>
        </w:tc>
        <w:tc>
          <w:tcPr>
            <w:tcW w:w="9520" w:type="dxa"/>
            <w:vAlign w:val="bottom"/>
            <w:gridSpan w:val="7"/>
          </w:tcPr>
          <w:p>
            <w:pPr>
              <w:ind w:left="20"/>
              <w:spacing w:after="0"/>
              <w:rPr>
                <w:rFonts w:ascii="Arial" w:cs="Arial" w:eastAsia="Arial" w:hAnsi="Arial"/>
                <w:sz w:val="18"/>
                <w:szCs w:val="18"/>
                <w:color w:val="0000EE"/>
                <w:w w:val="90"/>
              </w:rPr>
            </w:pPr>
            <w:hyperlink r:id="rId22">
              <w:r>
                <w:rPr>
                  <w:rFonts w:ascii="Arial" w:cs="Arial" w:eastAsia="Arial" w:hAnsi="Arial"/>
                  <w:sz w:val="18"/>
                  <w:szCs w:val="18"/>
                  <w:color w:val="0000EE"/>
                  <w:w w:val="90"/>
                </w:rPr>
                <w:t>Stock Incentive Plan, as amended (incorporated by reference to Exhibit 10.2 to the Registrant’s Registration Statement on Form S-1</w:t>
              </w:r>
            </w:hyperlink>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(File No. 333-232260) filed with the Securities and Exchange Commission on June 21, 2019)</w:t>
              </w:r>
            </w:hyperlink>
          </w:p>
        </w:tc>
        <w:tc>
          <w:tcPr>
            <w:tcW w:w="3160" w:type="dxa"/>
            <w:vAlign w:val="bottom"/>
            <w:tcBorders>
              <w:top w:val="single" w:sz="8" w:color="0000EE"/>
            </w:tcBorders>
            <w:gridSpan w:val="5"/>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99.2</w:t>
            </w:r>
          </w:p>
        </w:tc>
        <w:tc>
          <w:tcPr>
            <w:tcW w:w="52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8"/>
                <w:szCs w:val="18"/>
                <w:color w:val="0000EE"/>
                <w:w w:val="89"/>
              </w:rPr>
            </w:pPr>
            <w:hyperlink r:id="rId23">
              <w:r>
                <w:rPr>
                  <w:rFonts w:ascii="Arial" w:cs="Arial" w:eastAsia="Arial" w:hAnsi="Arial"/>
                  <w:sz w:val="18"/>
                  <w:szCs w:val="18"/>
                  <w:color w:val="0000EE"/>
                  <w:w w:val="89"/>
                </w:rPr>
                <w:t>2019</w:t>
              </w:r>
            </w:hyperlink>
          </w:p>
        </w:tc>
        <w:tc>
          <w:tcPr>
            <w:tcW w:w="9480" w:type="dxa"/>
            <w:vAlign w:val="bottom"/>
            <w:tcBorders>
              <w:bottom w:val="single" w:sz="8" w:color="0000EE"/>
            </w:tcBorders>
            <w:gridSpan w:val="6"/>
          </w:tcPr>
          <w:p>
            <w:pPr>
              <w:ind w:left="20"/>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Stock Incentive Plan (incorporated by reference to Exhibit 10.6 to Amendment No. 1 to the Registrant’s Registration Statement on</w:t>
              </w:r>
            </w:hyperlink>
          </w:p>
        </w:tc>
        <w:tc>
          <w:tcPr>
            <w:tcW w:w="4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00" w:type="dxa"/>
            <w:vAlign w:val="bottom"/>
            <w:gridSpan w:val="9"/>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Form S-1 (File No. 333-232260) filed with the Securities and Exchange Commission on July 8, 2019)</w:t>
              </w:r>
            </w:hyperlink>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960" w:type="dxa"/>
            <w:vAlign w:val="bottom"/>
            <w:gridSpan w:val="3"/>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99.3</w:t>
            </w:r>
          </w:p>
        </w:tc>
        <w:tc>
          <w:tcPr>
            <w:tcW w:w="52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8"/>
                <w:szCs w:val="18"/>
                <w:color w:val="0000EE"/>
                <w:w w:val="89"/>
              </w:rPr>
            </w:pPr>
            <w:hyperlink r:id="rId24">
              <w:r>
                <w:rPr>
                  <w:rFonts w:ascii="Arial" w:cs="Arial" w:eastAsia="Arial" w:hAnsi="Arial"/>
                  <w:sz w:val="18"/>
                  <w:szCs w:val="18"/>
                  <w:color w:val="0000EE"/>
                  <w:w w:val="89"/>
                </w:rPr>
                <w:t>2019</w:t>
              </w:r>
            </w:hyperlink>
          </w:p>
        </w:tc>
        <w:tc>
          <w:tcPr>
            <w:tcW w:w="9240" w:type="dxa"/>
            <w:vAlign w:val="bottom"/>
            <w:tcBorders>
              <w:bottom w:val="single" w:sz="8" w:color="0000EE"/>
            </w:tcBorders>
            <w:gridSpan w:val="5"/>
          </w:tcPr>
          <w:p>
            <w:pPr>
              <w:ind w:left="20"/>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Employee Stock Purchase Plan (incorporated by reference to Exhibit 10.8 to Amendment No. 1 to the Registrant’s Registration</w:t>
              </w:r>
            </w:hyperlink>
          </w:p>
        </w:tc>
        <w:tc>
          <w:tcPr>
            <w:tcW w:w="280" w:type="dxa"/>
            <w:vAlign w:val="bottom"/>
            <w:gridSpan w:val="2"/>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3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Statement on Form S-1 (File No. 333-232260) filed with the Securities and Exchange Commission on July 8, 2019)</w:t>
              </w:r>
            </w:hyperlink>
          </w:p>
        </w:tc>
        <w:tc>
          <w:tcPr>
            <w:tcW w:w="1560" w:type="dxa"/>
            <w:vAlign w:val="bottom"/>
            <w:gridSpan w:val="3"/>
          </w:tcPr>
          <w:p>
            <w:pPr>
              <w:spacing w:after="0"/>
              <w:rPr>
                <w:sz w:val="17"/>
                <w:szCs w:val="17"/>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color w:val="auto"/>
        </w:rPr>
        <w:t>Undertakings.</w:t>
      </w:r>
    </w:p>
    <w:p>
      <w:pPr>
        <w:spacing w:after="0" w:line="229" w:lineRule="exact"/>
        <w:rPr>
          <w:sz w:val="20"/>
          <w:szCs w:val="20"/>
          <w:color w:val="auto"/>
        </w:rPr>
      </w:pPr>
    </w:p>
    <w:p>
      <w:pPr>
        <w:ind w:left="760" w:hanging="31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Item 512(a) of Regulation S-K</w:t>
      </w:r>
      <w:r>
        <w:rPr>
          <w:rFonts w:ascii="Arial" w:cs="Arial" w:eastAsia="Arial" w:hAnsi="Arial"/>
          <w:sz w:val="18"/>
          <w:szCs w:val="18"/>
          <w:color w:val="auto"/>
        </w:rPr>
        <w:t>. The undersigned registrant hereby undertakes:</w:t>
      </w:r>
    </w:p>
    <w:p>
      <w:pPr>
        <w:spacing w:after="0" w:line="225" w:lineRule="exact"/>
        <w:rPr>
          <w:rFonts w:ascii="Arial" w:cs="Arial" w:eastAsia="Arial" w:hAnsi="Arial"/>
          <w:sz w:val="18"/>
          <w:szCs w:val="18"/>
          <w:color w:val="auto"/>
        </w:rPr>
      </w:pPr>
    </w:p>
    <w:p>
      <w:pPr>
        <w:ind w:left="1160" w:hanging="385"/>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60" w:hanging="344"/>
        <w:spacing w:after="0"/>
        <w:tabs>
          <w:tab w:leader="none" w:pos="15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firstLine="1216"/>
        <w:spacing w:after="0" w:line="264" w:lineRule="auto"/>
        <w:tabs>
          <w:tab w:leader="none" w:pos="1609"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81" w:lineRule="exact"/>
        <w:rPr>
          <w:rFonts w:ascii="Arial" w:cs="Arial" w:eastAsia="Arial" w:hAnsi="Arial"/>
          <w:sz w:val="18"/>
          <w:szCs w:val="18"/>
          <w:color w:val="auto"/>
        </w:rPr>
      </w:pPr>
    </w:p>
    <w:p>
      <w:pPr>
        <w:ind w:right="120" w:firstLine="1216"/>
        <w:spacing w:after="0" w:line="277" w:lineRule="auto"/>
        <w:tabs>
          <w:tab w:leader="none" w:pos="1659"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(1)(i) and (ii)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81" w:lineRule="exact"/>
        <w:rPr>
          <w:sz w:val="20"/>
          <w:szCs w:val="20"/>
          <w:color w:val="auto"/>
        </w:rPr>
      </w:pPr>
    </w:p>
    <w:p>
      <w:pPr>
        <w:jc w:val="both"/>
        <w:ind w:right="100" w:firstLine="775"/>
        <w:spacing w:after="0" w:line="264" w:lineRule="auto"/>
        <w:tabs>
          <w:tab w:leader="none" w:pos="1158"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1" w:lineRule="exact"/>
        <w:rPr>
          <w:rFonts w:ascii="Arial" w:cs="Arial" w:eastAsia="Arial" w:hAnsi="Arial"/>
          <w:sz w:val="18"/>
          <w:szCs w:val="18"/>
          <w:color w:val="auto"/>
        </w:rPr>
      </w:pPr>
    </w:p>
    <w:p>
      <w:pPr>
        <w:ind w:right="180" w:firstLine="775"/>
        <w:spacing w:after="0" w:line="277" w:lineRule="auto"/>
        <w:tabs>
          <w:tab w:leader="none" w:pos="1158"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320" w:firstLine="444"/>
        <w:spacing w:after="0" w:line="259" w:lineRule="auto"/>
        <w:tabs>
          <w:tab w:leader="none" w:pos="756" w:val="left"/>
        </w:tabs>
        <w:numPr>
          <w:ilvl w:val="0"/>
          <w:numId w:val="5"/>
        </w:numPr>
        <w:rPr>
          <w:rFonts w:ascii="Arial" w:cs="Arial" w:eastAsia="Arial" w:hAnsi="Arial"/>
          <w:sz w:val="18"/>
          <w:szCs w:val="18"/>
          <w:color w:val="auto"/>
        </w:rPr>
      </w:pPr>
      <w:r>
        <w:rPr>
          <w:rFonts w:ascii="Arial" w:cs="Arial" w:eastAsia="Arial" w:hAnsi="Arial"/>
          <w:sz w:val="18"/>
          <w:szCs w:val="18"/>
          <w:i w:val="1"/>
          <w:iCs w:val="1"/>
          <w:u w:val="single" w:color="auto"/>
          <w:color w:val="auto"/>
        </w:rPr>
        <w:t>Item 512(b) of Regulation S-K</w:t>
      </w:r>
      <w:r>
        <w:rPr>
          <w:rFonts w:ascii="Arial" w:cs="Arial" w:eastAsia="Arial" w:hAnsi="Arial"/>
          <w:sz w:val="18"/>
          <w:szCs w:val="18"/>
          <w:color w:val="auto"/>
        </w:rPr>
        <w:t>. The undersigned registrant hereby undertakes that, for purposes of determining any liability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9" w:lineRule="exact"/>
        <w:rPr>
          <w:rFonts w:ascii="Arial" w:cs="Arial" w:eastAsia="Arial" w:hAnsi="Arial"/>
          <w:sz w:val="18"/>
          <w:szCs w:val="18"/>
          <w:color w:val="auto"/>
        </w:rPr>
      </w:pPr>
    </w:p>
    <w:p>
      <w:pPr>
        <w:ind w:left="5460" w:hanging="96"/>
        <w:spacing w:after="0"/>
        <w:tabs>
          <w:tab w:leader="none" w:pos="5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20"/>
          </w:cols>
          <w:pgMar w:left="440" w:top="265" w:right="439" w:bottom="1440" w:gutter="0" w:footer="0" w:header="0"/>
        </w:sectPr>
      </w:pPr>
    </w:p>
    <w:bookmarkStart w:id="5" w:name="page6"/>
    <w:bookmarkEnd w:id="5"/>
    <w:p>
      <w:pPr>
        <w:ind w:left="-444" w:firstLine="444"/>
        <w:spacing w:after="0" w:line="271" w:lineRule="auto"/>
        <w:tabs>
          <w:tab w:leader="none" w:pos="311" w:val="left"/>
        </w:tabs>
        <w:numPr>
          <w:ilvl w:val="0"/>
          <w:numId w:val="6"/>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512(h) of Regulation S-K</w:t>
      </w:r>
      <w:r>
        <w:rPr>
          <w:rFonts w:ascii="Arial" w:cs="Arial" w:eastAsia="Arial" w:hAnsi="Arial"/>
          <w:sz w:val="17"/>
          <w:szCs w:val="17"/>
          <w:color w:val="auto"/>
        </w:rPr>
        <w:t>. Insofar as indemnification for liabilities arising under the Securities Act may be permitted to directors,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rFonts w:ascii="Arial" w:cs="Arial" w:eastAsia="Arial" w:hAnsi="Arial"/>
          <w:sz w:val="17"/>
          <w:szCs w:val="17"/>
          <w:color w:val="auto"/>
        </w:rPr>
      </w:pPr>
    </w:p>
    <w:p>
      <w:pPr>
        <w:ind w:left="5016" w:hanging="96"/>
        <w:spacing w:after="0"/>
        <w:tabs>
          <w:tab w:leader="none" w:pos="5016" w:val="left"/>
        </w:tabs>
        <w:numPr>
          <w:ilvl w:val="1"/>
          <w:numId w:val="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576"/>
          </w:cols>
          <w:pgMar w:left="884" w:top="274" w:right="43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26th day of August, 2019.</w:t>
      </w:r>
    </w:p>
    <w:p>
      <w:pPr>
        <w:spacing w:after="0" w:line="33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Robert J. Gould,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 AND SIGNATURES</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the undersigned officers and directors of Fulcrum Therapeutics, Inc., hereby severally constitute and appoint Robert J. Gould and Bryan Stuart,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Fulcrum Therapeutics,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9"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540" w:type="dxa"/>
            <w:vAlign w:val="bottom"/>
            <w:gridSpan w:val="3"/>
          </w:tcPr>
          <w:p>
            <w:pPr>
              <w:jc w:val="center"/>
              <w:ind w:left="273"/>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6"/>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Gould</w:t>
            </w:r>
          </w:p>
        </w:tc>
        <w:tc>
          <w:tcPr>
            <w:tcW w:w="6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300" w:type="dxa"/>
            <w:vAlign w:val="bottom"/>
            <w:gridSpan w:val="3"/>
          </w:tcPr>
          <w:p>
            <w:pPr>
              <w:ind w:left="140"/>
              <w:spacing w:after="0"/>
              <w:rPr>
                <w:sz w:val="20"/>
                <w:szCs w:val="20"/>
                <w:color w:val="auto"/>
              </w:rPr>
            </w:pPr>
            <w:r>
              <w:rPr>
                <w:rFonts w:ascii="Arial" w:cs="Arial" w:eastAsia="Arial" w:hAnsi="Arial"/>
                <w:sz w:val="18"/>
                <w:szCs w:val="18"/>
                <w:color w:val="auto"/>
              </w:rPr>
              <w:t>President and Chief Executive Officer, Director</w:t>
            </w:r>
          </w:p>
        </w:tc>
        <w:tc>
          <w:tcPr>
            <w:tcW w:w="1540" w:type="dxa"/>
            <w:vAlign w:val="bottom"/>
            <w:gridSpan w:val="3"/>
          </w:tcPr>
          <w:p>
            <w:pPr>
              <w:jc w:val="center"/>
              <w:ind w:left="273"/>
              <w:spacing w:after="0"/>
              <w:rPr>
                <w:sz w:val="20"/>
                <w:szCs w:val="20"/>
                <w:color w:val="auto"/>
              </w:rPr>
            </w:pPr>
            <w:r>
              <w:rPr>
                <w:rFonts w:ascii="Arial" w:cs="Arial" w:eastAsia="Arial" w:hAnsi="Arial"/>
                <w:sz w:val="18"/>
                <w:szCs w:val="18"/>
                <w:color w:val="auto"/>
                <w:w w:val="89"/>
              </w:rPr>
              <w:t>August 26, 2019</w:t>
            </w:r>
          </w:p>
        </w:tc>
      </w:tr>
      <w:tr>
        <w:trPr>
          <w:trHeight w:val="224"/>
        </w:trPr>
        <w:tc>
          <w:tcPr>
            <w:tcW w:w="2140" w:type="dxa"/>
            <w:vAlign w:val="bottom"/>
            <w:gridSpan w:val="2"/>
          </w:tcPr>
          <w:p>
            <w:pPr>
              <w:spacing w:after="0"/>
              <w:rPr>
                <w:sz w:val="20"/>
                <w:szCs w:val="20"/>
                <w:color w:val="auto"/>
              </w:rPr>
            </w:pPr>
            <w:r>
              <w:rPr>
                <w:rFonts w:ascii="Arial" w:cs="Arial" w:eastAsia="Arial" w:hAnsi="Arial"/>
                <w:sz w:val="18"/>
                <w:szCs w:val="18"/>
                <w:color w:val="auto"/>
              </w:rPr>
              <w:t>Robert J. Gould, Ph.D.</w:t>
            </w:r>
          </w:p>
        </w:tc>
        <w:tc>
          <w:tcPr>
            <w:tcW w:w="1540" w:type="dxa"/>
            <w:vAlign w:val="bottom"/>
          </w:tcPr>
          <w:p>
            <w:pPr>
              <w:spacing w:after="0"/>
              <w:rPr>
                <w:sz w:val="19"/>
                <w:szCs w:val="19"/>
                <w:color w:val="auto"/>
              </w:rPr>
            </w:pPr>
          </w:p>
        </w:tc>
        <w:tc>
          <w:tcPr>
            <w:tcW w:w="4300" w:type="dxa"/>
            <w:vAlign w:val="bottom"/>
            <w:gridSpan w:val="3"/>
          </w:tcPr>
          <w:p>
            <w:pPr>
              <w:ind w:left="140"/>
              <w:spacing w:after="0"/>
              <w:rPr>
                <w:sz w:val="20"/>
                <w:szCs w:val="20"/>
                <w:color w:val="auto"/>
              </w:rPr>
            </w:pPr>
            <w:r>
              <w:rPr>
                <w:rFonts w:ascii="Arial" w:cs="Arial" w:eastAsia="Arial" w:hAnsi="Arial"/>
                <w:sz w:val="18"/>
                <w:szCs w:val="18"/>
                <w:color w:val="auto"/>
              </w:rPr>
              <w:t>(Principal Executive Officer)</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Bryan Stuart</w:t>
            </w:r>
          </w:p>
        </w:tc>
        <w:tc>
          <w:tcPr>
            <w:tcW w:w="1540" w:type="dxa"/>
            <w:vAlign w:val="bottom"/>
            <w:tcBorders>
              <w:bottom w:val="single" w:sz="8" w:color="auto"/>
            </w:tcBorders>
          </w:tcPr>
          <w:p>
            <w:pPr>
              <w:spacing w:after="0"/>
              <w:rPr>
                <w:sz w:val="24"/>
                <w:szCs w:val="24"/>
                <w:color w:val="auto"/>
              </w:rPr>
            </w:pPr>
          </w:p>
        </w:tc>
        <w:tc>
          <w:tcPr>
            <w:tcW w:w="4300" w:type="dxa"/>
            <w:vAlign w:val="bottom"/>
            <w:gridSpan w:val="3"/>
          </w:tcPr>
          <w:p>
            <w:pPr>
              <w:ind w:left="140"/>
              <w:spacing w:after="0"/>
              <w:rPr>
                <w:sz w:val="20"/>
                <w:szCs w:val="20"/>
                <w:color w:val="auto"/>
              </w:rPr>
            </w:pPr>
            <w:r>
              <w:rPr>
                <w:rFonts w:ascii="Arial" w:cs="Arial" w:eastAsia="Arial" w:hAnsi="Arial"/>
                <w:sz w:val="18"/>
                <w:szCs w:val="18"/>
                <w:color w:val="auto"/>
              </w:rPr>
              <w:t>Chief Operating Officer (Principal Financial Officer)</w:t>
            </w:r>
          </w:p>
        </w:tc>
        <w:tc>
          <w:tcPr>
            <w:tcW w:w="1540" w:type="dxa"/>
            <w:vAlign w:val="bottom"/>
            <w:gridSpan w:val="3"/>
          </w:tcPr>
          <w:p>
            <w:pPr>
              <w:jc w:val="center"/>
              <w:ind w:left="273"/>
              <w:spacing w:after="0"/>
              <w:rPr>
                <w:sz w:val="20"/>
                <w:szCs w:val="20"/>
                <w:color w:val="auto"/>
              </w:rPr>
            </w:pPr>
            <w:r>
              <w:rPr>
                <w:rFonts w:ascii="Arial" w:cs="Arial" w:eastAsia="Arial" w:hAnsi="Arial"/>
                <w:sz w:val="18"/>
                <w:szCs w:val="18"/>
                <w:color w:val="auto"/>
                <w:w w:val="89"/>
              </w:rPr>
              <w:t>August 26, 2019</w:t>
            </w:r>
          </w:p>
        </w:tc>
      </w:tr>
      <w:tr>
        <w:trPr>
          <w:trHeight w:val="224"/>
        </w:trPr>
        <w:tc>
          <w:tcPr>
            <w:tcW w:w="2140" w:type="dxa"/>
            <w:vAlign w:val="bottom"/>
            <w:gridSpan w:val="2"/>
          </w:tcPr>
          <w:p>
            <w:pPr>
              <w:spacing w:after="0"/>
              <w:rPr>
                <w:sz w:val="20"/>
                <w:szCs w:val="20"/>
                <w:color w:val="auto"/>
              </w:rPr>
            </w:pPr>
            <w:r>
              <w:rPr>
                <w:rFonts w:ascii="Arial" w:cs="Arial" w:eastAsia="Arial" w:hAnsi="Arial"/>
                <w:sz w:val="18"/>
                <w:szCs w:val="18"/>
                <w:color w:val="auto"/>
              </w:rPr>
              <w:t>Bryan Stuart</w:t>
            </w:r>
          </w:p>
        </w:tc>
        <w:tc>
          <w:tcPr>
            <w:tcW w:w="1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Peter Thomson</w:t>
            </w:r>
          </w:p>
        </w:tc>
        <w:tc>
          <w:tcPr>
            <w:tcW w:w="1540" w:type="dxa"/>
            <w:vAlign w:val="bottom"/>
            <w:tcBorders>
              <w:bottom w:val="single" w:sz="8" w:color="auto"/>
            </w:tcBorders>
          </w:tcPr>
          <w:p>
            <w:pPr>
              <w:spacing w:after="0"/>
              <w:rPr>
                <w:sz w:val="24"/>
                <w:szCs w:val="24"/>
                <w:color w:val="auto"/>
              </w:rPr>
            </w:pPr>
          </w:p>
        </w:tc>
        <w:tc>
          <w:tcPr>
            <w:tcW w:w="4300" w:type="dxa"/>
            <w:vAlign w:val="bottom"/>
            <w:gridSpan w:val="3"/>
          </w:tcPr>
          <w:p>
            <w:pPr>
              <w:ind w:left="140"/>
              <w:spacing w:after="0"/>
              <w:rPr>
                <w:sz w:val="20"/>
                <w:szCs w:val="20"/>
                <w:color w:val="auto"/>
              </w:rPr>
            </w:pPr>
            <w:r>
              <w:rPr>
                <w:rFonts w:ascii="Arial" w:cs="Arial" w:eastAsia="Arial" w:hAnsi="Arial"/>
                <w:sz w:val="18"/>
                <w:szCs w:val="18"/>
                <w:color w:val="auto"/>
              </w:rPr>
              <w:t>Vice President, Finance &amp; Accounting</w:t>
            </w:r>
          </w:p>
        </w:tc>
        <w:tc>
          <w:tcPr>
            <w:tcW w:w="1540" w:type="dxa"/>
            <w:vAlign w:val="bottom"/>
            <w:gridSpan w:val="3"/>
          </w:tcPr>
          <w:p>
            <w:pPr>
              <w:jc w:val="center"/>
              <w:ind w:left="273"/>
              <w:spacing w:after="0"/>
              <w:rPr>
                <w:sz w:val="20"/>
                <w:szCs w:val="20"/>
                <w:color w:val="auto"/>
              </w:rPr>
            </w:pPr>
            <w:r>
              <w:rPr>
                <w:rFonts w:ascii="Arial" w:cs="Arial" w:eastAsia="Arial" w:hAnsi="Arial"/>
                <w:sz w:val="18"/>
                <w:szCs w:val="18"/>
                <w:color w:val="auto"/>
                <w:w w:val="89"/>
              </w:rPr>
              <w:t>August 26, 2019</w:t>
            </w:r>
          </w:p>
        </w:tc>
      </w:tr>
      <w:tr>
        <w:trPr>
          <w:trHeight w:val="224"/>
        </w:trPr>
        <w:tc>
          <w:tcPr>
            <w:tcW w:w="2140" w:type="dxa"/>
            <w:vAlign w:val="bottom"/>
            <w:gridSpan w:val="2"/>
          </w:tcPr>
          <w:p>
            <w:pPr>
              <w:spacing w:after="0"/>
              <w:rPr>
                <w:sz w:val="20"/>
                <w:szCs w:val="20"/>
                <w:color w:val="auto"/>
              </w:rPr>
            </w:pPr>
            <w:r>
              <w:rPr>
                <w:rFonts w:ascii="Arial" w:cs="Arial" w:eastAsia="Arial" w:hAnsi="Arial"/>
                <w:sz w:val="18"/>
                <w:szCs w:val="18"/>
                <w:color w:val="auto"/>
              </w:rPr>
              <w:t>Peter Thomson</w:t>
            </w:r>
          </w:p>
        </w:tc>
        <w:tc>
          <w:tcPr>
            <w:tcW w:w="1540" w:type="dxa"/>
            <w:vAlign w:val="bottom"/>
          </w:tcPr>
          <w:p>
            <w:pPr>
              <w:spacing w:after="0"/>
              <w:rPr>
                <w:sz w:val="19"/>
                <w:szCs w:val="19"/>
                <w:color w:val="auto"/>
              </w:rPr>
            </w:pPr>
          </w:p>
        </w:tc>
        <w:tc>
          <w:tcPr>
            <w:tcW w:w="4300" w:type="dxa"/>
            <w:vAlign w:val="bottom"/>
            <w:gridSpan w:val="3"/>
          </w:tcPr>
          <w:p>
            <w:pPr>
              <w:ind w:left="140"/>
              <w:spacing w:after="0"/>
              <w:rPr>
                <w:sz w:val="20"/>
                <w:szCs w:val="20"/>
                <w:color w:val="auto"/>
              </w:rPr>
            </w:pPr>
            <w:r>
              <w:rPr>
                <w:rFonts w:ascii="Arial" w:cs="Arial" w:eastAsia="Arial" w:hAnsi="Arial"/>
                <w:sz w:val="18"/>
                <w:szCs w:val="18"/>
                <w:color w:val="auto"/>
              </w:rPr>
              <w:t>(Principal Accounting Officer)</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Levin</w:t>
            </w:r>
          </w:p>
        </w:tc>
        <w:tc>
          <w:tcPr>
            <w:tcW w:w="1540" w:type="dxa"/>
            <w:vAlign w:val="bottom"/>
            <w:tcBorders>
              <w:bottom w:val="single" w:sz="8" w:color="auto"/>
            </w:tcBorders>
          </w:tcPr>
          <w:p>
            <w:pPr>
              <w:spacing w:after="0"/>
              <w:rPr>
                <w:sz w:val="24"/>
                <w:szCs w:val="24"/>
                <w:color w:val="auto"/>
              </w:rPr>
            </w:pPr>
          </w:p>
        </w:tc>
        <w:tc>
          <w:tcPr>
            <w:tcW w:w="4300" w:type="dxa"/>
            <w:vAlign w:val="bottom"/>
            <w:gridSpan w:val="3"/>
          </w:tcPr>
          <w:p>
            <w:pPr>
              <w:ind w:left="140"/>
              <w:spacing w:after="0"/>
              <w:rPr>
                <w:sz w:val="20"/>
                <w:szCs w:val="20"/>
                <w:color w:val="auto"/>
              </w:rPr>
            </w:pPr>
            <w:r>
              <w:rPr>
                <w:rFonts w:ascii="Arial" w:cs="Arial" w:eastAsia="Arial" w:hAnsi="Arial"/>
                <w:sz w:val="18"/>
                <w:szCs w:val="18"/>
                <w:color w:val="auto"/>
              </w:rPr>
              <w:t>Chairman of the Board</w:t>
            </w:r>
          </w:p>
        </w:tc>
        <w:tc>
          <w:tcPr>
            <w:tcW w:w="1540" w:type="dxa"/>
            <w:vAlign w:val="bottom"/>
            <w:gridSpan w:val="3"/>
          </w:tcPr>
          <w:p>
            <w:pPr>
              <w:jc w:val="center"/>
              <w:ind w:left="273"/>
              <w:spacing w:after="0"/>
              <w:rPr>
                <w:sz w:val="20"/>
                <w:szCs w:val="20"/>
                <w:color w:val="auto"/>
              </w:rPr>
            </w:pPr>
            <w:r>
              <w:rPr>
                <w:rFonts w:ascii="Arial" w:cs="Arial" w:eastAsia="Arial" w:hAnsi="Arial"/>
                <w:sz w:val="18"/>
                <w:szCs w:val="18"/>
                <w:color w:val="auto"/>
                <w:w w:val="89"/>
              </w:rPr>
              <w:t>August 26, 2019</w:t>
            </w:r>
          </w:p>
        </w:tc>
      </w:tr>
      <w:tr>
        <w:trPr>
          <w:trHeight w:val="224"/>
        </w:trPr>
        <w:tc>
          <w:tcPr>
            <w:tcW w:w="2140" w:type="dxa"/>
            <w:vAlign w:val="bottom"/>
            <w:gridSpan w:val="2"/>
          </w:tcPr>
          <w:p>
            <w:pPr>
              <w:spacing w:after="0"/>
              <w:rPr>
                <w:sz w:val="20"/>
                <w:szCs w:val="20"/>
                <w:color w:val="auto"/>
              </w:rPr>
            </w:pPr>
            <w:r>
              <w:rPr>
                <w:rFonts w:ascii="Arial" w:cs="Arial" w:eastAsia="Arial" w:hAnsi="Arial"/>
                <w:sz w:val="18"/>
                <w:szCs w:val="18"/>
                <w:color w:val="auto"/>
              </w:rPr>
              <w:t>Mark Levin</w:t>
            </w:r>
          </w:p>
        </w:tc>
        <w:tc>
          <w:tcPr>
            <w:tcW w:w="1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J. Collins</w:t>
            </w:r>
          </w:p>
        </w:tc>
        <w:tc>
          <w:tcPr>
            <w:tcW w:w="1540" w:type="dxa"/>
            <w:vAlign w:val="bottom"/>
            <w:tcBorders>
              <w:bottom w:val="single" w:sz="8" w:color="auto"/>
            </w:tcBorders>
          </w:tcPr>
          <w:p>
            <w:pPr>
              <w:spacing w:after="0"/>
              <w:rPr>
                <w:sz w:val="24"/>
                <w:szCs w:val="24"/>
                <w:color w:val="auto"/>
              </w:rPr>
            </w:pPr>
          </w:p>
        </w:tc>
        <w:tc>
          <w:tcPr>
            <w:tcW w:w="43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540" w:type="dxa"/>
            <w:vAlign w:val="bottom"/>
            <w:gridSpan w:val="3"/>
          </w:tcPr>
          <w:p>
            <w:pPr>
              <w:jc w:val="center"/>
              <w:ind w:left="273"/>
              <w:spacing w:after="0"/>
              <w:rPr>
                <w:sz w:val="20"/>
                <w:szCs w:val="20"/>
                <w:color w:val="auto"/>
              </w:rPr>
            </w:pPr>
            <w:r>
              <w:rPr>
                <w:rFonts w:ascii="Arial" w:cs="Arial" w:eastAsia="Arial" w:hAnsi="Arial"/>
                <w:sz w:val="18"/>
                <w:szCs w:val="18"/>
                <w:color w:val="auto"/>
                <w:w w:val="89"/>
              </w:rPr>
              <w:t>August 26, 2019</w:t>
            </w:r>
          </w:p>
        </w:tc>
      </w:tr>
      <w:tr>
        <w:trPr>
          <w:trHeight w:val="224"/>
        </w:trPr>
        <w:tc>
          <w:tcPr>
            <w:tcW w:w="2140" w:type="dxa"/>
            <w:vAlign w:val="bottom"/>
            <w:gridSpan w:val="2"/>
          </w:tcPr>
          <w:p>
            <w:pPr>
              <w:spacing w:after="0"/>
              <w:rPr>
                <w:sz w:val="20"/>
                <w:szCs w:val="20"/>
                <w:color w:val="auto"/>
              </w:rPr>
            </w:pPr>
            <w:r>
              <w:rPr>
                <w:rFonts w:ascii="Arial" w:cs="Arial" w:eastAsia="Arial" w:hAnsi="Arial"/>
                <w:sz w:val="18"/>
                <w:szCs w:val="18"/>
                <w:color w:val="auto"/>
              </w:rPr>
              <w:t>James J. Collins, Ph.D.</w:t>
            </w:r>
          </w:p>
        </w:tc>
        <w:tc>
          <w:tcPr>
            <w:tcW w:w="1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64"/>
        </w:trPr>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60" w:type="dxa"/>
            <w:vAlign w:val="bottom"/>
            <w:gridSpan w:val="2"/>
          </w:tcPr>
          <w:p>
            <w:pPr>
              <w:jc w:val="right"/>
              <w:ind w:right="50"/>
              <w:spacing w:after="0"/>
              <w:rPr>
                <w:sz w:val="20"/>
                <w:szCs w:val="20"/>
                <w:color w:val="auto"/>
              </w:rPr>
            </w:pPr>
            <w:r>
              <w:rPr>
                <w:rFonts w:ascii="Arial" w:cs="Arial" w:eastAsia="Arial" w:hAnsi="Arial"/>
                <w:sz w:val="18"/>
                <w:szCs w:val="18"/>
                <w:color w:val="auto"/>
              </w:rPr>
              <w:t>- 6 -</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900"/>
          </w:cols>
          <w:pgMar w:left="440" w:top="270" w:right="55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Ezekowitz</w:t>
            </w:r>
          </w:p>
        </w:tc>
        <w:tc>
          <w:tcPr>
            <w:tcW w:w="12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4640" w:type="dxa"/>
            <w:vAlign w:val="bottom"/>
          </w:tcPr>
          <w:p>
            <w:pPr>
              <w:ind w:left="3460"/>
              <w:spacing w:after="0"/>
              <w:rPr>
                <w:sz w:val="20"/>
                <w:szCs w:val="20"/>
                <w:color w:val="auto"/>
              </w:rPr>
            </w:pPr>
            <w:r>
              <w:rPr>
                <w:rFonts w:ascii="Arial" w:cs="Arial" w:eastAsia="Arial" w:hAnsi="Arial"/>
                <w:sz w:val="18"/>
                <w:szCs w:val="18"/>
                <w:color w:val="auto"/>
                <w:w w:val="88"/>
              </w:rPr>
              <w:t>August 26, 2019</w:t>
            </w:r>
          </w:p>
        </w:tc>
      </w:tr>
      <w:tr>
        <w:trPr>
          <w:trHeight w:val="224"/>
        </w:trPr>
        <w:tc>
          <w:tcPr>
            <w:tcW w:w="3680" w:type="dxa"/>
            <w:vAlign w:val="bottom"/>
          </w:tcPr>
          <w:p>
            <w:pPr>
              <w:spacing w:after="0"/>
              <w:rPr>
                <w:sz w:val="20"/>
                <w:szCs w:val="20"/>
                <w:color w:val="auto"/>
              </w:rPr>
            </w:pPr>
            <w:r>
              <w:rPr>
                <w:rFonts w:ascii="Arial" w:cs="Arial" w:eastAsia="Arial" w:hAnsi="Arial"/>
                <w:sz w:val="18"/>
                <w:szCs w:val="18"/>
                <w:color w:val="auto"/>
              </w:rPr>
              <w:t>Alan Ezekowitz, MBChB, D. Phil</w:t>
            </w:r>
          </w:p>
        </w:tc>
        <w:tc>
          <w:tcPr>
            <w:tcW w:w="1200" w:type="dxa"/>
            <w:vAlign w:val="bottom"/>
          </w:tcPr>
          <w:p>
            <w:pPr>
              <w:spacing w:after="0"/>
              <w:rPr>
                <w:sz w:val="19"/>
                <w:szCs w:val="19"/>
                <w:color w:val="auto"/>
              </w:rPr>
            </w:pPr>
          </w:p>
        </w:tc>
        <w:tc>
          <w:tcPr>
            <w:tcW w:w="4640" w:type="dxa"/>
            <w:vAlign w:val="bottom"/>
          </w:tcPr>
          <w:p>
            <w:pPr>
              <w:spacing w:after="0"/>
              <w:rPr>
                <w:sz w:val="19"/>
                <w:szCs w:val="19"/>
                <w:color w:val="auto"/>
              </w:rPr>
            </w:pPr>
          </w:p>
        </w:tc>
      </w:tr>
      <w:tr>
        <w:trPr>
          <w:trHeight w:val="431"/>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Geraghty</w:t>
            </w:r>
          </w:p>
        </w:tc>
        <w:tc>
          <w:tcPr>
            <w:tcW w:w="12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4640" w:type="dxa"/>
            <w:vAlign w:val="bottom"/>
          </w:tcPr>
          <w:p>
            <w:pPr>
              <w:ind w:left="3460"/>
              <w:spacing w:after="0"/>
              <w:rPr>
                <w:sz w:val="20"/>
                <w:szCs w:val="20"/>
                <w:color w:val="auto"/>
              </w:rPr>
            </w:pPr>
            <w:r>
              <w:rPr>
                <w:rFonts w:ascii="Arial" w:cs="Arial" w:eastAsia="Arial" w:hAnsi="Arial"/>
                <w:sz w:val="18"/>
                <w:szCs w:val="18"/>
                <w:color w:val="auto"/>
                <w:w w:val="88"/>
              </w:rPr>
              <w:t>August 26, 2019</w:t>
            </w:r>
          </w:p>
        </w:tc>
      </w:tr>
      <w:tr>
        <w:trPr>
          <w:trHeight w:val="224"/>
        </w:trPr>
        <w:tc>
          <w:tcPr>
            <w:tcW w:w="3680" w:type="dxa"/>
            <w:vAlign w:val="bottom"/>
          </w:tcPr>
          <w:p>
            <w:pPr>
              <w:spacing w:after="0"/>
              <w:rPr>
                <w:sz w:val="20"/>
                <w:szCs w:val="20"/>
                <w:color w:val="auto"/>
              </w:rPr>
            </w:pPr>
            <w:r>
              <w:rPr>
                <w:rFonts w:ascii="Arial" w:cs="Arial" w:eastAsia="Arial" w:hAnsi="Arial"/>
                <w:sz w:val="18"/>
                <w:szCs w:val="18"/>
                <w:color w:val="auto"/>
              </w:rPr>
              <w:t>James Geraghty</w:t>
            </w:r>
          </w:p>
        </w:tc>
        <w:tc>
          <w:tcPr>
            <w:tcW w:w="1200" w:type="dxa"/>
            <w:vAlign w:val="bottom"/>
          </w:tcPr>
          <w:p>
            <w:pPr>
              <w:spacing w:after="0"/>
              <w:rPr>
                <w:sz w:val="19"/>
                <w:szCs w:val="19"/>
                <w:color w:val="auto"/>
              </w:rPr>
            </w:pPr>
          </w:p>
        </w:tc>
        <w:tc>
          <w:tcPr>
            <w:tcW w:w="4640" w:type="dxa"/>
            <w:vAlign w:val="bottom"/>
          </w:tcPr>
          <w:p>
            <w:pPr>
              <w:spacing w:after="0"/>
              <w:rPr>
                <w:sz w:val="19"/>
                <w:szCs w:val="19"/>
                <w:color w:val="auto"/>
              </w:rPr>
            </w:pPr>
          </w:p>
        </w:tc>
      </w:tr>
      <w:tr>
        <w:trPr>
          <w:trHeight w:val="431"/>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Kate Haviland</w:t>
            </w:r>
          </w:p>
        </w:tc>
        <w:tc>
          <w:tcPr>
            <w:tcW w:w="12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4640" w:type="dxa"/>
            <w:vAlign w:val="bottom"/>
          </w:tcPr>
          <w:p>
            <w:pPr>
              <w:ind w:left="3460"/>
              <w:spacing w:after="0"/>
              <w:rPr>
                <w:sz w:val="20"/>
                <w:szCs w:val="20"/>
                <w:color w:val="auto"/>
              </w:rPr>
            </w:pPr>
            <w:r>
              <w:rPr>
                <w:rFonts w:ascii="Arial" w:cs="Arial" w:eastAsia="Arial" w:hAnsi="Arial"/>
                <w:sz w:val="18"/>
                <w:szCs w:val="18"/>
                <w:color w:val="auto"/>
                <w:w w:val="88"/>
              </w:rPr>
              <w:t>August 26, 2019</w:t>
            </w:r>
          </w:p>
        </w:tc>
      </w:tr>
      <w:tr>
        <w:trPr>
          <w:trHeight w:val="224"/>
        </w:trPr>
        <w:tc>
          <w:tcPr>
            <w:tcW w:w="3680" w:type="dxa"/>
            <w:vAlign w:val="bottom"/>
          </w:tcPr>
          <w:p>
            <w:pPr>
              <w:spacing w:after="0"/>
              <w:rPr>
                <w:sz w:val="20"/>
                <w:szCs w:val="20"/>
                <w:color w:val="auto"/>
              </w:rPr>
            </w:pPr>
            <w:r>
              <w:rPr>
                <w:rFonts w:ascii="Arial" w:cs="Arial" w:eastAsia="Arial" w:hAnsi="Arial"/>
                <w:sz w:val="18"/>
                <w:szCs w:val="18"/>
                <w:color w:val="auto"/>
              </w:rPr>
              <w:t>Kate Haviland</w:t>
            </w:r>
          </w:p>
        </w:tc>
        <w:tc>
          <w:tcPr>
            <w:tcW w:w="1200" w:type="dxa"/>
            <w:vAlign w:val="bottom"/>
          </w:tcPr>
          <w:p>
            <w:pPr>
              <w:spacing w:after="0"/>
              <w:rPr>
                <w:sz w:val="19"/>
                <w:szCs w:val="19"/>
                <w:color w:val="auto"/>
              </w:rPr>
            </w:pPr>
          </w:p>
        </w:tc>
        <w:tc>
          <w:tcPr>
            <w:tcW w:w="4640" w:type="dxa"/>
            <w:vAlign w:val="bottom"/>
          </w:tcPr>
          <w:p>
            <w:pPr>
              <w:spacing w:after="0"/>
              <w:rPr>
                <w:sz w:val="19"/>
                <w:szCs w:val="19"/>
                <w:color w:val="auto"/>
              </w:rPr>
            </w:pPr>
          </w:p>
        </w:tc>
      </w:tr>
      <w:tr>
        <w:trPr>
          <w:trHeight w:val="728"/>
        </w:trPr>
        <w:tc>
          <w:tcPr>
            <w:tcW w:w="3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40" w:type="dxa"/>
            <w:vAlign w:val="bottom"/>
          </w:tcPr>
          <w:p>
            <w:pPr>
              <w:jc w:val="right"/>
              <w:ind w:right="3770"/>
              <w:spacing w:after="0"/>
              <w:rPr>
                <w:sz w:val="20"/>
                <w:szCs w:val="20"/>
                <w:color w:val="auto"/>
              </w:rPr>
            </w:pPr>
            <w:r>
              <w:rPr>
                <w:rFonts w:ascii="Arial" w:cs="Arial" w:eastAsia="Arial" w:hAnsi="Arial"/>
                <w:sz w:val="18"/>
                <w:szCs w:val="18"/>
                <w:color w:val="auto"/>
              </w:rPr>
              <w:t>- 7 -</w:t>
            </w:r>
          </w:p>
        </w:tc>
      </w:tr>
    </w:tbl>
    <w:p>
      <w:pPr>
        <w:sectPr>
          <w:pgSz w:w="11900" w:h="16838" w:orient="portrait"/>
          <w:cols w:equalWidth="0" w:num="1">
            <w:col w:w="10019"/>
          </w:cols>
          <w:pgMar w:left="440" w:top="490"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August 26,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 Landsdowne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359"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Re:</w:t>
            </w:r>
          </w:p>
        </w:tc>
        <w:tc>
          <w:tcPr>
            <w:tcW w:w="2960" w:type="dxa"/>
            <w:vAlign w:val="bottom"/>
            <w:gridSpan w:val="4"/>
          </w:tcPr>
          <w:p>
            <w:pPr>
              <w:ind w:left="140"/>
              <w:spacing w:after="0"/>
              <w:rPr>
                <w:sz w:val="20"/>
                <w:szCs w:val="20"/>
                <w:color w:val="auto"/>
              </w:rPr>
            </w:pPr>
            <w:r>
              <w:rPr>
                <w:rFonts w:ascii="Arial" w:cs="Arial" w:eastAsia="Arial" w:hAnsi="Arial"/>
                <w:sz w:val="18"/>
                <w:szCs w:val="18"/>
                <w:color w:val="auto"/>
                <w:w w:val="88"/>
              </w:rPr>
              <w:t>2016 Stock Incentive Plan, as amended</w:t>
            </w:r>
          </w:p>
        </w:tc>
      </w:tr>
      <w:tr>
        <w:trPr>
          <w:trHeight w:val="216"/>
        </w:trPr>
        <w:tc>
          <w:tcPr>
            <w:tcW w:w="40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w w:val="89"/>
              </w:rPr>
              <w:t>2019</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r>
      <w:tr>
        <w:trPr>
          <w:trHeight w:val="190"/>
        </w:trPr>
        <w:tc>
          <w:tcPr>
            <w:tcW w:w="400" w:type="dxa"/>
            <w:vAlign w:val="bottom"/>
          </w:tcPr>
          <w:p>
            <w:pPr>
              <w:spacing w:after="0"/>
              <w:rPr>
                <w:sz w:val="16"/>
                <w:szCs w:val="16"/>
                <w:color w:val="auto"/>
              </w:rPr>
            </w:pPr>
          </w:p>
        </w:tc>
        <w:tc>
          <w:tcPr>
            <w:tcW w:w="540" w:type="dxa"/>
            <w:vAlign w:val="bottom"/>
            <w:gridSpan w:val="2"/>
          </w:tcPr>
          <w:p>
            <w:pPr>
              <w:ind w:left="160"/>
              <w:spacing w:after="0" w:line="190" w:lineRule="exact"/>
              <w:rPr>
                <w:sz w:val="20"/>
                <w:szCs w:val="20"/>
                <w:color w:val="auto"/>
              </w:rPr>
            </w:pPr>
            <w:r>
              <w:rPr>
                <w:rFonts w:ascii="Arial" w:cs="Arial" w:eastAsia="Arial" w:hAnsi="Arial"/>
                <w:sz w:val="18"/>
                <w:szCs w:val="18"/>
                <w:color w:val="auto"/>
                <w:w w:val="89"/>
              </w:rPr>
              <w:t>2019</w:t>
            </w:r>
          </w:p>
        </w:tc>
        <w:tc>
          <w:tcPr>
            <w:tcW w:w="2420" w:type="dxa"/>
            <w:vAlign w:val="bottom"/>
            <w:gridSpan w:val="2"/>
          </w:tcPr>
          <w:p>
            <w:pPr>
              <w:ind w:left="20"/>
              <w:spacing w:after="0" w:line="190" w:lineRule="exact"/>
              <w:rPr>
                <w:sz w:val="20"/>
                <w:szCs w:val="20"/>
                <w:color w:val="auto"/>
              </w:rPr>
            </w:pPr>
            <w:r>
              <w:rPr>
                <w:rFonts w:ascii="Arial" w:cs="Arial" w:eastAsia="Arial" w:hAnsi="Arial"/>
                <w:sz w:val="18"/>
                <w:szCs w:val="18"/>
                <w:color w:val="auto"/>
                <w:w w:val="94"/>
              </w:rPr>
              <w:t>Employee Stock Purchase Plan</w:t>
            </w: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4,636,319 shares of common stock, $0.001 par value per share (the “Shares”), of Fulcrum Therapeutics, Inc., a Delaware corporation (the “Company”), issuable under the Company’s 2016 Stock Incentive Plan, as amended, 2019 Stock Incentive Plan and 2019 Employee Stock Purchase Plan (collectively, the “Plans”).</w:t>
      </w:r>
    </w:p>
    <w:p>
      <w:pPr>
        <w:spacing w:after="0" w:line="188" w:lineRule="exact"/>
        <w:rPr>
          <w:sz w:val="20"/>
          <w:szCs w:val="20"/>
          <w:color w:val="auto"/>
        </w:rPr>
      </w:pPr>
    </w:p>
    <w:p>
      <w:pPr>
        <w:jc w:val="both"/>
        <w:ind w:right="320" w:firstLine="441"/>
        <w:spacing w:after="0" w:line="286" w:lineRule="auto"/>
        <w:rPr>
          <w:sz w:val="20"/>
          <w:szCs w:val="20"/>
          <w:color w:val="auto"/>
        </w:rPr>
      </w:pPr>
      <w:r>
        <w:rPr>
          <w:rFonts w:ascii="Arial" w:cs="Arial" w:eastAsia="Arial" w:hAnsi="Arial"/>
          <w:sz w:val="17"/>
          <w:szCs w:val="17"/>
          <w:color w:val="auto"/>
        </w:rPr>
        <w:t>We have examined the certificate of incorporation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66"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8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We assume that the appropriate action will be taken, prior to the offer and sale of the Shares in accordance with the Plans, to register and qualify the Shares for sale under all applicable state securities or “blue sky” laws.</w:t>
      </w:r>
    </w:p>
    <w:p>
      <w:pPr>
        <w:spacing w:after="0" w:line="170"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We express no opinion herein as to the laws of any state or jurisdiction other than the state laws of the Commonwealth of Massachusetts, the General Corporation Law of the State of Delaware and the federal laws of the United States of America.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It is understood that this opinion is to be used only in connection with the offer and sale of the Shares while the Registration Statement is in effect.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w:t>
      </w:r>
    </w:p>
    <w:p>
      <w:pPr>
        <w:spacing w:after="0" w:line="237"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for issuance and, when the Shares are issued and paid for in accordance with the terms and conditions of the Plans, the Shares will be validly issued, fully paid and nonassessable.</w:t>
      </w:r>
    </w:p>
    <w:p>
      <w:pPr>
        <w:sectPr>
          <w:pgSz w:w="11900" w:h="16838" w:orient="portrait"/>
          <w:cols w:equalWidth="0" w:num="1">
            <w:col w:w="11020"/>
          </w:cols>
          <w:pgMar w:left="440" w:top="121" w:right="439" w:bottom="1440" w:gutter="0" w:footer="0" w:header="0"/>
        </w:sectPr>
      </w:pPr>
    </w:p>
    <w:bookmarkStart w:id="9" w:name="page10"/>
    <w:bookmarkEnd w:id="9"/>
    <w:p>
      <w:pPr>
        <w:ind w:right="140" w:firstLine="44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3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WILMER CUTLER PICKERING HALE AND DORR LLP</w:t>
      </w:r>
    </w:p>
    <w:p>
      <w:pPr>
        <w:spacing w:after="0" w:line="200" w:lineRule="exact"/>
        <w:rPr>
          <w:sz w:val="20"/>
          <w:szCs w:val="20"/>
          <w:color w:val="auto"/>
        </w:rPr>
      </w:pP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Lia Der Marderosian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Lia Der Marderosian, a Partner</w:t>
      </w:r>
    </w:p>
    <w:p>
      <w:pPr>
        <w:sectPr>
          <w:pgSz w:w="11900" w:h="16838" w:orient="portrait"/>
          <w:cols w:equalWidth="0" w:num="1">
            <w:col w:w="10980"/>
          </w:cols>
          <w:pgMar w:left="440" w:top="274" w:right="47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Fulcrum Therapeutics, Inc. 2016 Stock Incentive Plan, as amended, 2019 Stock Incentive Plan, and 2019 Employee Stock Purchase Plan of our report dated May 1, 2019 (except for Note 14(c), as to which the date is July 8, 2019), with respect to the consolidated financial statements of Fulcrum Therapeutics, Inc. included in the Registration Statement (Form S-1 No. 333-232260) and related Prospectus of Fulcrum Therapeutics, Inc.,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decimal"/>
      <w:start w:val="1"/>
    </w:lvl>
    <w:lvl w:ilvl="1">
      <w:lvlJc w:val="left"/>
      <w:lvlText w:val="(%2)"/>
      <w:numFmt w:val="decimal"/>
      <w:start w:val="2"/>
    </w:lvl>
    <w:lvl w:ilvl="2">
      <w:lvlJc w:val="left"/>
      <w:lvlText w:val="-"/>
      <w:numFmt w:val="bullet"/>
      <w:start w:val="1"/>
    </w:lvl>
  </w:abstractNum>
  <w:abstractNum w:abstractNumId="4">
    <w:nsid w:val="3D1B58BA"/>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5">
    <w:nsid w:val="507ED7AB"/>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19" Type="http://schemas.openxmlformats.org/officeDocument/2006/relationships/hyperlink" Target="http://www.sec.gov/Archives/edgar/data/1680581/000104746919004324/a2239321zex-3_1.htm" TargetMode="External"/><Relationship Id="rId20" Type="http://schemas.openxmlformats.org/officeDocument/2006/relationships/hyperlink" Target="http://www.sec.gov/Archives/edgar/data/1680581/000104746919004324/a2239321zex-3_2.htm" TargetMode="External"/><Relationship Id="rId22" Type="http://schemas.openxmlformats.org/officeDocument/2006/relationships/hyperlink" Target="http://www.sec.gov/Archives/edgar/data/1680581/000104746919003793/a2239080zex-10_2.htm" TargetMode="External"/><Relationship Id="rId23" Type="http://schemas.openxmlformats.org/officeDocument/2006/relationships/hyperlink" Target="http://www.sec.gov/Archives/edgar/data/1680581/000104746919004014/a2239182zex-10_6.htm" TargetMode="External"/><Relationship Id="rId24" Type="http://schemas.openxmlformats.org/officeDocument/2006/relationships/hyperlink" Target="http://www.sec.gov/Archives/edgar/data/1680581/000104746919004014/a2239182zex-10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2019-11-29T20:53:46Z</dcterms:created>
  <dcterms:modified xsi:type="dcterms:W3CDTF">2019-11-29T20:53:46Z</dcterms:modified>
</cp:coreProperties>
</file>