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7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14, 2022</w:t>
      </w:r>
    </w:p>
    <w:p>
      <w:pPr>
        <w:spacing w:after="0" w:line="15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24"/>
          </w:cols>
          <w:pgMar w:left="436" w:top="392" w:right="439" w:bottom="1440" w:gutter="0" w:footer="0" w:header="0"/>
        </w:sectPr>
      </w:pPr>
    </w:p>
    <w:p>
      <w:pPr>
        <w:spacing w:after="0" w:line="201"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4"/>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4"/>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001-38978</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47-4839948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4" w:space="720"/>
            <w:col w:w="2720" w:space="720"/>
            <w:col w:w="2440"/>
          </w:cols>
          <w:pgMar w:left="436" w:top="392" w:right="439" w:bottom="1440" w:gutter="0" w:footer="0" w:header="0"/>
          <w:type w:val="continuous"/>
        </w:sectPr>
      </w:pPr>
    </w:p>
    <w:p>
      <w:pPr>
        <w:spacing w:after="0" w:line="3" w:lineRule="exact"/>
        <w:rPr>
          <w:sz w:val="24"/>
          <w:szCs w:val="24"/>
          <w:color w:val="auto"/>
        </w:rPr>
      </w:pPr>
    </w:p>
    <w:p>
      <w:pPr>
        <w:jc w:val="center"/>
        <w:ind w:right="1676"/>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31" w:lineRule="exact"/>
        <w:rPr>
          <w:sz w:val="24"/>
          <w:szCs w:val="24"/>
          <w:color w:val="auto"/>
        </w:rPr>
      </w:pPr>
    </w:p>
    <w:p>
      <w:pPr>
        <w:jc w:val="center"/>
        <w:ind w:right="1676"/>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676"/>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4"/>
          <w:szCs w:val="24"/>
          <w:color w:val="auto"/>
        </w:rPr>
      </w:pPr>
    </w:p>
    <w:p>
      <w:pPr>
        <w:sectPr>
          <w:pgSz w:w="11900" w:h="16838" w:orient="portrait"/>
          <w:cols w:equalWidth="0" w:num="2">
            <w:col w:w="7224" w:space="720"/>
            <w:col w:w="3080"/>
          </w:cols>
          <w:pgMar w:left="436" w:top="392"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(617) 651-8851</w:t>
      </w:r>
    </w:p>
    <w:p>
      <w:pPr>
        <w:sectPr>
          <w:pgSz w:w="11900" w:h="16838" w:orient="portrait"/>
          <w:cols w:equalWidth="0" w:num="1">
            <w:col w:w="11024"/>
          </w:cols>
          <w:pgMar w:left="436" w:top="392" w:right="439" w:bottom="1440" w:gutter="0" w:footer="0" w:header="0"/>
          <w:type w:val="continuous"/>
        </w:sectPr>
      </w:pPr>
    </w:p>
    <w:p>
      <w:pPr>
        <w:spacing w:after="0" w:line="21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27"/>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Trading</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Symbol(s)</w:t>
            </w:r>
          </w:p>
        </w:tc>
        <w:tc>
          <w:tcPr>
            <w:tcW w:w="10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40" w:type="dxa"/>
            <w:vAlign w:val="bottom"/>
          </w:tcPr>
          <w:p>
            <w:pPr>
              <w:spacing w:after="0"/>
              <w:rPr>
                <w:sz w:val="20"/>
                <w:szCs w:val="20"/>
                <w:color w:val="auto"/>
              </w:rPr>
            </w:pPr>
          </w:p>
        </w:tc>
        <w:tc>
          <w:tcPr>
            <w:tcW w:w="22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6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726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w w:val="99"/>
              </w:rPr>
              <w:t>If an emerging growth company, indicate by check mark if the registrant has elected not to use the extended transition period for</w:t>
            </w:r>
          </w:p>
        </w:tc>
        <w:tc>
          <w:tcPr>
            <w:tcW w:w="18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92"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14, 2022, Fulcrum Therapeutics, Inc., or Fulcrum, and Dr. Judith A. Dunn entered into a separation agreement subsequent to Dr. Dunn’s resignation from her position as president, research and development. Dr. Dunn will remain employed with Fulcrum through January 3, 2023, and continue to provide biotechnology consulting services, including clinical development services, in a transitional capacity while Fulcrum continues its previously announced search for a Chief Medical Officer. The separation agreement also memorializes Dr. Dunn’s severance benefits as contemplated by her previously filed employment agreement dated February 6, 2021 and provides for an extended exercise period (6-months) following the January 2023 separation from service. Following Dr. Dunn’s separation, Fulcrum will eliminate the president, research and development position. The clinical development organization will be reporting directly into Bryan Stuart, Fulcrum’s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intends to file a copy of the separation agreement as an exhibit to its Annual Report on Form 10-K for the year ended December 31, 2022.</w:t>
      </w:r>
    </w:p>
    <w:p>
      <w:pPr>
        <w:sectPr>
          <w:pgSz w:w="11900" w:h="16838" w:orient="portrait"/>
          <w:cols w:equalWidth="0" w:num="1">
            <w:col w:w="10840"/>
          </w:cols>
          <w:pgMar w:left="440" w:top="293" w:right="6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19,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Curtis Oltmans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Legal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2022-10-19T15:09:41Z</dcterms:created>
  <dcterms:modified xsi:type="dcterms:W3CDTF">2022-10-19T15:09:41Z</dcterms:modified>
</cp:coreProperties>
</file>