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880" w:right="1720" w:hanging="3872"/>
        <w:spacing w:after="0" w:line="396" w:lineRule="auto"/>
        <w:tabs>
          <w:tab w:leader="none" w:pos="3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3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-5080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-280670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620" w:type="dxa"/>
        <w:tblCellMar>
          <w:top w:w="0" w:type="dxa"/>
          <w:left w:w="0" w:type="dxa"/>
          <w:bottom w:w="0" w:type="dxa"/>
          <w:right w:w="0" w:type="dxa"/>
        </w:tblCellMar>
      </w:tblPr>
      <w:tr>
        <w:trPr>
          <w:trHeight w:val="227"/>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47-4839948</w:t>
            </w:r>
          </w:p>
        </w:tc>
        <w:tc>
          <w:tcPr>
            <w:tcW w:w="0" w:type="dxa"/>
            <w:vAlign w:val="bottom"/>
          </w:tcPr>
          <w:p>
            <w:pPr>
              <w:spacing w:after="0"/>
              <w:rPr>
                <w:sz w:val="1"/>
                <w:szCs w:val="1"/>
                <w:color w:val="auto"/>
              </w:rPr>
            </w:pPr>
          </w:p>
        </w:tc>
      </w:tr>
      <w:tr>
        <w:trPr>
          <w:trHeight w:val="162"/>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51"/>
        </w:trPr>
        <w:tc>
          <w:tcPr>
            <w:tcW w:w="4320" w:type="dxa"/>
            <w:vAlign w:val="bottom"/>
          </w:tcPr>
          <w:p>
            <w:pPr>
              <w:jc w:val="center"/>
              <w:ind w:right="183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89"/>
        </w:trPr>
        <w:tc>
          <w:tcPr>
            <w:tcW w:w="4320" w:type="dxa"/>
            <w:vAlign w:val="bottom"/>
          </w:tcPr>
          <w:p>
            <w:pPr>
              <w:jc w:val="center"/>
              <w:ind w:right="1859"/>
              <w:spacing w:after="0" w:line="189" w:lineRule="exact"/>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06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c>
          <w:tcPr>
            <w:tcW w:w="0" w:type="dxa"/>
            <w:vAlign w:val="bottom"/>
          </w:tcPr>
          <w:p>
            <w:pPr>
              <w:spacing w:after="0"/>
              <w:rPr>
                <w:sz w:val="1"/>
                <w:szCs w:val="1"/>
                <w:color w:val="auto"/>
              </w:rPr>
            </w:pPr>
          </w:p>
        </w:tc>
      </w:tr>
      <w:tr>
        <w:trPr>
          <w:trHeight w:val="227"/>
        </w:trPr>
        <w:tc>
          <w:tcPr>
            <w:tcW w:w="43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6"/>
        </w:trPr>
        <w:tc>
          <w:tcPr>
            <w:tcW w:w="4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FULC</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Nasdaq Global Market</w:t>
            </w:r>
          </w:p>
        </w:tc>
      </w:tr>
    </w:tbl>
    <w:p>
      <w:pPr>
        <w:spacing w:after="0" w:line="161" w:lineRule="exact"/>
        <w:rPr>
          <w:sz w:val="24"/>
          <w:szCs w:val="24"/>
          <w:color w:val="auto"/>
        </w:rPr>
      </w:pPr>
    </w:p>
    <w:p>
      <w:pPr>
        <w:ind w:right="80" w:firstLine="509"/>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7" w:lineRule="exact"/>
        <w:rPr>
          <w:sz w:val="24"/>
          <w:szCs w:val="24"/>
          <w:color w:val="auto"/>
        </w:rPr>
      </w:pPr>
    </w:p>
    <w:p>
      <w:pPr>
        <w:ind w:right="220" w:firstLine="509"/>
        <w:spacing w:after="0" w:line="23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2"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90" w:lineRule="exact"/>
        <w:rPr>
          <w:sz w:val="24"/>
          <w:szCs w:val="24"/>
          <w:color w:val="auto"/>
        </w:rPr>
      </w:pPr>
    </w:p>
    <w:p>
      <w:pPr>
        <w:ind w:right="260" w:firstLine="509"/>
        <w:spacing w:after="0" w:line="24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81" w:right="339" w:bottom="1440" w:gutter="0" w:footer="0" w:header="0"/>
        </w:sectPr>
      </w:pPr>
    </w:p>
    <w:p>
      <w:pPr>
        <w:spacing w:after="0" w:line="162" w:lineRule="exact"/>
        <w:rPr>
          <w:sz w:val="24"/>
          <w:szCs w:val="24"/>
          <w:color w:val="auto"/>
        </w:rPr>
      </w:pPr>
    </w:p>
    <w:p>
      <w:pPr>
        <w:ind w:left="23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2">
            <w:col w:w="10380" w:space="720"/>
            <w:col w:w="140"/>
          </w:cols>
          <w:pgMar w:left="320" w:top="78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87" w:lineRule="exact"/>
        <w:rPr>
          <w:sz w:val="24"/>
          <w:szCs w:val="24"/>
          <w:color w:val="auto"/>
        </w:rPr>
      </w:pPr>
    </w:p>
    <w:p>
      <w:pPr>
        <w:sectPr>
          <w:pgSz w:w="11900" w:h="16838" w:orient="portrait"/>
          <w:cols w:equalWidth="0" w:num="2">
            <w:col w:w="7980" w:space="720"/>
            <w:col w:w="2540"/>
          </w:cols>
          <w:pgMar w:left="320" w:top="781" w:right="339" w:bottom="1440" w:gutter="0" w:footer="0" w:header="0"/>
          <w:type w:val="continuous"/>
        </w:sectPr>
      </w:pPr>
    </w:p>
    <w:p>
      <w:pPr>
        <w:ind w:left="23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2">
            <w:col w:w="10380" w:space="720"/>
            <w:col w:w="140"/>
          </w:cols>
          <w:pgMar w:left="320" w:top="781" w:right="339" w:bottom="1440" w:gutter="0" w:footer="0" w:header="0"/>
          <w:type w:val="continuous"/>
        </w:sectPr>
      </w:pPr>
    </w:p>
    <w:p>
      <w:pPr>
        <w:spacing w:after="0" w:line="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87" w:lineRule="exact"/>
        <w:rPr>
          <w:sz w:val="24"/>
          <w:szCs w:val="24"/>
          <w:color w:val="auto"/>
        </w:rPr>
      </w:pPr>
    </w:p>
    <w:p>
      <w:pPr>
        <w:sectPr>
          <w:pgSz w:w="11900" w:h="16838" w:orient="portrait"/>
          <w:cols w:equalWidth="0" w:num="2">
            <w:col w:w="7980" w:space="720"/>
            <w:col w:w="2540"/>
          </w:cols>
          <w:pgMar w:left="320" w:top="781" w:right="339" w:bottom="1440" w:gutter="0" w:footer="0" w:header="0"/>
          <w:type w:val="continuous"/>
        </w:sectPr>
      </w:pPr>
    </w:p>
    <w:p>
      <w:pPr>
        <w:spacing w:after="0" w:line="28"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2" w:lineRule="exact"/>
        <w:rPr>
          <w:sz w:val="24"/>
          <w:szCs w:val="24"/>
          <w:color w:val="auto"/>
        </w:rPr>
      </w:pPr>
    </w:p>
    <w:p>
      <w:pPr>
        <w:sectPr>
          <w:pgSz w:w="11900" w:h="16838" w:orient="portrait"/>
          <w:cols w:equalWidth="0" w:num="2">
            <w:col w:w="10560" w:space="540"/>
            <w:col w:w="140"/>
          </w:cols>
          <w:pgMar w:left="320" w:top="781" w:right="339" w:bottom="1440" w:gutter="0" w:footer="0" w:header="0"/>
          <w:type w:val="continuous"/>
        </w:sectPr>
      </w:pPr>
    </w:p>
    <w:p>
      <w:pPr>
        <w:spacing w:after="0" w:line="8" w:lineRule="exact"/>
        <w:rPr>
          <w:sz w:val="24"/>
          <w:szCs w:val="24"/>
          <w:color w:val="auto"/>
        </w:rPr>
      </w:pPr>
    </w:p>
    <w:p>
      <w:pPr>
        <w:ind w:right="20" w:firstLine="509"/>
        <w:spacing w:after="0" w:line="21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520" w:right="1540"/>
        <w:spacing w:after="0" w:line="27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August 4, 2022, the registrant had 41,009,442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and “Management’s Discussion and Analysis of Financial Condition and Results of Operations” sections and include, among other things:</w:t>
      </w:r>
    </w:p>
    <w:p>
      <w:pPr>
        <w:spacing w:after="0" w:line="172"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trials of losmapimod and FTX-6058;</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organizational streamlining and realignment of resources, including our anticipated cash runway;</w:t>
      </w:r>
    </w:p>
    <w:p>
      <w:pPr>
        <w:spacing w:after="0" w:line="103"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 including our clinical trials and development plans, as well as our future financial results;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03"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67"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FTX-6058 and any other product candidates, including in combination with other drugs and therapies;</w:t>
      </w:r>
    </w:p>
    <w:p>
      <w:pPr>
        <w:spacing w:after="0" w:line="54"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losmapimod, FTX-6058 and any other product candidates;</w:t>
      </w:r>
    </w:p>
    <w:p>
      <w:pPr>
        <w:spacing w:after="0" w:line="40"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our product candidates are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03" w:lineRule="exact"/>
        <w:rPr>
          <w:rFonts w:ascii="Times New Roman" w:cs="Times New Roman" w:eastAsia="Times New Roman" w:hAnsi="Times New Roman"/>
          <w:sz w:val="18"/>
          <w:szCs w:val="18"/>
          <w:color w:val="auto"/>
        </w:rPr>
      </w:pPr>
    </w:p>
    <w:p>
      <w:pPr>
        <w:ind w:left="900" w:right="6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collaboration with MyoKardia, Inc., or MyoKardia, a wholly-owned subsidiary of Bristol-Myers Squibb Company;</w:t>
      </w:r>
    </w:p>
    <w:p>
      <w:pPr>
        <w:spacing w:after="0" w:line="6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 and</w:t>
      </w:r>
    </w:p>
    <w:p>
      <w:pPr>
        <w:spacing w:after="0" w:line="10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0"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7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90" w:lineRule="exact"/>
        <w:rPr>
          <w:sz w:val="20"/>
          <w:szCs w:val="20"/>
          <w:color w:val="auto"/>
        </w:rPr>
      </w:pPr>
    </w:p>
    <w:p>
      <w:pPr>
        <w:ind w:left="7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$80.8 million for the year ended December 31, 2021 and $60.0 million for the six months ended June 30, 2022. We expect to incur losses over the next several years and may never achieve or maintain profitability. As of June 30, 2022, we had an accumulated deficit of $362.5 million.</w:t>
      </w:r>
    </w:p>
    <w:p>
      <w:pPr>
        <w:spacing w:after="0" w:line="190" w:lineRule="exact"/>
        <w:rPr>
          <w:rFonts w:ascii="Times New Roman" w:cs="Times New Roman" w:eastAsia="Times New Roman" w:hAnsi="Times New Roman"/>
          <w:sz w:val="18"/>
          <w:szCs w:val="18"/>
          <w:color w:val="auto"/>
        </w:rPr>
      </w:pPr>
    </w:p>
    <w:p>
      <w:pPr>
        <w:ind w:left="760" w:right="1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FTX-6058 and continue research and development and initiate additional clinical trials of, and seek regulatory approval for, these and other product candidates.</w:t>
      </w:r>
    </w:p>
    <w:p>
      <w:pPr>
        <w:spacing w:after="0" w:line="177" w:lineRule="exact"/>
        <w:rPr>
          <w:rFonts w:ascii="Times New Roman" w:cs="Times New Roman" w:eastAsia="Times New Roman" w:hAnsi="Times New Roman"/>
          <w:sz w:val="18"/>
          <w:szCs w:val="18"/>
          <w:color w:val="auto"/>
        </w:rPr>
      </w:pPr>
    </w:p>
    <w:p>
      <w:pPr>
        <w:ind w:left="760" w:right="54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5" w:lineRule="exact"/>
        <w:rPr>
          <w:rFonts w:ascii="Times New Roman" w:cs="Times New Roman" w:eastAsia="Times New Roman" w:hAnsi="Times New Roman"/>
          <w:sz w:val="18"/>
          <w:szCs w:val="18"/>
          <w:color w:val="auto"/>
        </w:rPr>
      </w:pPr>
    </w:p>
    <w:p>
      <w:pPr>
        <w:ind w:left="760" w:right="120" w:hanging="378"/>
        <w:spacing w:after="0" w:line="245"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194" w:lineRule="exact"/>
        <w:rPr>
          <w:rFonts w:ascii="Times New Roman" w:cs="Times New Roman" w:eastAsia="Times New Roman" w:hAnsi="Times New Roman"/>
          <w:sz w:val="18"/>
          <w:szCs w:val="18"/>
          <w:color w:val="auto"/>
        </w:rPr>
      </w:pPr>
    </w:p>
    <w:p>
      <w:pPr>
        <w:ind w:left="760" w:right="1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90" w:lineRule="exact"/>
        <w:rPr>
          <w:rFonts w:ascii="Times New Roman" w:cs="Times New Roman" w:eastAsia="Times New Roman" w:hAnsi="Times New Roman"/>
          <w:sz w:val="18"/>
          <w:szCs w:val="18"/>
          <w:color w:val="auto"/>
        </w:rPr>
      </w:pPr>
    </w:p>
    <w:p>
      <w:pPr>
        <w:ind w:left="760" w:right="32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90"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90"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62"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 w:name="page4"/>
    <w:bookmarkEnd w:id="3"/>
    <w:p>
      <w:pPr>
        <w:ind w:left="380" w:right="300" w:hanging="378"/>
        <w:spacing w:after="0" w:line="25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69" w:lineRule="exact"/>
        <w:rPr>
          <w:rFonts w:ascii="Times New Roman" w:cs="Times New Roman" w:eastAsia="Times New Roman" w:hAnsi="Times New Roman"/>
          <w:sz w:val="18"/>
          <w:szCs w:val="18"/>
          <w:color w:val="auto"/>
        </w:rPr>
      </w:pPr>
    </w:p>
    <w:p>
      <w:pPr>
        <w:ind w:left="380" w:right="46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48" w:lineRule="exact"/>
        <w:rPr>
          <w:rFonts w:ascii="Times New Roman" w:cs="Times New Roman" w:eastAsia="Times New Roman" w:hAnsi="Times New Roman"/>
          <w:sz w:val="18"/>
          <w:szCs w:val="18"/>
          <w:color w:val="auto"/>
        </w:rPr>
      </w:pPr>
    </w:p>
    <w:p>
      <w:pPr>
        <w:jc w:val="both"/>
        <w:ind w:left="380" w:right="100" w:hanging="378"/>
        <w:spacing w:after="0" w:line="25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with third parties for the discovery, development or commercialization of product candidates, including our collaboration with MyoKardia. If our collaboration is not successful, we may not be able to capitalize on the market potential of these product candidates and our business could be adversely affected.</w:t>
      </w:r>
    </w:p>
    <w:p>
      <w:pPr>
        <w:spacing w:after="0" w:line="169" w:lineRule="exact"/>
        <w:rPr>
          <w:rFonts w:ascii="Times New Roman" w:cs="Times New Roman" w:eastAsia="Times New Roman" w:hAnsi="Times New Roman"/>
          <w:sz w:val="18"/>
          <w:szCs w:val="18"/>
          <w:color w:val="auto"/>
        </w:rPr>
      </w:pPr>
    </w:p>
    <w:p>
      <w:pPr>
        <w:ind w:left="380" w:hanging="378"/>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90" w:lineRule="exact"/>
        <w:rPr>
          <w:rFonts w:ascii="Times New Roman" w:cs="Times New Roman" w:eastAsia="Times New Roman" w:hAnsi="Times New Roman"/>
          <w:sz w:val="18"/>
          <w:szCs w:val="18"/>
          <w:color w:val="auto"/>
        </w:rPr>
      </w:pPr>
    </w:p>
    <w:p>
      <w:pPr>
        <w:ind w:left="380" w:right="520" w:hanging="378"/>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39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00" w:top="540"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80" w:type="dxa"/>
            <w:vAlign w:val="bottom"/>
            <w:gridSpan w:val="2"/>
            <w:vMerge w:val="continue"/>
          </w:tcPr>
          <w:p>
            <w:pPr>
              <w:spacing w:after="0"/>
              <w:rPr>
                <w:sz w:val="13"/>
                <w:szCs w:val="13"/>
                <w:color w:val="auto"/>
              </w:rPr>
            </w:pPr>
          </w:p>
        </w:tc>
        <w:tc>
          <w:tcPr>
            <w:tcW w:w="9840" w:type="dxa"/>
            <w:vAlign w:val="bottom"/>
            <w:gridSpan w:val="23"/>
            <w:vMerge w:val="continue"/>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00" w:type="dxa"/>
            <w:vAlign w:val="bottom"/>
            <w:tcBorders>
              <w:bottom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 as of June 30, 2022 and December 31, 2021</w:t>
            </w:r>
          </w:p>
        </w:tc>
        <w:tc>
          <w:tcPr>
            <w:tcW w:w="20" w:type="dxa"/>
            <w:vAlign w:val="bottom"/>
            <w:tcBorders>
              <w:bottom w:val="single" w:sz="8" w:color="0000EE"/>
            </w:tcBorders>
          </w:tcPr>
          <w:p>
            <w:pPr>
              <w:spacing w:after="0"/>
              <w:rPr>
                <w:sz w:val="15"/>
                <w:szCs w:val="15"/>
                <w:color w:val="auto"/>
              </w:rPr>
            </w:pPr>
          </w:p>
        </w:tc>
        <w:tc>
          <w:tcPr>
            <w:tcW w:w="4520" w:type="dxa"/>
            <w:vAlign w:val="bottom"/>
            <w:gridSpan w:val="5"/>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w:t>
            </w:r>
          </w:p>
        </w:tc>
        <w:tc>
          <w:tcPr>
            <w:tcW w:w="45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three and six months ended June 30, 2022 and 2021</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60" w:type="dxa"/>
            <w:vAlign w:val="bottom"/>
            <w:tcBorders>
              <w:top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six months ended June 30, 2022 and 2021</w:t>
            </w:r>
          </w:p>
        </w:tc>
        <w:tc>
          <w:tcPr>
            <w:tcW w:w="88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80" w:type="dxa"/>
            <w:vAlign w:val="bottom"/>
            <w:tcBorders>
              <w:top w:val="single" w:sz="8" w:color="0000EE"/>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2022 and 2021</w:t>
            </w:r>
          </w:p>
        </w:tc>
        <w:tc>
          <w:tcPr>
            <w:tcW w:w="1960" w:type="dxa"/>
            <w:vAlign w:val="bottom"/>
            <w:gridSpan w:val="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60" w:type="dxa"/>
            <w:vAlign w:val="bottom"/>
            <w:tcBorders>
              <w:top w:val="single" w:sz="8" w:color="0000EE"/>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0" w:type="dxa"/>
            <w:vAlign w:val="bottom"/>
            <w:tcBorders>
              <w:top w:val="single" w:sz="8" w:color="0000EE"/>
            </w:tcBorders>
          </w:tcPr>
          <w:p>
            <w:pPr>
              <w:spacing w:after="0"/>
              <w:rPr>
                <w:sz w:val="15"/>
                <w:szCs w:val="15"/>
                <w:color w:val="auto"/>
              </w:rPr>
            </w:pPr>
          </w:p>
        </w:tc>
        <w:tc>
          <w:tcPr>
            <w:tcW w:w="3340" w:type="dxa"/>
            <w:vAlign w:val="bottom"/>
            <w:gridSpan w:val="3"/>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31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w:t>
            </w:r>
          </w:p>
        </w:tc>
        <w:tc>
          <w:tcPr>
            <w:tcW w:w="20" w:type="dxa"/>
            <w:vAlign w:val="bottom"/>
            <w:tcBorders>
              <w:top w:val="single" w:sz="8" w:color="0000EE"/>
            </w:tcBorders>
          </w:tcPr>
          <w:p>
            <w:pPr>
              <w:spacing w:after="0"/>
              <w:rPr>
                <w:sz w:val="15"/>
                <w:szCs w:val="15"/>
                <w:color w:val="auto"/>
              </w:rPr>
            </w:pPr>
          </w:p>
        </w:tc>
        <w:tc>
          <w:tcPr>
            <w:tcW w:w="668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380" w:type="dxa"/>
            <w:vAlign w:val="bottom"/>
            <w:gridSpan w:val="4"/>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1"/>
              </w:rPr>
              <w:t>OTHER INFORMATION</w:t>
            </w:r>
          </w:p>
        </w:tc>
        <w:tc>
          <w:tcPr>
            <w:tcW w:w="20" w:type="dxa"/>
            <w:vAlign w:val="bottom"/>
            <w:tcBorders>
              <w:top w:val="single" w:sz="8" w:color="0000EE"/>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5"/>
          </w:tcPr>
          <w:p>
            <w:pPr>
              <w:spacing w:after="0"/>
              <w:rPr>
                <w:sz w:val="15"/>
                <w:szCs w:val="15"/>
                <w:color w:val="auto"/>
              </w:rPr>
            </w:pPr>
          </w:p>
        </w:tc>
        <w:tc>
          <w:tcPr>
            <w:tcW w:w="5500" w:type="dxa"/>
            <w:vAlign w:val="bottom"/>
            <w:gridSpan w:val="8"/>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5"/>
          </w:tcPr>
          <w:p>
            <w:pPr>
              <w:spacing w:after="0"/>
              <w:rPr>
                <w:sz w:val="15"/>
                <w:szCs w:val="15"/>
                <w:color w:val="auto"/>
              </w:rPr>
            </w:pPr>
          </w:p>
        </w:tc>
        <w:tc>
          <w:tcPr>
            <w:tcW w:w="5500" w:type="dxa"/>
            <w:vAlign w:val="bottom"/>
            <w:gridSpan w:val="8"/>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5"/>
          </w:tcPr>
          <w:p>
            <w:pPr>
              <w:spacing w:after="0"/>
              <w:rPr>
                <w:sz w:val="15"/>
                <w:szCs w:val="15"/>
                <w:color w:val="auto"/>
              </w:rPr>
            </w:pPr>
          </w:p>
        </w:tc>
        <w:tc>
          <w:tcPr>
            <w:tcW w:w="2020" w:type="dxa"/>
            <w:vAlign w:val="bottom"/>
            <w:gridSpan w:val="5"/>
          </w:tcPr>
          <w:p>
            <w:pPr>
              <w:spacing w:after="0"/>
              <w:rPr>
                <w:sz w:val="15"/>
                <w:szCs w:val="15"/>
                <w:color w:val="auto"/>
              </w:rPr>
            </w:pPr>
          </w:p>
        </w:tc>
        <w:tc>
          <w:tcPr>
            <w:tcW w:w="5500" w:type="dxa"/>
            <w:vAlign w:val="bottom"/>
            <w:gridSpan w:val="8"/>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20" w:type="dxa"/>
            <w:vAlign w:val="bottom"/>
            <w:tcBorders>
              <w:top w:val="single" w:sz="8" w:color="0000EE"/>
            </w:tcBorders>
          </w:tcPr>
          <w:p>
            <w:pPr>
              <w:spacing w:after="0"/>
              <w:rPr>
                <w:sz w:val="15"/>
                <w:szCs w:val="15"/>
                <w:color w:val="auto"/>
              </w:rPr>
            </w:pPr>
          </w:p>
        </w:tc>
        <w:tc>
          <w:tcPr>
            <w:tcW w:w="8920" w:type="dxa"/>
            <w:vAlign w:val="bottom"/>
            <w:gridSpan w:val="20"/>
          </w:tcPr>
          <w:p>
            <w:pPr>
              <w:ind w:left="6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500" w:type="dxa"/>
            <w:vAlign w:val="bottom"/>
            <w:gridSpan w:val="8"/>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520" w:type="dxa"/>
            <w:vAlign w:val="bottom"/>
            <w:gridSpan w:val="13"/>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8080" w:type="dxa"/>
            <w:vAlign w:val="bottom"/>
            <w:gridSpan w:val="1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520" w:type="dxa"/>
            <w:vAlign w:val="bottom"/>
            <w:gridSpan w:val="19"/>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FulcrumSeek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40,153</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35,412</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128,820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182,750</w:t>
            </w: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4,174</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4,199</w:t>
            </w:r>
          </w:p>
        </w:tc>
      </w:tr>
      <w:tr>
        <w:trPr>
          <w:trHeight w:val="210"/>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174,247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225,998</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7,834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7,368</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2,106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r>
      <w:tr>
        <w:trPr>
          <w:trHeight w:val="250"/>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195,233</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235,000</w:t>
            </w:r>
          </w:p>
        </w:tc>
      </w:tr>
      <w:tr>
        <w:trPr>
          <w:trHeight w:val="197"/>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5,385</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4,788</w:t>
            </w: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12,470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9,231</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4,711</w:t>
            </w: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lease incentive, current portion</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r>
      <w:tr>
        <w:trPr>
          <w:trHeight w:val="21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22,121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19,199</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excluding current portion</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lease incentive, excluding current portion</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2,582</w:t>
            </w:r>
          </w:p>
        </w:tc>
      </w:tr>
      <w:tr>
        <w:trPr>
          <w:trHeight w:val="210"/>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34,478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23,461</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770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Common stock, $0.001 par value; 200,000,000 shares authorized; 41,008,205 and 40,636,398 shares</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4"/>
        </w:trPr>
        <w:tc>
          <w:tcPr>
            <w:tcW w:w="77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issued as of June 30, 2022 and December 31, 2021, respectively; 41,008,205 and 40,626,224 shares</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4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no shares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524,247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514,362</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(362,465 )</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(302,467 )</w:t>
            </w: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160,755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211,539</w:t>
            </w: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195,233</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235,000</w:t>
            </w:r>
          </w:p>
        </w:tc>
      </w:tr>
      <w:tr>
        <w:trPr>
          <w:trHeight w:val="20"/>
        </w:trPr>
        <w:tc>
          <w:tcPr>
            <w:tcW w:w="7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-4319905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-3479800</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-3462655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-1799590</wp:posOffset>
            </wp:positionV>
            <wp:extent cx="102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1,882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4,474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9,170</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25,019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17,378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42,850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33,712</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11,098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21,857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12,183</w:t>
            </w:r>
          </w:p>
        </w:tc>
      </w:tr>
      <w:tr>
        <w:trPr>
          <w:trHeight w:val="20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36,117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24,063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64,707</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45,895</w:t>
            </w: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(34,235 )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(36,725 )</w:t>
            </w: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(19,648 )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(59,998 )</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(36,647 )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(0.83 )</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(0.60 )</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(1.47 )</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(1.14 )</w:t>
            </w: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40,890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32,636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40,768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32,076</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(34,070 )</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(19,648 )</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(59,998 )</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(36,647 )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(671 )</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0"/>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(34,048 )</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(19,653 )</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(60,669 )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-1782445</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-1782445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-1782445</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-1499870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-1499870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-1499870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-1191260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-1173480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-1191260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-1173480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-1191260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-1173480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-316865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-316865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-316865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17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0" w:type="dxa"/>
            <w:vAlign w:val="bottom"/>
          </w:tcPr>
          <w:p>
            <w:pPr>
              <w:spacing w:after="0"/>
              <w:rPr>
                <w:sz w:val="13"/>
                <w:szCs w:val="13"/>
                <w:color w:val="auto"/>
              </w:rPr>
            </w:pPr>
          </w:p>
        </w:tc>
        <w:tc>
          <w:tcPr>
            <w:tcW w:w="9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3"/>
                <w:szCs w:val="13"/>
                <w:color w:val="auto"/>
              </w:rPr>
            </w:pPr>
          </w:p>
        </w:tc>
        <w:tc>
          <w:tcPr>
            <w:tcW w:w="9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7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ve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3"/>
        </w:trPr>
        <w:tc>
          <w:tcPr>
            <w:tcW w:w="29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31, 2020</w:t>
            </w:r>
          </w:p>
        </w:tc>
        <w:tc>
          <w:tcPr>
            <w:tcW w:w="880" w:type="dxa"/>
            <w:vAlign w:val="bottom"/>
            <w:shd w:val="clear" w:color="auto" w:fill="CFF0FC"/>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27,941,56</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28</w:t>
            </w:r>
          </w:p>
        </w:tc>
        <w:tc>
          <w:tcPr>
            <w:tcW w:w="10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316,775</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(221,620 )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95,181</w:t>
            </w:r>
          </w:p>
        </w:tc>
        <w:tc>
          <w:tcPr>
            <w:tcW w:w="0" w:type="dxa"/>
            <w:vAlign w:val="bottom"/>
          </w:tcPr>
          <w:p>
            <w:pPr>
              <w:spacing w:after="0"/>
              <w:rPr>
                <w:sz w:val="1"/>
                <w:szCs w:val="1"/>
                <w:color w:val="auto"/>
              </w:rPr>
            </w:pPr>
          </w:p>
        </w:tc>
      </w:tr>
      <w:tr>
        <w:trPr>
          <w:trHeight w:val="185"/>
        </w:trPr>
        <w:tc>
          <w:tcPr>
            <w:tcW w:w="29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4,600,000</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47,402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47,407</w:t>
            </w:r>
          </w:p>
        </w:tc>
        <w:tc>
          <w:tcPr>
            <w:tcW w:w="0" w:type="dxa"/>
            <w:vAlign w:val="bottom"/>
          </w:tcPr>
          <w:p>
            <w:pPr>
              <w:spacing w:after="0"/>
              <w:rPr>
                <w:sz w:val="1"/>
                <w:szCs w:val="1"/>
                <w:color w:val="auto"/>
              </w:rPr>
            </w:pPr>
          </w:p>
        </w:tc>
      </w:tr>
      <w:tr>
        <w:trPr>
          <w:trHeight w:val="18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with public offering, net of issuance costs</w:t>
            </w: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11,888</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8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plans</w:t>
            </w: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awards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40,982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9"/>
        </w:trPr>
        <w:tc>
          <w:tcPr>
            <w:tcW w:w="29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 of unvested restricted stock</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1,836</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Retirement of treasury shares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(1,836 )</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2,073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2,073</w:t>
            </w: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6"/>
        </w:trPr>
        <w:tc>
          <w:tcPr>
            <w:tcW w:w="2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(16,999 )</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(16,999 )</w:t>
            </w:r>
          </w:p>
        </w:tc>
        <w:tc>
          <w:tcPr>
            <w:tcW w:w="0" w:type="dxa"/>
            <w:vAlign w:val="bottom"/>
          </w:tcPr>
          <w:p>
            <w:pPr>
              <w:spacing w:after="0"/>
              <w:rPr>
                <w:sz w:val="1"/>
                <w:szCs w:val="1"/>
                <w:color w:val="auto"/>
              </w:rPr>
            </w:pPr>
          </w:p>
        </w:tc>
      </w:tr>
      <w:tr>
        <w:trPr>
          <w:trHeight w:val="133"/>
        </w:trPr>
        <w:tc>
          <w:tcPr>
            <w:tcW w:w="29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March 31, 2021</w:t>
            </w:r>
          </w:p>
        </w:tc>
        <w:tc>
          <w:tcPr>
            <w:tcW w:w="88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32,594,43</w:t>
            </w:r>
          </w:p>
        </w:tc>
        <w:tc>
          <w:tcPr>
            <w:tcW w:w="84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9"/>
              </w:rPr>
              <w:t>33</w:t>
            </w:r>
          </w:p>
        </w:tc>
        <w:tc>
          <w:tcPr>
            <w:tcW w:w="100" w:type="dxa"/>
            <w:vAlign w:val="bottom"/>
          </w:tcPr>
          <w:p>
            <w:pPr>
              <w:spacing w:after="0"/>
              <w:rPr>
                <w:sz w:val="11"/>
                <w:szCs w:val="11"/>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366,344</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(238,619 )</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127,754</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84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960" w:type="dxa"/>
            <w:vAlign w:val="bottom"/>
            <w:shd w:val="clear" w:color="auto" w:fill="CFF0FC"/>
          </w:tcPr>
          <w:p>
            <w:pPr>
              <w:ind w:left="200"/>
              <w:spacing w:after="0" w:line="120"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30,008</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8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plans</w:t>
            </w: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awards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35,296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9"/>
        </w:trPr>
        <w:tc>
          <w:tcPr>
            <w:tcW w:w="29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 of unvested restricted stock</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2,435</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Retirement of treasury shares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(2,414 )</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2,546</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2,546</w:t>
            </w: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75"/>
        </w:trPr>
        <w:tc>
          <w:tcPr>
            <w:tcW w:w="2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(19,648 )</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(19,648 )</w:t>
            </w:r>
          </w:p>
        </w:tc>
        <w:tc>
          <w:tcPr>
            <w:tcW w:w="0" w:type="dxa"/>
            <w:vAlign w:val="bottom"/>
          </w:tcPr>
          <w:p>
            <w:pPr>
              <w:spacing w:after="0"/>
              <w:rPr>
                <w:sz w:val="1"/>
                <w:szCs w:val="1"/>
                <w:color w:val="auto"/>
              </w:rPr>
            </w:pPr>
          </w:p>
        </w:tc>
      </w:tr>
      <w:tr>
        <w:trPr>
          <w:trHeight w:val="133"/>
        </w:trPr>
        <w:tc>
          <w:tcPr>
            <w:tcW w:w="29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June 30, 2021</w:t>
            </w:r>
          </w:p>
        </w:tc>
        <w:tc>
          <w:tcPr>
            <w:tcW w:w="88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32,659,74</w:t>
            </w:r>
          </w:p>
        </w:tc>
        <w:tc>
          <w:tcPr>
            <w:tcW w:w="84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9"/>
              </w:rPr>
              <w:t>33</w:t>
            </w:r>
          </w:p>
        </w:tc>
        <w:tc>
          <w:tcPr>
            <w:tcW w:w="10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84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369,133</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(258,267 )</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110,890</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9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Balance at December 31, 2021</w:t>
            </w:r>
          </w:p>
        </w:tc>
        <w:tc>
          <w:tcPr>
            <w:tcW w:w="880" w:type="dxa"/>
            <w:vAlign w:val="bottom"/>
            <w:shd w:val="clear" w:color="auto" w:fill="CFF0FC"/>
          </w:tcPr>
          <w:p>
            <w:pPr>
              <w:jc w:val="right"/>
              <w:ind w:right="68"/>
              <w:spacing w:after="0" w:line="120" w:lineRule="exact"/>
              <w:rPr>
                <w:sz w:val="20"/>
                <w:szCs w:val="20"/>
                <w:color w:val="auto"/>
              </w:rPr>
            </w:pPr>
            <w:r>
              <w:rPr>
                <w:rFonts w:ascii="Times New Roman" w:cs="Times New Roman" w:eastAsia="Times New Roman" w:hAnsi="Times New Roman"/>
                <w:sz w:val="13"/>
                <w:szCs w:val="13"/>
                <w:color w:val="auto"/>
              </w:rPr>
              <w:t>40,626,22</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514,362</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(397 )</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(302,467 )</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211,539</w:t>
            </w:r>
          </w:p>
        </w:tc>
        <w:tc>
          <w:tcPr>
            <w:tcW w:w="0" w:type="dxa"/>
            <w:vAlign w:val="bottom"/>
          </w:tcPr>
          <w:p>
            <w:pPr>
              <w:spacing w:after="0"/>
              <w:rPr>
                <w:sz w:val="1"/>
                <w:szCs w:val="1"/>
                <w:color w:val="auto"/>
              </w:rPr>
            </w:pPr>
          </w:p>
        </w:tc>
      </w:tr>
      <w:tr>
        <w:trPr>
          <w:trHeight w:val="185"/>
        </w:trPr>
        <w:tc>
          <w:tcPr>
            <w:tcW w:w="29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47,627</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8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plans</w:t>
            </w: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awards</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9,754</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3,847</w:t>
            </w: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(693 )</w:t>
            </w: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(25,928 )</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(25,928 )</w:t>
            </w:r>
          </w:p>
        </w:tc>
        <w:tc>
          <w:tcPr>
            <w:tcW w:w="0" w:type="dxa"/>
            <w:vAlign w:val="bottom"/>
          </w:tcPr>
          <w:p>
            <w:pPr>
              <w:spacing w:after="0"/>
              <w:rPr>
                <w:sz w:val="1"/>
                <w:szCs w:val="1"/>
                <w:color w:val="auto"/>
              </w:rPr>
            </w:pPr>
          </w:p>
        </w:tc>
      </w:tr>
      <w:tr>
        <w:trPr>
          <w:trHeight w:val="133"/>
        </w:trPr>
        <w:tc>
          <w:tcPr>
            <w:tcW w:w="29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March 31, 2022</w:t>
            </w:r>
          </w:p>
        </w:tc>
        <w:tc>
          <w:tcPr>
            <w:tcW w:w="880" w:type="dxa"/>
            <w:vAlign w:val="bottom"/>
            <w:shd w:val="clear" w:color="auto" w:fill="CFF0FC"/>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40,683,60</w:t>
            </w:r>
          </w:p>
        </w:tc>
        <w:tc>
          <w:tcPr>
            <w:tcW w:w="840" w:type="dxa"/>
            <w:vAlign w:val="bottom"/>
            <w:gridSpan w:val="2"/>
            <w:vMerge w:val="restart"/>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518,604</w:t>
            </w:r>
          </w:p>
        </w:tc>
        <w:tc>
          <w:tcPr>
            <w:tcW w:w="26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(1,090 )</w:t>
            </w:r>
          </w:p>
        </w:tc>
        <w:tc>
          <w:tcPr>
            <w:tcW w:w="2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(328,395 )</w:t>
            </w:r>
          </w:p>
        </w:tc>
        <w:tc>
          <w:tcPr>
            <w:tcW w:w="2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189,160</w:t>
            </w:r>
          </w:p>
        </w:tc>
        <w:tc>
          <w:tcPr>
            <w:tcW w:w="0" w:type="dxa"/>
            <w:vAlign w:val="bottom"/>
          </w:tcPr>
          <w:p>
            <w:pPr>
              <w:spacing w:after="0"/>
              <w:rPr>
                <w:sz w:val="1"/>
                <w:szCs w:val="1"/>
                <w:color w:val="auto"/>
              </w:rPr>
            </w:pPr>
          </w:p>
        </w:tc>
      </w:tr>
      <w:tr>
        <w:trPr>
          <w:trHeight w:val="225"/>
        </w:trPr>
        <w:tc>
          <w:tcPr>
            <w:tcW w:w="29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840" w:type="dxa"/>
            <w:vAlign w:val="bottom"/>
            <w:gridSpan w:val="2"/>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200" w:type="dxa"/>
            <w:vAlign w:val="bottom"/>
            <w:gridSpan w:val="2"/>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240" w:type="dxa"/>
            <w:vAlign w:val="bottom"/>
            <w:gridSpan w:val="2"/>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240" w:type="dxa"/>
            <w:vAlign w:val="bottom"/>
            <w:gridSpan w:val="2"/>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960" w:type="dxa"/>
            <w:vAlign w:val="bottom"/>
            <w:tcBorders>
              <w:top w:val="single" w:sz="8" w:color="CFF0FC"/>
            </w:tcBorders>
          </w:tcPr>
          <w:p>
            <w:pPr>
              <w:ind w:left="200"/>
              <w:spacing w:after="0" w:line="120"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88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324,180</w:t>
            </w:r>
          </w:p>
        </w:tc>
        <w:tc>
          <w:tcPr>
            <w:tcW w:w="10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2,764</w:t>
            </w:r>
          </w:p>
        </w:tc>
        <w:tc>
          <w:tcPr>
            <w:tcW w:w="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2,764</w:t>
            </w:r>
          </w:p>
        </w:tc>
        <w:tc>
          <w:tcPr>
            <w:tcW w:w="0" w:type="dxa"/>
            <w:vAlign w:val="bottom"/>
          </w:tcPr>
          <w:p>
            <w:pPr>
              <w:spacing w:after="0"/>
              <w:rPr>
                <w:sz w:val="1"/>
                <w:szCs w:val="1"/>
                <w:color w:val="auto"/>
              </w:rPr>
            </w:pPr>
          </w:p>
        </w:tc>
      </w:tr>
      <w:tr>
        <w:trPr>
          <w:trHeight w:val="18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plans</w:t>
            </w: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awards</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2,879</w:t>
            </w:r>
          </w:p>
        </w:tc>
        <w:tc>
          <w:tcPr>
            <w:tcW w:w="0" w:type="dxa"/>
            <w:vAlign w:val="bottom"/>
          </w:tcPr>
          <w:p>
            <w:pPr>
              <w:spacing w:after="0"/>
              <w:rPr>
                <w:sz w:val="1"/>
                <w:szCs w:val="1"/>
                <w:color w:val="auto"/>
              </w:rPr>
            </w:pPr>
          </w:p>
        </w:tc>
      </w:tr>
      <w:tr>
        <w:trPr>
          <w:trHeight w:val="176"/>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(34,070 )</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(34,070 )</w:t>
            </w:r>
          </w:p>
        </w:tc>
        <w:tc>
          <w:tcPr>
            <w:tcW w:w="0" w:type="dxa"/>
            <w:vAlign w:val="bottom"/>
          </w:tcPr>
          <w:p>
            <w:pPr>
              <w:spacing w:after="0"/>
              <w:rPr>
                <w:sz w:val="1"/>
                <w:szCs w:val="1"/>
                <w:color w:val="auto"/>
              </w:rPr>
            </w:pPr>
          </w:p>
        </w:tc>
      </w:tr>
      <w:tr>
        <w:trPr>
          <w:trHeight w:val="133"/>
        </w:trPr>
        <w:tc>
          <w:tcPr>
            <w:tcW w:w="29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June 30, 2022</w:t>
            </w:r>
          </w:p>
        </w:tc>
        <w:tc>
          <w:tcPr>
            <w:tcW w:w="880" w:type="dxa"/>
            <w:vAlign w:val="bottom"/>
            <w:shd w:val="clear" w:color="auto" w:fill="CFF0FC"/>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41,008,20</w:t>
            </w:r>
          </w:p>
        </w:tc>
        <w:tc>
          <w:tcPr>
            <w:tcW w:w="100" w:type="dxa"/>
            <w:vAlign w:val="bottom"/>
            <w:vMerge w:val="restart"/>
            <w:shd w:val="clear" w:color="auto" w:fill="CFF0FC"/>
          </w:tcPr>
          <w:p>
            <w:pPr>
              <w:spacing w:after="0"/>
              <w:rPr>
                <w:sz w:val="11"/>
                <w:szCs w:val="11"/>
                <w:color w:val="auto"/>
              </w:rPr>
            </w:pPr>
          </w:p>
        </w:tc>
        <w:tc>
          <w:tcPr>
            <w:tcW w:w="740" w:type="dxa"/>
            <w:vAlign w:val="bottom"/>
            <w:vMerge w:val="restart"/>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1"/>
                <w:szCs w:val="11"/>
                <w:color w:val="auto"/>
              </w:rPr>
            </w:pPr>
          </w:p>
        </w:tc>
        <w:tc>
          <w:tcPr>
            <w:tcW w:w="720" w:type="dxa"/>
            <w:vAlign w:val="bottom"/>
            <w:vMerge w:val="restart"/>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524,247</w:t>
            </w:r>
          </w:p>
        </w:tc>
        <w:tc>
          <w:tcPr>
            <w:tcW w:w="8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(1,068 )</w:t>
            </w:r>
          </w:p>
        </w:tc>
        <w:tc>
          <w:tcPr>
            <w:tcW w:w="10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(362,465 )</w:t>
            </w:r>
          </w:p>
        </w:tc>
        <w:tc>
          <w:tcPr>
            <w:tcW w:w="10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160,755</w:t>
            </w:r>
          </w:p>
        </w:tc>
        <w:tc>
          <w:tcPr>
            <w:tcW w:w="0" w:type="dxa"/>
            <w:vAlign w:val="bottom"/>
          </w:tcPr>
          <w:p>
            <w:pPr>
              <w:spacing w:after="0"/>
              <w:rPr>
                <w:sz w:val="1"/>
                <w:szCs w:val="1"/>
                <w:color w:val="auto"/>
              </w:rPr>
            </w:pPr>
          </w:p>
        </w:tc>
      </w:tr>
      <w:tr>
        <w:trPr>
          <w:trHeight w:val="225"/>
        </w:trPr>
        <w:tc>
          <w:tcPr>
            <w:tcW w:w="29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-3436620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-3436620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-3436620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-3436620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-3436620</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-3436620</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-3436620</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-2228215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-2228215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-2228215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-2228215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-2228215</wp:posOffset>
            </wp:positionV>
            <wp:extent cx="59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-2228215</wp:posOffset>
            </wp:positionV>
            <wp:extent cx="59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-2228215</wp:posOffset>
            </wp:positionV>
            <wp:extent cx="59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-916940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-899795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-916940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-899795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-916940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-899795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-916940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-899795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-916940</wp:posOffset>
            </wp:positionV>
            <wp:extent cx="59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-899795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-916940</wp:posOffset>
            </wp:positionV>
            <wp:extent cx="59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-899795</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-916940</wp:posOffset>
            </wp:positionV>
            <wp:extent cx="59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-899795</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9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59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-8255</wp:posOffset>
            </wp:positionV>
            <wp:extent cx="59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(59,998 )</w:t>
            </w:r>
          </w:p>
        </w:tc>
        <w:tc>
          <w:tcPr>
            <w:tcW w:w="5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(36,647 )</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10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1,275</w:t>
            </w: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6,726</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4,619</w:t>
            </w: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amortization of premiums on marketable securities</w:t>
            </w:r>
          </w:p>
        </w:tc>
        <w:tc>
          <w:tcPr>
            <w:tcW w:w="10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w:t>
            </w: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2,143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394</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1,773</w:t>
            </w: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(221 )</w:t>
            </w: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471</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622</w:t>
            </w: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3,448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r>
      <w:tr>
        <w:trPr>
          <w:trHeight w:val="20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(2,929 )</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(7,981 )</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(49,472 )</w:t>
            </w:r>
          </w:p>
        </w:tc>
        <w:tc>
          <w:tcPr>
            <w:tcW w:w="5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(34,047 )</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(15,166 )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(51,785 )</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67,784</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38,673</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(1,564 )</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(827 )</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51,054</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(13,939 )</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follow-on offering, net of issuance costs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47,407</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capital lease obligations</w:t>
            </w:r>
          </w:p>
        </w:tc>
        <w:tc>
          <w:tcPr>
            <w:tcW w:w="10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3,159</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3,159</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47,713</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4,741</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(273 )</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36,504</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58,144</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000" w:type="dxa"/>
            <w:vAlign w:val="bottom"/>
            <w:tcBorders>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41,245</w:t>
            </w: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57,871</w:t>
            </w: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100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1,400</w:t>
            </w:r>
          </w:p>
        </w:tc>
        <w:tc>
          <w:tcPr>
            <w:tcW w:w="5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100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151</w:t>
            </w:r>
          </w:p>
        </w:tc>
        <w:tc>
          <w:tcPr>
            <w:tcW w:w="5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-2382520</wp:posOffset>
            </wp:positionV>
            <wp:extent cx="1117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-1079500</wp:posOffset>
            </wp:positionV>
            <wp:extent cx="1117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-539115</wp:posOffset>
            </wp:positionV>
            <wp:extent cx="1117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-522605</wp:posOffset>
            </wp:positionV>
            <wp:extent cx="1117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720" w:type="dxa"/>
            <w:vAlign w:val="bottom"/>
          </w:tcPr>
          <w:p>
            <w:pPr>
              <w:spacing w:after="0"/>
              <w:rPr>
                <w:sz w:val="16"/>
                <w:szCs w:val="16"/>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40,153</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56,779</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1,092</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1,092</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80" w:type="dxa"/>
            <w:vAlign w:val="bottom"/>
            <w:tcBorders>
              <w:bottom w:val="single" w:sz="8" w:color="auto"/>
            </w:tcBorders>
            <w:shd w:val="clear" w:color="auto" w:fill="CFF0FC"/>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41,245</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57,871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16" w:lineRule="exact"/>
        <w:rPr>
          <w:sz w:val="20"/>
          <w:szCs w:val="20"/>
          <w:color w:val="auto"/>
        </w:rPr>
      </w:pPr>
    </w:p>
    <w:p>
      <w:pPr>
        <w:ind w:right="640" w:firstLine="509"/>
        <w:spacing w:after="0" w:line="250"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improving the lives of patients with genetically-defined rare diseases in areas of high unmet medical need.</w:t>
      </w:r>
    </w:p>
    <w:p>
      <w:pPr>
        <w:spacing w:after="0" w:line="163" w:lineRule="exact"/>
        <w:rPr>
          <w:sz w:val="20"/>
          <w:szCs w:val="20"/>
          <w:color w:val="auto"/>
        </w:rPr>
      </w:pPr>
    </w:p>
    <w:p>
      <w:pPr>
        <w:ind w:firstLine="509"/>
        <w:spacing w:after="0" w:line="22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60" w:firstLine="509"/>
        <w:spacing w:after="0" w:line="236"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w:t>
      </w:r>
    </w:p>
    <w:p>
      <w:pPr>
        <w:spacing w:after="0"/>
        <w:rPr>
          <w:sz w:val="20"/>
          <w:szCs w:val="20"/>
          <w:color w:val="auto"/>
        </w:rPr>
      </w:pPr>
      <w:r>
        <w:rPr>
          <w:rFonts w:ascii="Times New Roman" w:cs="Times New Roman" w:eastAsia="Times New Roman" w:hAnsi="Times New Roman"/>
          <w:sz w:val="18"/>
          <w:szCs w:val="18"/>
          <w:color w:val="auto"/>
        </w:rPr>
        <w:t>Standards Codification (“ASC”) and Accounting Standards Updates (“ASU”) of the Financial Accounting Standards Board (“FASB”).</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accompanying consolidated financial statements and footnotes to the financial statements have been prepared on the same basis as the most</w:t>
      </w:r>
    </w:p>
    <w:p>
      <w:pPr>
        <w:spacing w:after="0" w:line="2"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recently audited annual consolidated financial statements and, in the opinion of management, reflect all normal recurring adjustments necessary for the fair presentation of the Company’s financial position as of June 30, 2022 and the results of its operations and its cash flows for the three and six months ended</w:t>
      </w:r>
    </w:p>
    <w:p>
      <w:pPr>
        <w:spacing w:after="0" w:line="1"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June 30, 2022 and 2021. The results for the three and six months ended June 30, 2022 are not necessarily indicative of results to be expected for the year ending December 31, 2022, any other interim periods, or any future year or period. These consolidated financial statements should be read in conjunction with the Company’s audited consolidated financial statements and the notes thereto for the year ended December 31, 2021 included in the Company’s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filed with the Securities and Exchange Commission (the “SEC”) on March 3, 2022 (the “Annual Report on Form 10-K”).</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1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January 22, 2021, the Company completed a public offering of its common stock and issued and sold 4,600,000 shares of common stock at a public offering price of $11.00 per share, resulting in net proceeds of $47.4 million after deducting underwriting discounts and commissions and offering expenses.</w:t>
      </w:r>
    </w:p>
    <w:p>
      <w:pPr>
        <w:spacing w:after="0" w:line="16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On August 16, 2021, the Company completed a public offering of its common stock and issued and sold 7,590,000 shares of common stock at a public offering price of $19.00 per share, resulting in net proceeds of $135.5 million after deducting underwriting discounts and commissions and offering expenses.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02" w:lineRule="exact"/>
        <w:rPr>
          <w:sz w:val="20"/>
          <w:szCs w:val="20"/>
          <w:color w:val="auto"/>
        </w:rPr>
      </w:pPr>
    </w:p>
    <w:p>
      <w:pPr>
        <w:ind w:firstLine="509"/>
        <w:spacing w:after="0" w:line="227"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common stock in public offerings, a private placement, and an "at-the-market" offering program, through issuances of convertible preferred stock, and from upfront payments received from the collaboration and license agreements with Acceleron Pharma Inc. (“Acceleron”), a wholly-owned subsidiary of Merck &amp; Co., Inc. (“Merck”), and MyoKardia, Inc. (“MyoKardia”), a wholly owned subsidiary of Bristol Myers Squibb Company. As of June 30, 2022, the Company had an accumulated deficit of $362.5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5" w:lineRule="exact"/>
        <w:rPr>
          <w:sz w:val="20"/>
          <w:szCs w:val="20"/>
          <w:color w:val="auto"/>
        </w:rPr>
      </w:pPr>
    </w:p>
    <w:p>
      <w:pPr>
        <w:ind w:right="60" w:firstLine="509"/>
        <w:spacing w:after="0" w:line="238"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1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1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2021 included in the Company’s Annual Report on Form 10-K. There have been no material changes in the Company’s significant accounting policies during the six months ended June 30, 2022, except as noted below with respect to the Company’s accounting policies related to leases.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12"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 xml:space="preserve">Effective January 1, 2022, the Company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For contracts entered into on or after the effective date,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w:t>
      </w:r>
    </w:p>
    <w:p>
      <w:pPr>
        <w:spacing w:after="0" w:line="16" w:lineRule="exact"/>
        <w:rPr>
          <w:sz w:val="20"/>
          <w:szCs w:val="20"/>
          <w:color w:val="auto"/>
        </w:rPr>
      </w:pPr>
    </w:p>
    <w:p>
      <w:pPr>
        <w:ind w:right="20" w:firstLine="8"/>
        <w:spacing w:after="0" w:line="246"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w:t>
      </w:r>
    </w:p>
    <w:p>
      <w:pPr>
        <w:spacing w:after="0" w:line="181"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0" w:right="379" w:bottom="1440" w:gutter="0" w:footer="0" w:header="0"/>
        </w:sectPr>
      </w:pPr>
    </w:p>
    <w:bookmarkStart w:id="11" w:name="page12"/>
    <w:bookmarkEnd w:id="11"/>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16"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primarily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Pronouncements—To Be Adopted</w:t>
      </w:r>
    </w:p>
    <w:p>
      <w:pPr>
        <w:spacing w:after="0" w:line="22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standard requires that credit losses be reported using an expected losses model rather than the incurred losses model that is currently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7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Taxes-Simplifying the Accounting for Income Taxes</w:t>
      </w:r>
      <w:r>
        <w:rPr>
          <w:rFonts w:ascii="Times New Roman" w:cs="Times New Roman" w:eastAsia="Times New Roman" w:hAnsi="Times New Roman"/>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Pronouncements—Adopted</w:t>
      </w:r>
    </w:p>
    <w:p>
      <w:pPr>
        <w:spacing w:after="0" w:line="216"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 xml:space="preserve">In February 2016, the FASB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permits entities to continue applying legacy guidance in ASC 840,</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including its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 the comparative periods presented in the year that the entity adopts the new leasing standard. Under this transition method, the cumulative effect of initially applying ASU 2016-02, as amended, is recognized as an adjustment to the opening balance of retained earnings or accumulated deficit at the beginning of the annual reporting period that includes the date of initial application.</w:t>
      </w:r>
    </w:p>
    <w:p>
      <w:pPr>
        <w:spacing w:after="0" w:line="185"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Accordingly, the Company adopted the new standard effective January 1, 2022 using the transition method permitted by ASU 2016-02, as amended. In adopting the new standard, the Company elected to utilize certain available expedients by electing the transition package of practical expedients permitted within ASU 2016-02, which allow the Company to not reassess previous accounting conclusions around whether arrangements are, or contain, leases, the classification of existing or expired leases, and the treatment of previous initial direct costs that would qualify for capitalization under the new standard. The Company elected to apply the practical expedient to not separate lease and non-lease components for new and modified leases. The Company also made an accounting policy election to exclude leases with an initial term of twelve months or less from the balance sheet.</w:t>
      </w:r>
    </w:p>
    <w:p>
      <w:pPr>
        <w:spacing w:after="0" w:line="180"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Upon the adoption of ASU 2016-02, as amended, the Company removed its legacy deferred rent balances that were previously recorded under ASC 840 and established an operating lease right-of-use asset of $10.8 million, an operating lease liability, current of $2.2 million and an operating lease liability, net of current portion of $13.4 million, all relating to the Company’s existing operating leases for office and laboratory space. The following table presents a summary of the amount by which each financial statement line item was affected by the adoption of ASU 2016-02, as amended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Prior to the</w:t>
            </w:r>
          </w:p>
        </w:tc>
        <w:tc>
          <w:tcPr>
            <w:tcW w:w="120" w:type="dxa"/>
            <w:vAlign w:val="bottom"/>
          </w:tcPr>
          <w:p>
            <w:pPr>
              <w:spacing w:after="0"/>
              <w:rPr>
                <w:sz w:val="11"/>
                <w:szCs w:val="11"/>
                <w:color w:val="auto"/>
              </w:rPr>
            </w:pPr>
          </w:p>
        </w:tc>
        <w:tc>
          <w:tcPr>
            <w:tcW w:w="15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Effect of Adoption</w:t>
            </w:r>
          </w:p>
        </w:tc>
        <w:tc>
          <w:tcPr>
            <w:tcW w:w="1600" w:type="dxa"/>
            <w:vAlign w:val="bottom"/>
          </w:tcPr>
          <w:p>
            <w:pPr>
              <w:jc w:val="center"/>
              <w:ind w:left="15"/>
              <w:spacing w:after="0" w:line="131" w:lineRule="exact"/>
              <w:rPr>
                <w:sz w:val="20"/>
                <w:szCs w:val="20"/>
                <w:color w:val="auto"/>
              </w:rPr>
            </w:pPr>
            <w:r>
              <w:rPr>
                <w:rFonts w:ascii="Times New Roman" w:cs="Times New Roman" w:eastAsia="Times New Roman" w:hAnsi="Times New Roman"/>
                <w:sz w:val="14"/>
                <w:szCs w:val="14"/>
                <w:b w:val="1"/>
                <w:bCs w:val="1"/>
                <w:color w:val="auto"/>
              </w:rPr>
              <w:t>Subsequent to the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ASU</w:t>
            </w:r>
          </w:p>
        </w:tc>
        <w:tc>
          <w:tcPr>
            <w:tcW w:w="1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ASU</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2016, as Amended</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2016-20, as Amended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gridSpan w:val="6"/>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incentive, current portion</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excluding current portion</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(1,680 )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lease incentive, excluding current portion</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(2,582 )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4640" w:type="dxa"/>
            <w:vAlign w:val="bottom"/>
          </w:tcPr>
          <w:p>
            <w:pPr>
              <w:spacing w:after="0"/>
              <w:rPr>
                <w:sz w:val="24"/>
                <w:szCs w:val="24"/>
                <w:color w:val="auto"/>
              </w:rPr>
            </w:pPr>
          </w:p>
        </w:tc>
        <w:tc>
          <w:tcPr>
            <w:tcW w:w="18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4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3" w:name="page14"/>
    <w:bookmarkEnd w:id="13"/>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adoption of ASU 2016-02, as amended, did not have a material impact on the consolidated statements of operations and comprehensive loss or the consolidated statement of cash flows for the three and six months ended June 30, 2022. See Note 13, “Commitments and Contingencies”, for further information on the application of ASU 2016-02, as amended, to the Company’s operating lease for its existing operating leases for office and laboratory space.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1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June 30, 2022 and December 31, 2021 (in thousands):</w:t>
      </w:r>
    </w:p>
    <w:p>
      <w:pPr>
        <w:spacing w:after="0" w:line="169"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spacing w:after="0" w:line="6"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40,153</w:t>
            </w:r>
          </w:p>
        </w:tc>
        <w:tc>
          <w:tcPr>
            <w:tcW w:w="3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40,153</w:t>
            </w: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79,297</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79,297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47,528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47,528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1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168,973</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40,153</w:t>
            </w: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128,820</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320"/>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6"/>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218,162</w:t>
            </w: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182,750</w:t>
            </w:r>
          </w:p>
        </w:tc>
        <w:tc>
          <w:tcPr>
            <w:tcW w:w="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-1345565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-1327785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-1345565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-1327785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-1345565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-1327785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and six months ended June 30,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June 30, 2022 and December 31, 2021 (in thousands):</w:t>
      </w:r>
    </w:p>
    <w:p>
      <w:pPr>
        <w:spacing w:after="0" w:line="219"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spacing w:after="0" w:line="6"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left="16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254"/>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040" w:type="dxa"/>
            <w:vAlign w:val="bottom"/>
          </w:tcPr>
          <w:p>
            <w:pPr>
              <w:jc w:val="center"/>
              <w:ind w:left="164"/>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75"/>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40,153</w:t>
            </w:r>
          </w:p>
        </w:tc>
        <w:tc>
          <w:tcPr>
            <w:tcW w:w="118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40,153</w:t>
            </w: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9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40,153</w:t>
            </w:r>
          </w:p>
        </w:tc>
        <w:tc>
          <w:tcPr>
            <w:tcW w:w="14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40,153</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1,998</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80,192</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79,297</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9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47,698</w:t>
            </w: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47,528</w:t>
            </w:r>
          </w:p>
        </w:tc>
        <w:tc>
          <w:tcPr>
            <w:tcW w:w="0" w:type="dxa"/>
            <w:vAlign w:val="bottom"/>
          </w:tcPr>
          <w:p>
            <w:pPr>
              <w:spacing w:after="0"/>
              <w:rPr>
                <w:sz w:val="1"/>
                <w:szCs w:val="1"/>
                <w:color w:val="auto"/>
              </w:rPr>
            </w:pPr>
          </w:p>
        </w:tc>
      </w:tr>
      <w:tr>
        <w:trPr>
          <w:trHeight w:val="210"/>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129,888</w:t>
            </w:r>
          </w:p>
        </w:tc>
        <w:tc>
          <w:tcPr>
            <w:tcW w:w="1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128,820</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9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170,041</w:t>
            </w:r>
          </w:p>
        </w:tc>
        <w:tc>
          <w:tcPr>
            <w:tcW w:w="1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168,973</w:t>
            </w:r>
          </w:p>
        </w:tc>
        <w:tc>
          <w:tcPr>
            <w:tcW w:w="0" w:type="dxa"/>
            <w:vAlign w:val="bottom"/>
          </w:tcPr>
          <w:p>
            <w:pPr>
              <w:spacing w:after="0"/>
              <w:rPr>
                <w:sz w:val="1"/>
                <w:szCs w:val="1"/>
                <w:color w:val="auto"/>
              </w:rPr>
            </w:pPr>
          </w:p>
        </w:tc>
      </w:tr>
      <w:tr>
        <w:trPr>
          <w:trHeight w:val="615"/>
        </w:trPr>
        <w:tc>
          <w:tcPr>
            <w:tcW w:w="47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-796290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-796290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-796290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-505460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-488315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-505460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-488315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-505460</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-488315</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3"/>
        </w:trPr>
        <w:tc>
          <w:tcPr>
            <w:tcW w:w="5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44"/>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left="168"/>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left="288"/>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7"/>
        </w:trPr>
        <w:tc>
          <w:tcPr>
            <w:tcW w:w="5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35,412</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35,412</w:t>
            </w:r>
          </w:p>
        </w:tc>
      </w:tr>
      <w:tr>
        <w:trPr>
          <w:trHeight w:val="210"/>
        </w:trPr>
        <w:tc>
          <w:tcPr>
            <w:tcW w:w="5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35,412</w:t>
            </w:r>
          </w:p>
        </w:tc>
        <w:tc>
          <w:tcPr>
            <w:tcW w:w="1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35,412</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101,697</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(329 )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101,368</w:t>
            </w: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81,450</w:t>
            </w:r>
          </w:p>
        </w:tc>
        <w:tc>
          <w:tcPr>
            <w:tcW w:w="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81,382</w:t>
            </w:r>
          </w:p>
        </w:tc>
      </w:tr>
      <w:tr>
        <w:trPr>
          <w:trHeight w:val="209"/>
        </w:trPr>
        <w:tc>
          <w:tcPr>
            <w:tcW w:w="5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183,147</w:t>
            </w: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(397 )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182,750</w:t>
            </w:r>
          </w:p>
        </w:tc>
      </w:tr>
      <w:tr>
        <w:trPr>
          <w:trHeight w:val="210"/>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218,559</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(397 )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218,162</w:t>
            </w:r>
          </w:p>
        </w:tc>
      </w:tr>
      <w:tr>
        <w:trPr>
          <w:trHeight w:val="20"/>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0" w:lineRule="exact"/>
        <w:rPr>
          <w:sz w:val="20"/>
          <w:szCs w:val="20"/>
          <w:color w:val="auto"/>
        </w:rPr>
      </w:pPr>
    </w:p>
    <w:p>
      <w:pPr>
        <w:jc w:val="both"/>
        <w:ind w:right="120" w:firstLine="509"/>
        <w:spacing w:after="0" w:line="236"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and six months ended June 30, 2022. As of June 30, 2022, the aggregate fair value of securities that were in an unrealized loss position for less than twelve months was $128.9 million. As of June 30, 2022, no securities were in an unrealized loss position for greater than twelve months.</w:t>
      </w:r>
    </w:p>
    <w:p>
      <w:pPr>
        <w:spacing w:after="0" w:line="172" w:lineRule="exact"/>
        <w:rPr>
          <w:sz w:val="20"/>
          <w:szCs w:val="20"/>
          <w:color w:val="auto"/>
        </w:rPr>
      </w:pPr>
    </w:p>
    <w:p>
      <w:pPr>
        <w:ind w:right="60" w:firstLine="509"/>
        <w:spacing w:after="0" w:line="236" w:lineRule="auto"/>
        <w:rPr>
          <w:sz w:val="20"/>
          <w:szCs w:val="20"/>
          <w:color w:val="auto"/>
        </w:rPr>
      </w:pPr>
      <w:r>
        <w:rPr>
          <w:rFonts w:ascii="Times New Roman" w:cs="Times New Roman" w:eastAsia="Times New Roman" w:hAnsi="Times New Roman"/>
          <w:sz w:val="18"/>
          <w:szCs w:val="18"/>
          <w:color w:val="auto"/>
        </w:rPr>
        <w:t>The Company determined that it did not hold any securities with any other-than-temporary impairment as of June 30, 2022. As of June 30, 2022, there were no securities with a remaining contractual maturity of greater than one year. As of June 30, 2022, the Company did not intend to sell, and would not be more likely than not be required to sell, the securities in an unrealized loss position before recovery of their amortized cost bases.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8,811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2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7,080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17,294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2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(8,269 )</w:t>
            </w:r>
          </w:p>
        </w:tc>
        <w:tc>
          <w:tcPr>
            <w:tcW w:w="20" w:type="dxa"/>
            <w:vAlign w:val="bottom"/>
          </w:tcPr>
          <w:p>
            <w:pPr>
              <w:spacing w:after="0"/>
              <w:rPr>
                <w:sz w:val="18"/>
                <w:szCs w:val="18"/>
                <w:color w:val="auto"/>
              </w:rPr>
            </w:pPr>
          </w:p>
        </w:tc>
      </w:tr>
      <w:tr>
        <w:trPr>
          <w:trHeight w:val="249"/>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7,834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-25400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4" w:lineRule="exact"/>
        <w:rPr>
          <w:sz w:val="20"/>
          <w:szCs w:val="20"/>
          <w:color w:val="auto"/>
        </w:rPr>
      </w:pPr>
    </w:p>
    <w:p>
      <w:pPr>
        <w:ind w:right="80" w:firstLine="509"/>
        <w:spacing w:after="0" w:line="297"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2022 and 2021 was $0.7 million. Depreciation expense for the six months ended June 30, 2022 and 2021 was $1.2 million and $1.3 million, respectively.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8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5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-642620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1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5,000,000 shares of undesignated preferred stock were authorized. No shares of preferred stock were issued or outstanding as of June 30, 2022 and December 31, 2021.</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and December 31, 2021, 200,000,000 shares of common stock, $0.001 par value per share, were authorized.</w:t>
      </w:r>
    </w:p>
    <w:p>
      <w:pPr>
        <w:spacing w:after="0" w:line="198"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June 30, 2022 and December 31, 2021, the Company has reserved for future issuance the following number of shares of common stock: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gridSpan w:val="2"/>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22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6,137,740</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5,188,354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115,189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2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Shares reserved for future issuance under the 2019 Stock Incentive</w:t>
            </w: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w:t>
            </w: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1,249,233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286,324</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1,091,085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706,658</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2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22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1,381,360</w:t>
            </w:r>
          </w:p>
        </w:tc>
        <w:tc>
          <w:tcPr>
            <w:tcW w:w="12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9,974,607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6,181,336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2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5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-659130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1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2022, no shares remained available for future issuance under the 2016 Plan. Any options or other awards outstanding under the 2016 Plan remain outstanding and effective.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2022, the number of shares reserved for issuance under the 2019 Plan was increased by 1,625,455 shares. As of June 30, 2022, there were 1,249,233 shares available for future issuance under the 2019 Plan.</w:t>
      </w:r>
    </w:p>
    <w:p>
      <w:pPr>
        <w:spacing w:after="0" w:line="186"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10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As of June 30, 2022, there were 1,381,360 shares available for future grant under the Inducement Plan.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 may repurchase unvested restricted stock awards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7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restricted stock awards typically vest over a four-year period. The shares of common stock are recorded in stockholders’ equity as they vest.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activity during the six months ended June 30,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tcPr>
          <w:p>
            <w:pPr>
              <w:spacing w:after="0"/>
              <w:rPr>
                <w:sz w:val="13"/>
                <w:szCs w:val="13"/>
                <w:color w:val="auto"/>
              </w:rPr>
            </w:pPr>
          </w:p>
        </w:tc>
      </w:tr>
      <w:tr>
        <w:trPr>
          <w:trHeight w:val="162"/>
        </w:trPr>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1680" w:type="dxa"/>
            <w:vAlign w:val="bottom"/>
          </w:tcPr>
          <w:p>
            <w:pPr>
              <w:spacing w:after="0"/>
              <w:rPr>
                <w:sz w:val="14"/>
                <w:szCs w:val="14"/>
                <w:color w:val="auto"/>
              </w:rPr>
            </w:pPr>
          </w:p>
        </w:tc>
      </w:tr>
      <w:tr>
        <w:trPr>
          <w:trHeight w:val="148"/>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680" w:type="dxa"/>
            <w:vAlign w:val="bottom"/>
          </w:tcPr>
          <w:p>
            <w:pPr>
              <w:spacing w:after="0"/>
              <w:rPr>
                <w:sz w:val="12"/>
                <w:szCs w:val="12"/>
                <w:color w:val="auto"/>
              </w:rPr>
            </w:pPr>
          </w:p>
        </w:tc>
      </w:tr>
      <w:tr>
        <w:trPr>
          <w:trHeight w:val="187"/>
        </w:trPr>
        <w:tc>
          <w:tcPr>
            <w:tcW w:w="1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80" w:type="dxa"/>
            <w:vAlign w:val="bottom"/>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2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(10,174 )</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2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June 30, 2022</w:t>
            </w:r>
          </w:p>
        </w:tc>
        <w:tc>
          <w:tcPr>
            <w:tcW w:w="22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629"/>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-513715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-496570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16"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six months ended June 30, 2022:</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0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1220" w:type="dxa"/>
            <w:vAlign w:val="bottom"/>
          </w:tcPr>
          <w:p>
            <w:pPr>
              <w:jc w:val="right"/>
              <w:ind w:right="255"/>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1060" w:type="dxa"/>
            <w:vAlign w:val="bottom"/>
          </w:tcPr>
          <w:p>
            <w:pPr>
              <w:jc w:val="center"/>
              <w:ind w:right="5"/>
              <w:spacing w:after="0" w:line="160"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239"/>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5,188,354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27,082,052</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2,253,030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(349,871 )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(953,773 )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6,137,740</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13.42</w:t>
            </w:r>
          </w:p>
        </w:tc>
        <w:tc>
          <w:tcPr>
            <w:tcW w:w="1160" w:type="dxa"/>
            <w:vAlign w:val="bottom"/>
            <w:tcBorders>
              <w:bottom w:val="single" w:sz="8" w:color="CFF0FC"/>
            </w:tcBorders>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8.09</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197"/>
        </w:trPr>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2022</w:t>
            </w:r>
          </w:p>
        </w:tc>
        <w:tc>
          <w:tcPr>
            <w:tcW w:w="122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1,786,579</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11.92</w:t>
            </w:r>
          </w:p>
        </w:tc>
        <w:tc>
          <w:tcPr>
            <w:tcW w:w="1160" w:type="dxa"/>
            <w:vAlign w:val="bottom"/>
            <w:gridSpan w:val="2"/>
          </w:tcPr>
          <w:p>
            <w:pPr>
              <w:jc w:val="right"/>
              <w:ind w:right="25"/>
              <w:spacing w:after="0" w:line="196" w:lineRule="exact"/>
              <w:rPr>
                <w:sz w:val="20"/>
                <w:szCs w:val="20"/>
                <w:color w:val="auto"/>
              </w:rPr>
            </w:pPr>
            <w:r>
              <w:rPr>
                <w:rFonts w:ascii="Times New Roman" w:cs="Times New Roman" w:eastAsia="Times New Roman" w:hAnsi="Times New Roman"/>
                <w:sz w:val="18"/>
                <w:szCs w:val="18"/>
                <w:color w:val="auto"/>
              </w:rPr>
              <w:t>6.72</w:t>
            </w:r>
          </w:p>
        </w:tc>
        <w:tc>
          <w:tcPr>
            <w:tcW w:w="3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3,967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-187960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-170815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4" w:lineRule="exact"/>
        <w:rPr>
          <w:sz w:val="20"/>
          <w:szCs w:val="20"/>
          <w:color w:val="auto"/>
        </w:rPr>
      </w:pPr>
    </w:p>
    <w:p>
      <w:pPr>
        <w:jc w:val="both"/>
        <w:ind w:right="40" w:firstLine="509"/>
        <w:spacing w:after="0" w:line="296"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52"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and six months ended June 30, 2022 was $8.44 per share and $9.43 per share, respectively. The weighted average grant date fair value of stock options granted in the three and six months ended June 30, 2021 was $7.71 per share and $8.60 per share, respectively. The total intrinsic value of stock options exercised during the three and six months ended June 30, 2022 was $2.2 million and $2.6 million, respectively. The total intrinsic value of stock options exercised during the three and six months ended June 30, 2021 was less than $0.1 million and $0.1 million, respectively. The fair value of stock options granted during the three and six months ended June 30, 2022 and 2021 has been calculated on the date of grant using the following weighted average assumptions: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9"/>
        </w:trPr>
        <w:tc>
          <w:tcPr>
            <w:tcW w:w="50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4"/>
        </w:trPr>
        <w:tc>
          <w:tcPr>
            <w:tcW w:w="5040" w:type="dxa"/>
            <w:vAlign w:val="bottom"/>
          </w:tcPr>
          <w:p>
            <w:pPr>
              <w:spacing w:after="0"/>
              <w:rPr>
                <w:sz w:val="16"/>
                <w:szCs w:val="16"/>
                <w:color w:val="auto"/>
              </w:rPr>
            </w:pPr>
          </w:p>
        </w:tc>
        <w:tc>
          <w:tcPr>
            <w:tcW w:w="12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0" w:type="dxa"/>
            <w:vAlign w:val="bottom"/>
          </w:tcPr>
          <w:p>
            <w:pPr>
              <w:spacing w:after="0"/>
              <w:rPr>
                <w:sz w:val="16"/>
                <w:szCs w:val="16"/>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86.9 %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-559435</wp:posOffset>
            </wp:positionV>
            <wp:extent cx="641223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six months ended June 30,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r>
      <w:tr>
        <w:trPr>
          <w:trHeight w:val="148"/>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560" w:type="dxa"/>
            <w:vAlign w:val="bottom"/>
          </w:tcPr>
          <w:p>
            <w:pPr>
              <w:spacing w:after="0"/>
              <w:rPr>
                <w:sz w:val="12"/>
                <w:szCs w:val="12"/>
                <w:color w:val="auto"/>
              </w:rPr>
            </w:pPr>
          </w:p>
        </w:tc>
      </w:tr>
      <w:tr>
        <w:trPr>
          <w:trHeight w:val="160"/>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500" w:type="dxa"/>
            <w:vAlign w:val="bottom"/>
          </w:tcPr>
          <w:p>
            <w:pPr>
              <w:jc w:val="right"/>
              <w:ind w:right="377"/>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ind w:right="218"/>
              <w:spacing w:after="0" w:line="160"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560" w:type="dxa"/>
            <w:vAlign w:val="bottom"/>
          </w:tcPr>
          <w:p>
            <w:pPr>
              <w:spacing w:after="0"/>
              <w:rPr>
                <w:sz w:val="13"/>
                <w:szCs w:val="13"/>
                <w:color w:val="auto"/>
              </w:rPr>
            </w:pPr>
          </w:p>
        </w:tc>
      </w:tr>
      <w:tr>
        <w:trPr>
          <w:trHeight w:val="189"/>
        </w:trPr>
        <w:tc>
          <w:tcPr>
            <w:tcW w:w="5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5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3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74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126,803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10.09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11.72</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June 30, 2022</w:t>
            </w:r>
          </w:p>
        </w:tc>
        <w:tc>
          <w:tcPr>
            <w:tcW w:w="324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115,189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9.93</w:t>
            </w:r>
          </w:p>
        </w:tc>
        <w:tc>
          <w:tcPr>
            <w:tcW w:w="560" w:type="dxa"/>
            <w:vAlign w:val="bottom"/>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-504825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-487680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 w:name="page19"/>
    <w:bookmarkEnd w:id="18"/>
    <w:p>
      <w:pPr>
        <w:ind w:firstLine="509"/>
        <w:spacing w:after="0" w:line="250" w:lineRule="auto"/>
        <w:rPr>
          <w:sz w:val="20"/>
          <w:szCs w:val="20"/>
          <w:color w:val="auto"/>
        </w:rPr>
      </w:pPr>
      <w:r>
        <w:rPr>
          <w:rFonts w:ascii="Times New Roman" w:cs="Times New Roman" w:eastAsia="Times New Roman" w:hAnsi="Times New Roman"/>
          <w:sz w:val="18"/>
          <w:szCs w:val="18"/>
          <w:color w:val="auto"/>
        </w:rPr>
        <w:t>The aggregate intrinsic value of all restricted stock units and restricted stock awards that vested during the three and six months ended June 30, 2022 was less than $0.1 million and $0.2 million, respectively. The aggregate intrinsic value of all restricted stock units and restricted stock awards that vested during the three and six months ended June 30, 2021 was $0.4 million and $0.9 million, respectively</w:t>
      </w:r>
      <w:r>
        <w:rPr>
          <w:rFonts w:ascii="Times New Roman" w:cs="Times New Roman" w:eastAsia="Times New Roman" w:hAnsi="Times New Roman"/>
          <w:sz w:val="18"/>
          <w:szCs w:val="18"/>
          <w:b w:val="1"/>
          <w:bCs w:val="1"/>
          <w:color w:val="auto"/>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16"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4,541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2,846</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1,773</w:t>
            </w:r>
          </w:p>
        </w:tc>
      </w:tr>
      <w:tr>
        <w:trPr>
          <w:trHeight w:val="249"/>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6,726</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-25400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an aggregate of $40.8 million of unrecognized stock-based compensation expense, which is expected to be recognized over a weighted average period of 2.88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02" w:lineRule="exact"/>
        <w:rPr>
          <w:sz w:val="20"/>
          <w:szCs w:val="20"/>
          <w:color w:val="auto"/>
        </w:rPr>
      </w:pPr>
    </w:p>
    <w:p>
      <w:pPr>
        <w:ind w:right="120" w:firstLine="509"/>
        <w:spacing w:after="0" w:line="233"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2022, the number of shares reserved for issuance under the 2019 ESPP was increased by 406,363 shares. As of June 30, 2022, there were 1,091,085 shares available for future issuance under the ESPP.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Acceleron Collaboration Agreement</w:t>
      </w:r>
    </w:p>
    <w:p>
      <w:pPr>
        <w:spacing w:after="0" w:line="202"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June 3, 2022, Acceleron notified the Company of its termination of the Acceleron Collaboration Agreement for convenience, effective 120 days after the Company's receipt of the notice, or October 1, 2022.</w:t>
      </w:r>
    </w:p>
    <w:p>
      <w:pPr>
        <w:spacing w:after="0" w:line="149"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Pursuant to a mutually agreed research plan, the Company was responsible for performing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delivered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had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Acceleron did not designate any Targets prior to the notice of termination from Acceleron.</w:t>
      </w:r>
    </w:p>
    <w:p>
      <w:pPr>
        <w:spacing w:after="0" w:line="188" w:lineRule="exact"/>
        <w:rPr>
          <w:sz w:val="20"/>
          <w:szCs w:val="20"/>
          <w:color w:val="auto"/>
        </w:rPr>
      </w:pPr>
    </w:p>
    <w:p>
      <w:pPr>
        <w:ind w:right="240" w:firstLine="509"/>
        <w:spacing w:after="0" w:line="236"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in December 2019 upon the execution of the Acceleron Collaboration Agreement. The Company was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9" w:name="page20"/>
    <w:bookmarkEnd w:id="19"/>
    <w:p>
      <w:pPr>
        <w:ind w:right="80"/>
        <w:spacing w:after="0" w:line="235" w:lineRule="auto"/>
        <w:rPr>
          <w:sz w:val="20"/>
          <w:szCs w:val="20"/>
          <w:color w:val="auto"/>
        </w:rPr>
      </w:pPr>
      <w:r>
        <w:rPr>
          <w:rFonts w:ascii="Times New Roman" w:cs="Times New Roman" w:eastAsia="Times New Roman" w:hAnsi="Times New Roman"/>
          <w:sz w:val="18"/>
          <w:szCs w:val="18"/>
          <w:color w:val="auto"/>
        </w:rPr>
        <w:t>the aggregate upon the achievement of certain aggregate annual worldwide net sales milestones for certain products directed to a Target that have achieved such milestones. Prior to the notice of termination from Acceleron, the Company achieved $2.0 million of specified research milestones. In addition, the Company was entitled to tiered royalties ranging from a mid single-digit percentage to a low double-digit percentage on Acceleron’s annual worldwide net sales of products directed to any Target, subject to reduction in specified circumstances. The Company was also entitled to receive reimbursement from Acceleron for research costs incurred under the research plan, including internal and external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assessed the Acceleron Collaboration Agreement and concluded that it represents a contract with a customer within the scope of ASC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14"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7"/>
          <w:szCs w:val="17"/>
          <w:color w:val="auto"/>
        </w:rPr>
        <w:t>The Company determined that the Acceleron Collaboration Agreement contained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6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License is not capable of being distinct from the Research Services given that the License has limited value without the performance of the Research Services and the Research Services could only be performed by the Company due to their specialized nature. Therefore, the Company concluded that the License and the Research Services represented a single combined performance obligation.</w:t>
      </w:r>
    </w:p>
    <w:p>
      <w:pPr>
        <w:spacing w:after="0" w:line="17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assessed the participation on the JSC and concluded that the promise was quantitatively and qualitatively immaterial in the context of the Acceleron Collaboration Agreement. Accordingly, the Company disregarded its participation on the JSC as a performance obligation.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1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the Company included in the transaction price. The Company has constrained the variable consideration associated with the unachieved milestone payments as of the date that the Company received notice of termination from Acceleron and has excluded the unachieved milestone payments from the transaction price.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included in the transaction price the amount of costs to be reimbursed for the Research Services.</w:t>
      </w:r>
    </w:p>
    <w:p>
      <w:pPr>
        <w:spacing w:after="0" w:line="21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Prior to the receipt of notice of termination from Acceleron, the Company reassessed the transaction price at the end of each reporting period and as uncertain events were resolved or other changes in circumstances occurred, and, if necessary, adjusted its estimate of the transaction price. There was no change in the amount of variable consideration constrained during the three and six months ended June 30, 2022.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200"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As noted above, the Company identified a single performance obligation associated with the Acceleron Collaboration Agreement. Therefore, the Company allocated the entire amount of the transaction price to the identified single performance obligation.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8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recognized revenue related to the Acceleron Collaboration Agreement over time as the Research Services are rendered. The Company concluded that an input method was a representative depiction of the transfer of services under the Acceleron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0" w:name="page21"/>
    <w:bookmarkEnd w:id="20"/>
    <w:p>
      <w:pPr>
        <w:ind w:right="20"/>
        <w:spacing w:after="0"/>
        <w:rPr>
          <w:sz w:val="20"/>
          <w:szCs w:val="20"/>
          <w:color w:val="auto"/>
        </w:rPr>
      </w:pPr>
      <w:r>
        <w:rPr>
          <w:rFonts w:ascii="Times New Roman" w:cs="Times New Roman" w:eastAsia="Times New Roman" w:hAnsi="Times New Roman"/>
          <w:sz w:val="17"/>
          <w:szCs w:val="17"/>
          <w:color w:val="auto"/>
        </w:rPr>
        <w:t>Collaboration Agreement. Prior to the receipt of notice of termination from Acceleron, the method of measuring progress towards the delivery of the services incorporated actual cumulative internal and external costs incurred relative to total internal and external costs expected to be incurred to satisfy the performance obligation. The period over which total costs was estimated reflected the Company’s estimate of the period over which it would perform the</w:t>
      </w:r>
    </w:p>
    <w:p>
      <w:pPr>
        <w:spacing w:after="0" w:line="1" w:lineRule="exact"/>
        <w:rPr>
          <w:sz w:val="20"/>
          <w:szCs w:val="20"/>
          <w:color w:val="auto"/>
        </w:rPr>
      </w:pPr>
    </w:p>
    <w:p>
      <w:pPr>
        <w:ind w:right="800"/>
        <w:spacing w:after="0" w:line="226" w:lineRule="auto"/>
        <w:rPr>
          <w:sz w:val="20"/>
          <w:szCs w:val="20"/>
          <w:color w:val="auto"/>
        </w:rPr>
      </w:pPr>
      <w:r>
        <w:rPr>
          <w:rFonts w:ascii="Times New Roman" w:cs="Times New Roman" w:eastAsia="Times New Roman" w:hAnsi="Times New Roman"/>
          <w:sz w:val="18"/>
          <w:szCs w:val="18"/>
          <w:color w:val="auto"/>
        </w:rPr>
        <w:t>Research Services. Changes in estimates of total internal and external costs expected to be incurred were recognized in the period of change as a cumulative catch-up adjustment.</w:t>
      </w:r>
    </w:p>
    <w:p>
      <w:pPr>
        <w:spacing w:after="0" w:line="171"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7"/>
          <w:szCs w:val="17"/>
          <w:color w:val="auto"/>
        </w:rPr>
        <w:t>During the three and six months ended June 30, 2022, the Company recognized $0.1 million and $1.0 million, respectively, of collaboration revenue associated with the Acceleron Collaboration Agreement, which includes $0.1 million and $0.6 million, respectively, of revenue recognized that was included in deferred revenue as of December 31, 2021. During the three and six months ended June 30, 2021, the Company recognized $2.3 million and</w:t>
      </w:r>
    </w:p>
    <w:p>
      <w:pPr>
        <w:spacing w:after="0" w:line="1" w:lineRule="exact"/>
        <w:rPr>
          <w:sz w:val="20"/>
          <w:szCs w:val="20"/>
          <w:color w:val="auto"/>
        </w:rPr>
      </w:pPr>
    </w:p>
    <w:p>
      <w:pPr>
        <w:ind w:right="560"/>
        <w:spacing w:after="0" w:line="223" w:lineRule="auto"/>
        <w:rPr>
          <w:sz w:val="20"/>
          <w:szCs w:val="20"/>
          <w:color w:val="auto"/>
        </w:rPr>
      </w:pPr>
      <w:r>
        <w:rPr>
          <w:rFonts w:ascii="Times New Roman" w:cs="Times New Roman" w:eastAsia="Times New Roman" w:hAnsi="Times New Roman"/>
          <w:sz w:val="17"/>
          <w:szCs w:val="17"/>
          <w:color w:val="auto"/>
        </w:rPr>
        <w:t>$4.9 million, respectively, of collaboration revenue under the Acceleron Collaboration Agreement, which includes $1.7 million and $3.8 million, respectively, of revenue recognized that was included in deferred revenue as of December 31, 2020. As of June 30, 2022. the Company recorded no</w:t>
      </w:r>
    </w:p>
    <w:p>
      <w:pPr>
        <w:spacing w:after="0" w:line="1" w:lineRule="exact"/>
        <w:rPr>
          <w:sz w:val="20"/>
          <w:szCs w:val="20"/>
          <w:color w:val="auto"/>
        </w:rPr>
      </w:pPr>
    </w:p>
    <w:p>
      <w:pPr>
        <w:ind w:right="420"/>
        <w:spacing w:after="0" w:line="232" w:lineRule="auto"/>
        <w:rPr>
          <w:sz w:val="20"/>
          <w:szCs w:val="20"/>
          <w:color w:val="auto"/>
        </w:rPr>
      </w:pPr>
      <w:r>
        <w:rPr>
          <w:rFonts w:ascii="Times New Roman" w:cs="Times New Roman" w:eastAsia="Times New Roman" w:hAnsi="Times New Roman"/>
          <w:sz w:val="17"/>
          <w:szCs w:val="17"/>
          <w:color w:val="auto"/>
        </w:rPr>
        <w:t>deferred revenue associated with the Acceleron Collaboration Agreement. As of December 31, 2021, the Company recorded deferred revenue of $0.6 million, associated with the Acceleron Collaboration Agreement, which was classified as either current or net of current portion in the accompanying</w:t>
      </w:r>
    </w:p>
    <w:p>
      <w:pPr>
        <w:jc w:val="both"/>
        <w:ind w:right="40"/>
        <w:spacing w:after="0" w:line="211" w:lineRule="auto"/>
        <w:rPr>
          <w:sz w:val="20"/>
          <w:szCs w:val="20"/>
          <w:color w:val="auto"/>
        </w:rPr>
      </w:pPr>
      <w:r>
        <w:rPr>
          <w:rFonts w:ascii="Times New Roman" w:cs="Times New Roman" w:eastAsia="Times New Roman" w:hAnsi="Times New Roman"/>
          <w:sz w:val="18"/>
          <w:szCs w:val="18"/>
          <w:color w:val="auto"/>
        </w:rPr>
        <w:t>consolidated balance sheets based on the period over which the revenue is expected to be recognized. The aggregate deferred revenue balance represented the aggregate amount of the transaction price allocated to the performance obligations that were unsatisfied as of December 31, 2021. As of June 30, 2022,</w:t>
      </w:r>
    </w:p>
    <w:p>
      <w:pPr>
        <w:spacing w:after="0" w:line="1"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the Company had received $4.6 million of cost reimbursement payments under the Acceleron Collaboration Agreement and $2.0 million associated with the achievement of specified research milestones. As of December 31, 2021, the Company had received $3.9 million of cost reimbursement payment under the Acceleron Collaboration Agreement and $2.0 million associated with the achievement of specified research milestones. As of June 30, 2022, the</w:t>
      </w:r>
    </w:p>
    <w:p>
      <w:pPr>
        <w:ind w:right="20"/>
        <w:spacing w:after="0" w:line="211" w:lineRule="auto"/>
        <w:rPr>
          <w:sz w:val="20"/>
          <w:szCs w:val="20"/>
          <w:color w:val="auto"/>
        </w:rPr>
      </w:pPr>
      <w:r>
        <w:rPr>
          <w:rFonts w:ascii="Times New Roman" w:cs="Times New Roman" w:eastAsia="Times New Roman" w:hAnsi="Times New Roman"/>
          <w:sz w:val="18"/>
          <w:szCs w:val="18"/>
          <w:color w:val="auto"/>
        </w:rPr>
        <w:t>Company recorded unbilled accounts receivable of less than $0.1 million related to reimbursable research and development costs under the Acceleron Collaboration Agreement for activities performed during the three months ended June 30, 2022. As of December 31, 2021, the Company recorded unbilled</w:t>
      </w:r>
    </w:p>
    <w:p>
      <w:pPr>
        <w:spacing w:after="0" w:line="1"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accounts receivable of $0.7 million related to reimbursable research and development costs under the Acceleron Collaboration Agreement for activities performed during the three months ended December 31, 2021. As of June 30, 2022, the Company recorded $0.4 million of accounts receivable under the Acceleron Collaboration Agreement. As of December 31, 2021, the Company recorded no accounts receivable under the Acceleron Collaboration Agreement.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MyoKardia Collaboration Agreement</w:t>
      </w:r>
    </w:p>
    <w:p>
      <w:pPr>
        <w:spacing w:after="0" w:line="21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95"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87"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9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21" w:name="page22"/>
    <w:bookmarkEnd w:id="21"/>
    <w:p>
      <w:pPr>
        <w:ind w:right="160"/>
        <w:spacing w:after="0" w:line="247" w:lineRule="auto"/>
        <w:rPr>
          <w:sz w:val="20"/>
          <w:szCs w:val="20"/>
          <w:color w:val="auto"/>
        </w:rPr>
      </w:pPr>
      <w:r>
        <w:rPr>
          <w:rFonts w:ascii="Times New Roman" w:cs="Times New Roman" w:eastAsia="Times New Roman" w:hAnsi="Times New Roman"/>
          <w:sz w:val="18"/>
          <w:szCs w:val="18"/>
          <w:color w:val="auto"/>
        </w:rPr>
        <w:t>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0"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187"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The Company assessed the MyoKardia Collaboration Agreement and concluded that it represents a contract with a customer within the scope of ASC 606.</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1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Company assessed the above promises and concluded that the MyoKardia License is not capable of being distinct from the MyoKardia</w:t>
      </w:r>
    </w:p>
    <w:p>
      <w:pPr>
        <w:spacing w:after="0" w:line="27"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2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86"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76" w:lineRule="exact"/>
        <w:rPr>
          <w:sz w:val="20"/>
          <w:szCs w:val="20"/>
          <w:color w:val="auto"/>
        </w:rPr>
      </w:pPr>
    </w:p>
    <w:p>
      <w:pPr>
        <w:jc w:val="both"/>
        <w:ind w:right="840" w:firstLine="509"/>
        <w:spacing w:after="0" w:line="250"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six months ended June 30, 2022.</w:t>
      </w:r>
    </w:p>
    <w:p>
      <w:pPr>
        <w:spacing w:after="0" w:line="19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21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214"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$1.7 million and $3.5 million, respectively, of collaboration revenue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MyoKardia Collaboration Agreement, which includes $1.0 million and $2.3 million, respectively, of revenue recognized that was</w:t>
      </w:r>
    </w:p>
    <w:p>
      <w:pPr>
        <w:spacing w:after="0"/>
        <w:rPr>
          <w:sz w:val="20"/>
          <w:szCs w:val="20"/>
          <w:color w:val="auto"/>
        </w:rPr>
      </w:pPr>
      <w:r>
        <w:rPr>
          <w:rFonts w:ascii="Times New Roman" w:cs="Times New Roman" w:eastAsia="Times New Roman" w:hAnsi="Times New Roman"/>
          <w:sz w:val="18"/>
          <w:szCs w:val="18"/>
          <w:color w:val="auto"/>
        </w:rPr>
        <w:t>included in deferred revenue as of December 31, 2021. During the three and six months ended June 30, 2021, the Company recognized $2.0 million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 million, respectively, of collaboration revenue associated with the MyoKardia Collaboration Agreement, all of which was included in deferred revenue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As of June 30, 2022 and December 31, 2021, the Company recorded deferred revenue of $1.8 million and $4.1 million,</w:t>
      </w:r>
    </w:p>
    <w:p>
      <w:pPr>
        <w:spacing w:after="0"/>
        <w:rPr>
          <w:sz w:val="20"/>
          <w:szCs w:val="20"/>
          <w:color w:val="auto"/>
        </w:rPr>
      </w:pPr>
      <w:r>
        <w:rPr>
          <w:rFonts w:ascii="Times New Roman" w:cs="Times New Roman" w:eastAsia="Times New Roman" w:hAnsi="Times New Roman"/>
          <w:sz w:val="18"/>
          <w:szCs w:val="18"/>
          <w:color w:val="auto"/>
        </w:rPr>
        <w:t>respectively, associated with the MyoKardia Collaboration Agreement, which is classified as either current or net of current portion in the accompanying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based on the period over which the revenue is expected to be recognized. The aggregate deferred revenue balance represents</w:t>
      </w:r>
    </w:p>
    <w:p>
      <w:pPr>
        <w:spacing w:after="0" w:line="234"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the performance obligations that are unsatisfied as of June 30, 2022 and December 31, 2021.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June 30, 2022, the Company had received $4.1 million of cost reimbursement payments under the MyoKardia Collaboration Agreement and $2.5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achievement of a preclinical milestone. As of December 31, 2021, the Company had received $3.2 million of cost reimbursement</w:t>
      </w:r>
    </w:p>
    <w:p>
      <w:pPr>
        <w:spacing w:after="0" w:line="234" w:lineRule="auto"/>
        <w:rPr>
          <w:sz w:val="20"/>
          <w:szCs w:val="20"/>
          <w:color w:val="auto"/>
        </w:rPr>
      </w:pPr>
      <w:r>
        <w:rPr>
          <w:rFonts w:ascii="Times New Roman" w:cs="Times New Roman" w:eastAsia="Times New Roman" w:hAnsi="Times New Roman"/>
          <w:sz w:val="18"/>
          <w:szCs w:val="18"/>
          <w:color w:val="auto"/>
        </w:rPr>
        <w:t>payments under the MyoKardia Collaboration Agreement and no milestone or royalty payments. As of June 30, 2022, the Company recorded unbilled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of $0.7 million related to reimbursable research and development costs under the MyoKardia Collaboration Agreement for activities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performed during the three months ended June 30, 2022. As of December 31, 2021, the Company recorded unbilled accounts receivable of $0.5 million</w:t>
      </w:r>
    </w:p>
    <w:p>
      <w:pPr>
        <w:spacing w:after="0" w:line="234" w:lineRule="auto"/>
        <w:rPr>
          <w:sz w:val="20"/>
          <w:szCs w:val="20"/>
          <w:color w:val="auto"/>
        </w:rPr>
      </w:pPr>
      <w:r>
        <w:rPr>
          <w:rFonts w:ascii="Times New Roman" w:cs="Times New Roman" w:eastAsia="Times New Roman" w:hAnsi="Times New Roman"/>
          <w:sz w:val="18"/>
          <w:szCs w:val="18"/>
          <w:color w:val="auto"/>
        </w:rPr>
        <w:t>related to reimbursable research and development costs under the MyoKardia Collaboration Agreement for activities performed during the three months</w:t>
      </w:r>
    </w:p>
    <w:p>
      <w:pPr>
        <w:spacing w:after="0" w:line="235" w:lineRule="auto"/>
        <w:rPr>
          <w:sz w:val="20"/>
          <w:szCs w:val="20"/>
          <w:color w:val="auto"/>
        </w:rPr>
      </w:pPr>
      <w:r>
        <w:rPr>
          <w:rFonts w:ascii="Times New Roman" w:cs="Times New Roman" w:eastAsia="Times New Roman" w:hAnsi="Times New Roman"/>
          <w:sz w:val="18"/>
          <w:szCs w:val="18"/>
          <w:color w:val="auto"/>
        </w:rPr>
        <w:t>ended December 31, 2021. As of June 30, 2022, the Company recorded no accounts receivable under the MyoKardia Collaboration Agreement. As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Company recorded accounts receivable of</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$2.5 million under the MyoKardia Collaboration Agreement associated with the achievement of a preclinical milestone in December 2021.</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Right of Reference and License Agreement</w:t>
      </w:r>
    </w:p>
    <w:p>
      <w:pPr>
        <w:spacing w:after="0" w:line="189"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7"/>
          <w:szCs w:val="17"/>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responsible for costs related to the filing and maintenance of the licensed patent rights.</w:t>
      </w:r>
    </w:p>
    <w:p>
      <w:pPr>
        <w:spacing w:after="0" w:line="178"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7"/>
          <w:szCs w:val="17"/>
          <w:color w:val="auto"/>
        </w:rPr>
        <w:t>Under the GSK Agreement, the Company issued 12,500,000 shares of Series B Preferred Stock to GSK. In addition, the Company may owe GSK up to $37.5 million in certain specified clinical and regulatory milestones, including a $5.0 million milestone that was achieved during the second quarter</w:t>
      </w:r>
    </w:p>
    <w:p>
      <w:pPr>
        <w:spacing w:after="0" w:line="1"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of 2022 and a $2.5 million milestone previously achieved and paid during 2019, and up to $60.0 million in certain specified sales milestones. The Company has agreed to pay tiered royalties on annual net sales of losmapimod that range from mid single-digit percentages to a low double-digit, but less</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than teens, percentage. The royalties are payable on a product-by-product and country-by-country basis, and may be reduced in specified circumstances. The Company achieved a $5.0 million milestone during the second quarter of 2022, which the Company recorded as research and development expense in the consolidated statement of operations and comprehensive loss for the three and six months ended June 30, 2022.</w:t>
      </w:r>
    </w:p>
    <w:p>
      <w:pPr>
        <w:spacing w:after="0" w:line="173" w:lineRule="exact"/>
        <w:rPr>
          <w:sz w:val="20"/>
          <w:szCs w:val="20"/>
          <w:color w:val="auto"/>
        </w:rPr>
      </w:pPr>
    </w:p>
    <w:p>
      <w:pPr>
        <w:ind w:right="300" w:firstLine="509"/>
        <w:spacing w:after="0" w:line="236" w:lineRule="auto"/>
        <w:rPr>
          <w:sz w:val="20"/>
          <w:szCs w:val="20"/>
          <w:color w:val="auto"/>
        </w:rPr>
      </w:pPr>
      <w:r>
        <w:rPr>
          <w:rFonts w:ascii="Times New Roman" w:cs="Times New Roman" w:eastAsia="Times New Roman" w:hAnsi="Times New Roman"/>
          <w:sz w:val="17"/>
          <w:szCs w:val="17"/>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w:t>
      </w:r>
    </w:p>
    <w:p>
      <w:pPr>
        <w:ind w:right="660"/>
        <w:spacing w:after="0" w:line="233" w:lineRule="auto"/>
        <w:rPr>
          <w:sz w:val="20"/>
          <w:szCs w:val="20"/>
          <w:color w:val="auto"/>
        </w:rPr>
      </w:pPr>
      <w:r>
        <w:rPr>
          <w:rFonts w:ascii="Times New Roman" w:cs="Times New Roman" w:eastAsia="Times New Roman" w:hAnsi="Times New Roman"/>
          <w:sz w:val="18"/>
          <w:szCs w:val="18"/>
          <w:color w:val="auto"/>
        </w:rPr>
        <w:t>basis on the later of (i) ten years after the first commercial sale in the country or (ii) approval of a generic version of losmapimod by the applicable regulatory agency.</w:t>
      </w:r>
    </w:p>
    <w:p>
      <w:pPr>
        <w:spacing w:after="0" w:line="172" w:lineRule="exact"/>
        <w:rPr>
          <w:sz w:val="20"/>
          <w:szCs w:val="20"/>
          <w:color w:val="auto"/>
        </w:rPr>
      </w:pPr>
    </w:p>
    <w:p>
      <w:pPr>
        <w:ind w:right="160" w:firstLine="509"/>
        <w:spacing w:after="0" w:line="236" w:lineRule="auto"/>
        <w:rPr>
          <w:sz w:val="20"/>
          <w:szCs w:val="20"/>
          <w:color w:val="auto"/>
        </w:rPr>
      </w:pPr>
      <w:r>
        <w:rPr>
          <w:rFonts w:ascii="Times New Roman" w:cs="Times New Roman" w:eastAsia="Times New Roman" w:hAnsi="Times New Roman"/>
          <w:sz w:val="17"/>
          <w:szCs w:val="17"/>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 The</w:t>
      </w:r>
    </w:p>
    <w:p>
      <w:pPr>
        <w:ind w:right="300"/>
        <w:spacing w:after="0" w:line="233" w:lineRule="auto"/>
        <w:rPr>
          <w:sz w:val="20"/>
          <w:szCs w:val="20"/>
          <w:color w:val="auto"/>
        </w:rPr>
      </w:pPr>
      <w:r>
        <w:rPr>
          <w:rFonts w:ascii="Times New Roman" w:cs="Times New Roman" w:eastAsia="Times New Roman" w:hAnsi="Times New Roman"/>
          <w:sz w:val="18"/>
          <w:szCs w:val="18"/>
          <w:color w:val="auto"/>
        </w:rPr>
        <w:t>Company will record sales milestone payments and royalties as additional expense of the related product sales in the period in which the corresponding sales occur.</w:t>
      </w:r>
    </w:p>
    <w:p>
      <w:pPr>
        <w:spacing w:after="0" w:line="290" w:lineRule="exact"/>
        <w:rPr>
          <w:sz w:val="20"/>
          <w:szCs w:val="20"/>
          <w:color w:val="auto"/>
        </w:rPr>
      </w:pPr>
    </w:p>
    <w:p>
      <w:pPr>
        <w:ind w:right="9920" w:firstLine="8"/>
        <w:spacing w:after="0" w:line="396"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b w:val="1"/>
          <w:bCs w:val="1"/>
          <w:i w:val="1"/>
          <w:iCs w:val="1"/>
          <w:color w:val="auto"/>
        </w:rPr>
        <w:t>Operating Leases</w:t>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1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2022 and December 31, 2021.</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ASU 2016-02, as Amended</w:t>
      </w:r>
    </w:p>
    <w:p>
      <w:pPr>
        <w:spacing w:after="0" w:line="214"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As a result of the adoption of ASU 2016-02, as amended, on January 1, 2022, the Company recorded a right-of-use asset and a corresponding lease liability associated with the 26 Landsdowne Street lease on the consolidated balance sheet as of June 30, 2022. As there is no rate implicit in the 26 Landsdowne Street lease, the Company estimated its incremental borrowing rate based upon a synthetic credit rating and yield curve analysis. Based upon this analysis, the Company calculated a discount rate of 6.1% for the lease. As of June 30, 2022, the remaining lease term was 6.0 years.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4" w:name="page25"/>
    <w:bookmarkEnd w:id="24"/>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Pursuant to ASU 2016-02, as amended, operating lease expense and variable lease expense associated with this lease for the three months ended June 30, 2022 was approximately $0.5 million and $0.3 million, respectively. Operating lease expense and variable lease expense associated with this lease for the six months ended June 30, 2022 was approximately $1.0 million and $0.5 million, respectively.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June 30, 2022,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4"/>
                <w:szCs w:val="24"/>
                <w:color w:val="auto"/>
                <w:vertAlign w:val="superscript"/>
              </w:rPr>
              <w:t>(1)</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3"/>
                <w:szCs w:val="23"/>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8"/>
                <w:szCs w:val="18"/>
                <w:color w:val="auto"/>
              </w:rPr>
            </w:pPr>
          </w:p>
        </w:tc>
      </w:tr>
      <w:tr>
        <w:trPr>
          <w:trHeight w:val="210"/>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(2,669 )</w:t>
            </w:r>
          </w:p>
        </w:tc>
      </w:tr>
      <w:tr>
        <w:trPr>
          <w:trHeight w:val="249"/>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-1276985</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8572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45" w:lineRule="exact"/>
        <w:rPr>
          <w:sz w:val="20"/>
          <w:szCs w:val="20"/>
          <w:color w:val="auto"/>
        </w:rPr>
      </w:pPr>
    </w:p>
    <w:p>
      <w:pPr>
        <w:ind w:left="520" w:right="6420" w:hanging="512"/>
        <w:spacing w:after="0" w:line="477"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for the six months ending December 31, 2022. </w:t>
      </w:r>
      <w:r>
        <w:rPr>
          <w:rFonts w:ascii="Times New Roman" w:cs="Times New Roman" w:eastAsia="Times New Roman" w:hAnsi="Times New Roman"/>
          <w:sz w:val="18"/>
          <w:szCs w:val="18"/>
          <w:i w:val="1"/>
          <w:iCs w:val="1"/>
          <w:u w:val="single" w:color="auto"/>
          <w:color w:val="auto"/>
        </w:rPr>
        <w:t>Accounting Under ASC 840</w:t>
      </w:r>
    </w:p>
    <w:p>
      <w:pPr>
        <w:spacing w:after="0" w:line="1"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Prior to the adoption of ASU 2016-02, as amended, and pursuant to the legacy guidance within ASC 840, the Company recorded rent expense on a straight-line basis through the end of the lease term and also recorded deferred rent on the consolidated balance sheets. The Company recorded the leasehold improvement incentives as a deferred lease incentive on the consolidated balance sheets and amortized the deferred lease incentive through a reduction of rent expense ratably over the lease term.</w:t>
      </w:r>
    </w:p>
    <w:p>
      <w:pPr>
        <w:spacing w:after="0" w:line="181"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Pursuant to ASC 840, rent expense associated with this lease for the three and six months ended June 30, 2021 was approximately $0.5 million and $1.0 million, respectively. Under ASC 840, minimum rental commitments under non-cancelable leases for each of the next five years and total thereafter as of December 31, 2021,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8"/>
                <w:szCs w:val="18"/>
                <w:color w:val="auto"/>
              </w:rPr>
            </w:pPr>
          </w:p>
        </w:tc>
      </w:tr>
      <w:tr>
        <w:trPr>
          <w:trHeight w:val="250"/>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125 Sidney Street</w:t>
      </w:r>
    </w:p>
    <w:p>
      <w:pPr>
        <w:spacing w:after="0" w:line="200"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 million over the initial term, and includes escalating rent payments.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ASU 2016-02, as Amended</w:t>
      </w:r>
    </w:p>
    <w:p>
      <w:pPr>
        <w:spacing w:after="0" w:line="214"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As a result of the adoption of ASU 2016-02, as amended, on January 1, 2022, the Company recorded a right-of-use asset and a corresponding lease liability associated with the 125 Sidney Street lease on the consolidated balance sheet as of June 30, 2022. As there is no rate implicit in the 125 Sidney Street lease, the Company estimated its incremental borrowing rate based upon a synthetic credit rating and yield curve analysis. Based upon this analysis, the Company calculated a discount rate of 4.2% for the lease. As of June 30, 2022, the remaining lease term was 1.8 years.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Pursuant to ASU 2016-02, as amended, operating lease expense associated with this lease for the three and six months ended June 30, 2022 was approximately $0.2 million and $0.4 million, respectively. No variable lease expense was recorded associated with this lease for the three and six months ended June 30, 2022. The future minimum lease payments associated with this lease as of June 30, 2022, are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4"/>
                <w:szCs w:val="24"/>
                <w:color w:val="auto"/>
                <w:vertAlign w:val="superscript"/>
              </w:rPr>
              <w:t>(1)</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3"/>
                <w:szCs w:val="23"/>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r>
      <w:tr>
        <w:trPr>
          <w:trHeight w:val="216"/>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10"/>
        </w:trPr>
        <w:tc>
          <w:tcPr>
            <w:tcW w:w="9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top w:val="single" w:sz="8" w:color="CFF0FC"/>
            </w:tcBorders>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8572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45" w:lineRule="exact"/>
        <w:rPr>
          <w:sz w:val="20"/>
          <w:szCs w:val="20"/>
          <w:color w:val="auto"/>
        </w:rPr>
      </w:pPr>
    </w:p>
    <w:p>
      <w:pPr>
        <w:ind w:left="520" w:right="6420" w:hanging="512"/>
        <w:spacing w:after="0" w:line="477"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for the six months ending December 31, 2022. </w:t>
      </w:r>
      <w:r>
        <w:rPr>
          <w:rFonts w:ascii="Times New Roman" w:cs="Times New Roman" w:eastAsia="Times New Roman" w:hAnsi="Times New Roman"/>
          <w:sz w:val="18"/>
          <w:szCs w:val="18"/>
          <w:i w:val="1"/>
          <w:iCs w:val="1"/>
          <w:u w:val="single" w:color="auto"/>
          <w:color w:val="auto"/>
        </w:rPr>
        <w:t>Accounting Under ASC 840</w:t>
      </w:r>
    </w:p>
    <w:p>
      <w:pPr>
        <w:spacing w:after="0" w:line="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Prior to the adoption of ASU 2016-02, as amended, and pursuant to the legacy guidance within ASC 840, the Company recorded rent expense on a straight-line basis through the end of the lease term and also recorded deferred rent on the consolidated balance sheets. No rent expense was recorded during the three and six months ended June 30, 2021 as the Company had not yet entered into the lease agreement.</w:t>
      </w:r>
    </w:p>
    <w:p>
      <w:pPr>
        <w:spacing w:after="0" w:line="17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Under ASC 840, minimum rental commitments under non-cancelable leases for each of the next five years and total thereafter as of December 31, 2021,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r>
      <w:tr>
        <w:trPr>
          <w:trHeight w:val="216"/>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8420" w:firstLine="8"/>
        <w:spacing w:after="0" w:line="433" w:lineRule="auto"/>
        <w:tabs>
          <w:tab w:leader="none" w:pos="27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Indemnification Agreements</w:t>
      </w:r>
    </w:p>
    <w:p>
      <w:pPr>
        <w:spacing w:after="0" w:line="14"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w:t>
      </w:r>
    </w:p>
    <w:p>
      <w:pPr>
        <w:ind w:right="460"/>
        <w:spacing w:after="0" w:line="211" w:lineRule="auto"/>
        <w:rPr>
          <w:sz w:val="20"/>
          <w:szCs w:val="20"/>
          <w:color w:val="auto"/>
        </w:rPr>
      </w:pPr>
      <w:r>
        <w:rPr>
          <w:rFonts w:ascii="Times New Roman" w:cs="Times New Roman" w:eastAsia="Times New Roman" w:hAnsi="Times New Roman"/>
          <w:sz w:val="18"/>
          <w:szCs w:val="18"/>
          <w:color w:val="auto"/>
        </w:rPr>
        <w:t>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w:t>
      </w:r>
    </w:p>
    <w:p>
      <w:pPr>
        <w:spacing w:after="0" w:line="1"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not accrued any liabilities related to such obligations as of June 30, 2022 or December 31, 2021.</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right="200" w:firstLine="509"/>
        <w:spacing w:after="0" w:line="222"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for contingencies. The Company expenses the costs related to its legal proceedings as they are incurred. No such costs have been incurred during the three and six months ended June 30, 2022 and 2021.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Contribution Plan</w:t>
      </w:r>
    </w:p>
    <w:p>
      <w:pPr>
        <w:spacing w:after="0" w:line="216"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$0.2 million and $0.4 million, respectively, in contributions to the 401(k) Plan for the three and six months ended June 30, 2022. No contributions were made to the 401(k) Plan for the three and six months ended June 30, 2021.</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29"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15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290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69"/>
        </w:trPr>
        <w:tc>
          <w:tcPr>
            <w:tcW w:w="2900" w:type="dxa"/>
            <w:vAlign w:val="bottom"/>
          </w:tcPr>
          <w:p>
            <w:pPr>
              <w:spacing w:after="0"/>
              <w:rPr>
                <w:sz w:val="14"/>
                <w:szCs w:val="14"/>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6,137,740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4,673,037</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6,137,740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4,673,037</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47,123</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115,189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47,123</w:t>
            </w:r>
          </w:p>
        </w:tc>
      </w:tr>
      <w:tr>
        <w:trPr>
          <w:trHeight w:val="250"/>
        </w:trPr>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6,252,929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4,720,160</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6,252,929</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August 2022, the Company announced implementation of a strategic plan to realign internal investments and operations to prioritize the Company's two clinical programs. In connection with this decision, the Company announced a workforce reduction of 25% of its planned headcount, which is expected to be completed in August 2022. The Company is currently evaluating the impact that this restructuring will have on its consolidated financial position and results of operations.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right="20" w:firstLine="509"/>
        <w:spacing w:after="0" w:line="22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March 3, 2022.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40" w:firstLine="509"/>
        <w:spacing w:after="0" w:line="23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Our most advanced product candidate, losmapimod, is in development to treat the root cause of FSHD. We initiated REACH, a randomized, double-blind, placebo-controlled, multi-national Phase 3 clinical trial of losmapimod, our product candidate for FSHD, in the second quarter of 2022.</w:t>
      </w:r>
    </w:p>
    <w:p>
      <w:pPr>
        <w:spacing w:after="0" w:line="172"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8"/>
          <w:szCs w:val="18"/>
          <w:color w:val="auto"/>
        </w:rPr>
        <w:t>Our other clinical product candidate is FTX-6058, which is being developed for the treatment of certain hemoglobinopathies, including SCD and ß-thalassemia. In June 2022, we announced clinical proof-of-concept data from the ongoing Phase 1b trial of FTX-6058 for the treatment of sickle cell disease, or SCD.</w:t>
      </w:r>
    </w:p>
    <w:p>
      <w:pPr>
        <w:spacing w:after="0" w:line="172"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The first cohort of the Phase 1b study enrolled six of up to ten subjects. These six subjects (none on background hydroxyurea) received at least one 6 mg dose of FTX-6058 and all were included in the safety analyses. As of the data cut-off on May 25, 2022, three subjects were evaluable at day 28 and beyond for increases in fetal hemoglobin, or HbF. Three subjects were not evaluated due to non-adherence or protocol deviation, as specified in the statistical analysis plan.</w:t>
      </w:r>
    </w:p>
    <w:p>
      <w:pPr>
        <w:spacing w:after="0" w:line="171" w:lineRule="exact"/>
        <w:rPr>
          <w:sz w:val="20"/>
          <w:szCs w:val="20"/>
          <w:color w:val="auto"/>
        </w:rPr>
      </w:pPr>
    </w:p>
    <w:p>
      <w:pPr>
        <w:ind w:right="40" w:firstLine="509"/>
        <w:spacing w:after="0" w:line="232" w:lineRule="auto"/>
        <w:rPr>
          <w:sz w:val="20"/>
          <w:szCs w:val="20"/>
          <w:color w:val="auto"/>
        </w:rPr>
      </w:pPr>
      <w:r>
        <w:rPr>
          <w:rFonts w:ascii="Times New Roman" w:cs="Times New Roman" w:eastAsia="Times New Roman" w:hAnsi="Times New Roman"/>
          <w:sz w:val="18"/>
          <w:szCs w:val="18"/>
          <w:color w:val="auto"/>
        </w:rPr>
        <w:t>All subjects evaluable for HbF change over baseline achieved increases in HbF by day 28, including one subject with a 6.3% increase over baseline. Changes in additional parameters, such as total bilirubin, reticulocyte count, and total hemoglobin were also observed, consistent with reduced hemolysis. A table showing the percent increase in HbF at pre-specified time-points is provided below. Data indicates that HbF levels were increasing at last measured timepoint and the maximal levels of HbF induction may have not yet been achieved.</w:t>
      </w:r>
    </w:p>
    <w:p>
      <w:pPr>
        <w:spacing w:after="0" w:line="172"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auto"/>
        </w:rPr>
        <w:t>Increases in HbF have been shown to reduce the frequency or severity of a broad range of SCD symptoms, including vaso-occlusive crises, or VOC, anemia, pain, infection, stroke and others. Based on a large body of genetic, clinical, and observational evidence showing the effects of higher levels of HbF in people with SCD, the induction of HbF by 5-10% over baseline could be associated with reduced disease burden and improved clinical outcomes. We believe these initial data showing that FTX-6058 increases HbF levels by up to 6.3% support its potential to become a transformative therapy for people living with SCD.</w:t>
      </w:r>
    </w:p>
    <w:p>
      <w:pPr>
        <w:spacing w:after="0" w:line="1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b w:val="1"/>
          <w:bCs w:val="1"/>
          <w:color w:val="auto"/>
        </w:rPr>
        <w:t>Absolute HbF (%)</w:t>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0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Baseline</w:t>
            </w:r>
          </w:p>
        </w:tc>
        <w:tc>
          <w:tcPr>
            <w:tcW w:w="10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Day 14</w:t>
            </w:r>
          </w:p>
        </w:tc>
        <w:tc>
          <w:tcPr>
            <w:tcW w:w="108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Day 28</w:t>
            </w:r>
          </w:p>
        </w:tc>
        <w:tc>
          <w:tcPr>
            <w:tcW w:w="108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Day 42</w:t>
            </w:r>
          </w:p>
        </w:tc>
        <w:tc>
          <w:tcPr>
            <w:tcW w:w="106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Day 56</w:t>
            </w:r>
          </w:p>
        </w:tc>
        <w:tc>
          <w:tcPr>
            <w:tcW w:w="106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Day 70</w:t>
            </w:r>
          </w:p>
        </w:tc>
        <w:tc>
          <w:tcPr>
            <w:tcW w:w="126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Day 84 (EOS)</w:t>
            </w:r>
          </w:p>
        </w:tc>
        <w:tc>
          <w:tcPr>
            <w:tcW w:w="122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Post Tx + 7D</w:t>
            </w:r>
          </w:p>
        </w:tc>
        <w:tc>
          <w:tcPr>
            <w:tcW w:w="15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w w:val="97"/>
              </w:rPr>
              <w:t>Increase from baseline</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Subject 1</w:t>
            </w: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20" w:type="dxa"/>
            <w:vAlign w:val="bottom"/>
            <w:vMerge w:val="continue"/>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9.2%</w:t>
            </w:r>
          </w:p>
        </w:tc>
        <w:tc>
          <w:tcPr>
            <w:tcW w:w="1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9.8%</w:t>
            </w:r>
          </w:p>
        </w:tc>
        <w:tc>
          <w:tcPr>
            <w:tcW w:w="1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10.9%</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13.5%</w:t>
            </w:r>
          </w:p>
        </w:tc>
        <w:tc>
          <w:tcPr>
            <w:tcW w:w="1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14.0%</w:t>
            </w:r>
          </w:p>
        </w:tc>
        <w:tc>
          <w:tcPr>
            <w:tcW w:w="1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13.7%</w:t>
            </w:r>
          </w:p>
        </w:tc>
        <w:tc>
          <w:tcPr>
            <w:tcW w:w="1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13.7%</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14.4%</w:t>
            </w:r>
          </w:p>
        </w:tc>
        <w:tc>
          <w:tcPr>
            <w:tcW w:w="1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Subject 2</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3.7%</w:t>
            </w:r>
          </w:p>
        </w:tc>
        <w:tc>
          <w:tcPr>
            <w:tcW w:w="1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5.0%</w:t>
            </w:r>
          </w:p>
        </w:tc>
        <w:tc>
          <w:tcPr>
            <w:tcW w:w="1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7.8%</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9.6%</w:t>
            </w:r>
          </w:p>
        </w:tc>
        <w:tc>
          <w:tcPr>
            <w:tcW w:w="1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83"/>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Subject 3</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6.2%</w:t>
            </w:r>
          </w:p>
        </w:tc>
        <w:tc>
          <w:tcPr>
            <w:tcW w:w="1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6.5%</w:t>
            </w:r>
          </w:p>
        </w:tc>
        <w:tc>
          <w:tcPr>
            <w:tcW w:w="1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7.3%</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8.3%</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FTX-6058 was generally well-tolerated in the initial cohort. No serious treatment emergent adverse effects, or TEAEs, were reported, and there were no discontinuations due to TEAEs. All non-serious TEAEs were transient and deemed unrelated to study drug.</w:t>
      </w:r>
    </w:p>
    <w:p>
      <w:pPr>
        <w:spacing w:after="0" w:line="16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are currently enrolling additional patients at the 6 mg and 2 mg dose cohorts, including patients both on and off hydroxyurea, and plan to initiate an additional cohort at a higher dose. We expect to complete enrollment of three cohorts by the end of 2022 and currently plan to initiate a registrational trial in 2023.</w:t>
      </w:r>
    </w:p>
    <w:p>
      <w:pPr>
        <w:spacing w:after="0" w:line="170" w:lineRule="exact"/>
        <w:rPr>
          <w:sz w:val="20"/>
          <w:szCs w:val="20"/>
          <w:color w:val="auto"/>
        </w:rPr>
      </w:pPr>
    </w:p>
    <w:p>
      <w:pPr>
        <w:ind w:right="100" w:firstLine="509"/>
        <w:spacing w:after="0" w:line="227" w:lineRule="auto"/>
        <w:rPr>
          <w:sz w:val="20"/>
          <w:szCs w:val="20"/>
          <w:color w:val="auto"/>
        </w:rPr>
      </w:pPr>
      <w:r>
        <w:rPr>
          <w:rFonts w:ascii="Times New Roman" w:cs="Times New Roman" w:eastAsia="Times New Roman" w:hAnsi="Times New Roman"/>
          <w:sz w:val="18"/>
          <w:szCs w:val="18"/>
          <w:color w:val="auto"/>
        </w:rPr>
        <w:t>We have developed a proprietary product engine, FulcrumSeek, that we employ to systematically identify and validate cellular drug targets that can potentially modulate gene expression to treat the known root cause of genetically defined diseases. Our product engine integrates patient-derived tissue-and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8" w:name="page29"/>
    <w:bookmarkEnd w:id="28"/>
    <w:p>
      <w:pPr>
        <w:ind w:right="240"/>
        <w:spacing w:after="0" w:line="250" w:lineRule="auto"/>
        <w:rPr>
          <w:sz w:val="20"/>
          <w:szCs w:val="20"/>
          <w:color w:val="auto"/>
        </w:rPr>
      </w:pPr>
      <w:r>
        <w:rPr>
          <w:rFonts w:ascii="Times New Roman" w:cs="Times New Roman" w:eastAsia="Times New Roman" w:hAnsi="Times New Roman"/>
          <w:sz w:val="18"/>
          <w:szCs w:val="18"/>
          <w:color w:val="auto"/>
        </w:rPr>
        <w:t>the identification of both losmapimod for FSHD and FTX-6058 for hemoglobinopathies, as well as a robust discovery pipeline. We expect to submit our next investigational new drug, or IND, application in 2023.</w:t>
      </w:r>
    </w:p>
    <w:p>
      <w:pPr>
        <w:spacing w:after="0" w:line="176" w:lineRule="exact"/>
        <w:rPr>
          <w:sz w:val="20"/>
          <w:szCs w:val="20"/>
          <w:color w:val="auto"/>
        </w:rPr>
      </w:pPr>
    </w:p>
    <w:p>
      <w:pPr>
        <w:ind w:right="420" w:firstLine="509"/>
        <w:spacing w:after="0" w:line="236" w:lineRule="auto"/>
        <w:rPr>
          <w:sz w:val="20"/>
          <w:szCs w:val="20"/>
          <w:color w:val="auto"/>
        </w:rPr>
      </w:pPr>
      <w:r>
        <w:rPr>
          <w:rFonts w:ascii="Times New Roman" w:cs="Times New Roman" w:eastAsia="Times New Roman" w:hAnsi="Times New Roman"/>
          <w:sz w:val="18"/>
          <w:szCs w:val="18"/>
          <w:color w:val="auto"/>
        </w:rPr>
        <w:t>In August 2022, we announced a strategic plan to realign internal investments and operations to prioritize our two clinical programs, which we believe will extend our cash runway into mid-2024. In connection with this decision, we announced a workforce reduction of 25% of our planned headcount that we expect to complete in August 2022. This restructuring will result in cumulative savings of $40M-50M into mid-2024.</w:t>
      </w:r>
    </w:p>
    <w:p>
      <w:pPr>
        <w:spacing w:after="0" w:line="172" w:lineRule="exact"/>
        <w:rPr>
          <w:sz w:val="20"/>
          <w:szCs w:val="20"/>
          <w:color w:val="auto"/>
        </w:rPr>
      </w:pPr>
    </w:p>
    <w:p>
      <w:pPr>
        <w:ind w:firstLine="509"/>
        <w:spacing w:after="0" w:line="227"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common stock in public offerings, including through our "at-the-market" offering program, from a private placement, through issuances of convertible preferred stock, and from upfront payments received under our collaboration and license agreements.</w:t>
      </w:r>
    </w:p>
    <w:p>
      <w:pPr>
        <w:spacing w:after="0" w:line="189" w:lineRule="exact"/>
        <w:rPr>
          <w:sz w:val="20"/>
          <w:szCs w:val="20"/>
          <w:color w:val="auto"/>
        </w:rPr>
      </w:pPr>
    </w:p>
    <w:p>
      <w:pPr>
        <w:ind w:right="100" w:firstLine="509"/>
        <w:spacing w:after="0" w:line="227"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$34.1 million and $60.0 million for the three and six months ended June 30, 2022 and $19.6 million and $36.6 million for the three and six months ended June 30, 2021, respectively. As of June 30, 2022, we had an accumulated deficit of $362.5 million. We expect our expenses and operating losses will increase substantially over the next several years in connection with our ongoing activities, as we:</w:t>
      </w:r>
    </w:p>
    <w:p>
      <w:pPr>
        <w:spacing w:after="0" w:line="81"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FTX-6058;</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03" w:lineRule="exact"/>
        <w:rPr>
          <w:rFonts w:ascii="Times New Roman" w:cs="Times New Roman" w:eastAsia="Times New Roman" w:hAnsi="Times New Roman"/>
          <w:sz w:val="18"/>
          <w:szCs w:val="18"/>
          <w:color w:val="auto"/>
        </w:rPr>
      </w:pPr>
    </w:p>
    <w:p>
      <w:pPr>
        <w:ind w:left="900" w:right="52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0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w:t>
      </w:r>
    </w:p>
    <w:p>
      <w:pPr>
        <w:spacing w:after="0" w:line="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w:t>
      </w:r>
    </w:p>
    <w:p>
      <w:pPr>
        <w:spacing w:after="0" w:line="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develop and market our product candidates even if we would otherwise prefer to develop and market such product candidates ourselves.</w:t>
      </w:r>
    </w:p>
    <w:p>
      <w:pPr>
        <w:spacing w:after="0" w:line="165"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w:t>
      </w:r>
    </w:p>
    <w:p>
      <w:pPr>
        <w:ind w:right="180"/>
        <w:spacing w:after="0" w:line="226" w:lineRule="auto"/>
        <w:rPr>
          <w:sz w:val="20"/>
          <w:szCs w:val="20"/>
          <w:color w:val="auto"/>
        </w:rPr>
      </w:pPr>
      <w:r>
        <w:rPr>
          <w:rFonts w:ascii="Times New Roman" w:cs="Times New Roman" w:eastAsia="Times New Roman" w:hAnsi="Times New Roman"/>
          <w:sz w:val="18"/>
          <w:szCs w:val="18"/>
          <w:color w:val="auto"/>
        </w:rPr>
        <w:t>profitable. If we fail to become profitable or are unable to sustain profitability on a continuing basis, then we may be unable to continue our operations at planned levels and be forced to reduce or terminate our operations.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7"/>
          <w:szCs w:val="17"/>
          <w:color w:val="auto"/>
        </w:rPr>
        <w:t>As of June 30, 2022, we had $169.0 million in cash, cash equivalents, and marketable securities. We believe that our existing cash, cash equivalents,</w:t>
      </w:r>
    </w:p>
    <w:p>
      <w:pPr>
        <w:spacing w:after="0" w:line="14"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and marketable securities as of June 30, 2022 will enable us to fund our operating expenses and capital expenditure requirements into mid-2024. We have based this estimate on assumptions that may prove to be wrong, and we could exhaust our available capital resources sooner than we expect. See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w:t>
      </w:r>
    </w:p>
    <w:p>
      <w:pPr>
        <w:spacing w:after="0" w:line="2"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18"/>
          <w:szCs w:val="18"/>
          <w:color w:val="auto"/>
        </w:rPr>
        <w:t>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never succeed in obtaining regulatory approval for any of our product candidates.</w:t>
      </w:r>
    </w:p>
    <w:p>
      <w:pPr>
        <w:spacing w:after="0" w:line="17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December 2019, we entered into a collaboration and license agreement with Acceleron to identify biological targets to modulate specific pathways associated with a targeted indication within the pulmonary disease space. Under the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Acceleron was subsequently acquired by Merck in November 2021. The primary goal of the collaboration was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86" w:lineRule="exact"/>
        <w:rPr>
          <w:sz w:val="20"/>
          <w:szCs w:val="20"/>
          <w:color w:val="auto"/>
        </w:rPr>
      </w:pPr>
    </w:p>
    <w:p>
      <w:pPr>
        <w:ind w:right="420" w:firstLine="509"/>
        <w:spacing w:after="0" w:line="250" w:lineRule="auto"/>
        <w:rPr>
          <w:sz w:val="20"/>
          <w:szCs w:val="20"/>
          <w:color w:val="auto"/>
        </w:rPr>
      </w:pPr>
      <w:r>
        <w:rPr>
          <w:rFonts w:ascii="Times New Roman" w:cs="Times New Roman" w:eastAsia="Times New Roman" w:hAnsi="Times New Roman"/>
          <w:sz w:val="18"/>
          <w:szCs w:val="18"/>
          <w:color w:val="auto"/>
        </w:rPr>
        <w:t>On June 3, 2022, we were notified by Acceleron of its termination of the collaboration agreement for convenience, effective 120 days after our receipt of the notice, or October 1, 2022.</w:t>
      </w:r>
    </w:p>
    <w:p>
      <w:pPr>
        <w:spacing w:after="0" w:line="176"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Under the terms of the collaboration agreement, we received a $10.0 million upfront payment from Acceleron in December 2019 and in December 2020, achieved $2.0 million of specified research milestones. We were also eligible to receive up to $436.5 million in the aggregate in milestone payments with respect to certain research, developmental, clinical, regulatory and sales-related milestones, and tiered royalty payments based on Acceleron’s (and any of its affiliates’ and sublicensees’) annual worldwide net sales of products directed to any identified targets.</w:t>
      </w:r>
    </w:p>
    <w:p>
      <w:pPr>
        <w:spacing w:after="0" w:line="19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For the three months ended June 30, 2022 and 2021, we recognized $0.1 million and $2.3 million, respectively, of collaboration revenue under the Acceleron collaboration agreement. For the six months ended June 30, 2022 and 2021, we recognized $1.0 million and $4.9 million, respectively, of collaboration revenue under the Acceleron collaboration agreement. As of June 30, 2022 we have recorded no deferred revenue associated with the Acceleron collaboration agreement. As of December 31, 2021, we have recorded $0.6 million of deferred revenue associated with the Acceleron collaboration agreement, which is classified as either current or net of current portion in our consolidated balance sheets based on the period over which the revenue is expected to be recognized. As of June 30, 2022, we had received $4.6 million of cost reimbursement payments and $2.0 million of milestone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under the Acceleron collaboration agreement. As of June 30, 2022, we recorded unbilled accounts receivable of $0.1 million related to</w:t>
      </w:r>
    </w:p>
    <w:p>
      <w:pPr>
        <w:spacing w:after="0" w:line="2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reimbursable research and development costs under the Acceleron collaboration agreement for activities performed during the three months ended June 30, 2022. As of June 30, 2022, we recorded accounts receivable of $0.4 million under the Acceleron collaboration agreement.</w:t>
      </w:r>
    </w:p>
    <w:p>
      <w:pPr>
        <w:spacing w:after="0" w:line="1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Subsequent to the receipt of notice of termination from Acceleron during the second quarter of 2022, we do not expect to recognize additional revenue associated with the Acceleron collaboration agreement.</w:t>
      </w:r>
    </w:p>
    <w:p>
      <w:pPr>
        <w:spacing w:after="0" w:line="14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On July 20, 2020, we entered into a collaboration and license agreement with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0" w:name="page31"/>
    <w:bookmarkEnd w:id="30"/>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5"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For the three months ended June 30, 2022 and 2021, we recognized $1.7 million and $2.0 million, respectively, of collaboration revenue under the MyoKardia collaboration agreement. For the six months ended June 30, 2022 and 2021, we recognized $3.5 million and $4.2 million, respectively, of collaboration revenue under the MyoKardia collaboration agreement. As of June 30, 2022 and December 31, 2021, we have recorded $1.8 million and $4.1 million, respectively, of deferred revenue associated with the MyoKardia collaboration agreement, which is classified as either current or net of current portion in our consolidated balance sheets based on the period over which the revenue is expected to be recognized. As of June 30, 2022, we had received</w:t>
      </w:r>
    </w:p>
    <w:p>
      <w:pPr>
        <w:spacing w:after="0" w:line="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$4.1 million of cost reimbursement payments and $2.5 million of milestone payments under the MyoKardia collaboration agreement. As of June 30, 2022, we recorded unbilled accounts receivable of $0.7 million related to reimbursable research and development costs under the MyoKardia collaboration agreement for activities performed during the three months ended June 30, 2022. As of June 30, 2022, we recorded no accounts receivable under the MyoKardia collaboration agreement.</w:t>
      </w:r>
    </w:p>
    <w:p>
      <w:pPr>
        <w:spacing w:after="0" w:line="173"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In the future, we will recognize additional revenue associated with the $10.0 million upfront payment and the $2.5 million preclinical milestone achieved in December 2021 as we satisfy our performance obligation, and from reimbursement of costs incurred under the MyoKardia collaboration agreement.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68" w:lineRule="exact"/>
        <w:rPr>
          <w:sz w:val="20"/>
          <w:szCs w:val="20"/>
          <w:color w:val="auto"/>
        </w:rPr>
      </w:pPr>
    </w:p>
    <w:p>
      <w:pPr>
        <w:ind w:left="900" w:right="78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payroll taxes, employee benefits and stock-based compensation expenses for individuals involved in research and development efforts;</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0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expenses associated with our right of reference and license agreement with GlaxoSmithKline plc, or GSK.</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 w:name="page32"/>
    <w:bookmarkEnd w:id="31"/>
    <w:p>
      <w:pPr>
        <w:ind w:firstLine="509"/>
        <w:spacing w:after="0" w:line="247"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0"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7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The following table summarizes our external research and development expenses by program following nomination as a development candidate for the three and six months ended June 30, 2022 and 2021. Pre-development candidate expenses, unallocated expenses and internal research and development expenses are classified separately. Losmapimod external expenses during the three and six months ended June 30, 2022 includes a $5.0 million milestone achieved under our right of reference and license agreement with GSK upon initiation of the REACH trial during the second quarter of 2022.</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69"/>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10,468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5,058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13,444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11,254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FTX-6058 external expenses</w:t>
            </w:r>
          </w:p>
        </w:tc>
        <w:tc>
          <w:tcPr>
            <w:tcW w:w="24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5,645</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4,247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8,684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8,357</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5,311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4,637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11,531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8,456</w:t>
            </w:r>
          </w:p>
        </w:tc>
      </w:tr>
      <w:tr>
        <w:trPr>
          <w:trHeight w:val="249"/>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25,019</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17,378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42,850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-25400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4"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83"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 including in light of the ongoing COVID-19 pandemic;</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0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 w:name="page33"/>
    <w:bookmarkEnd w:id="32"/>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and when approved;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1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49"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140" w:firstLine="509"/>
        <w:spacing w:after="0"/>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5" w:lineRule="exact"/>
        <w:rPr>
          <w:sz w:val="20"/>
          <w:szCs w:val="20"/>
          <w:color w:val="auto"/>
        </w:rPr>
      </w:pPr>
    </w:p>
    <w:p>
      <w:pPr>
        <w:ind w:right="180" w:firstLine="509"/>
        <w:spacing w:after="0"/>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21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June 30, 2022 and 2021, along with the changes in those items in dollars: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25,019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17,378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7,641</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36,117</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24,063</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12,054</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(14,553 )</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(19,648 )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(14,422 )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-454025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-454025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-170815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Collaboration revenue decreased by $2.5 million from $4.4 million for the three months ended June 30, 2021 to $1.9 million for the three months ended June 30, 2022.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three months ended June 30, 2022 and 2021, we recognized $0.1 million and $2.3 million, respectively, of collaboration revenue under the Acceleron collaboration agreement and $1.7 million and $2.1 million, respectively, of collaboration revenue under the MyoKardia collaboration agreement.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June 30, 2022:</w:t>
      </w:r>
    </w:p>
    <w:p>
      <w:pPr>
        <w:spacing w:after="0" w:line="200" w:lineRule="exact"/>
        <w:rPr>
          <w:sz w:val="20"/>
          <w:szCs w:val="20"/>
          <w:color w:val="auto"/>
        </w:rPr>
      </w:pP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0"/>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25,019</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-170815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$7.6 million from $17.4 million for the three months ended June 30, 2021 to $25.0 million for the three months ended June 30, 2022. The increase in research and development expense was primarily attributable to the following:</w:t>
      </w:r>
    </w:p>
    <w:p>
      <w:pPr>
        <w:spacing w:after="0" w:line="68" w:lineRule="exact"/>
        <w:rPr>
          <w:sz w:val="20"/>
          <w:szCs w:val="20"/>
          <w:color w:val="auto"/>
        </w:rPr>
      </w:pPr>
    </w:p>
    <w:p>
      <w:pPr>
        <w:ind w:left="1020" w:right="2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million in increased external research and development costs, primarily associated with a $5.0 million milestone achieved during the second quarter of 2022 under the right of reference and license agreement with GSK upon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4" w:name="page35"/>
    <w:bookmarkEnd w:id="34"/>
    <w:p>
      <w:pPr>
        <w:ind w:left="1020"/>
        <w:spacing w:after="0"/>
        <w:rPr>
          <w:sz w:val="20"/>
          <w:szCs w:val="20"/>
          <w:color w:val="auto"/>
        </w:rPr>
      </w:pPr>
      <w:r>
        <w:rPr>
          <w:rFonts w:ascii="Times New Roman" w:cs="Times New Roman" w:eastAsia="Times New Roman" w:hAnsi="Times New Roman"/>
          <w:sz w:val="18"/>
          <w:szCs w:val="18"/>
          <w:color w:val="auto"/>
        </w:rPr>
        <w:t>initiation of REACH during the second quarter of 2022, as well as increased costs associated with the advancement of our lead programs; and</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 increased employee compensation costs, primarily due to increased research and development headcount.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June 30, 2022:</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$4.4 million from $6.7 million for the three months ended June 30, 2021 to $11.1 million for the three months ended June 30, 2022. The increase in general and administrative expenses was primarily attributable to the following:</w:t>
      </w:r>
    </w:p>
    <w:p>
      <w:pPr>
        <w:spacing w:after="0" w:line="68" w:lineRule="exact"/>
        <w:rPr>
          <w:sz w:val="20"/>
          <w:szCs w:val="20"/>
          <w:color w:val="auto"/>
        </w:rPr>
      </w:pPr>
    </w:p>
    <w:p>
      <w:pPr>
        <w:ind w:left="900" w:right="10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 increased employee compensation costs, including a $0.5 million increase in stock-based compensation expense, primarily due to increased general and administrative headcount;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in increased professional services, primarily due to increased use of consulting services and preparatory commercial activities;</w:t>
      </w:r>
    </w:p>
    <w:p>
      <w:pPr>
        <w:spacing w:after="0" w:line="103" w:lineRule="exact"/>
        <w:rPr>
          <w:rFonts w:ascii="Times New Roman" w:cs="Times New Roman" w:eastAsia="Times New Roman" w:hAnsi="Times New Roman"/>
          <w:sz w:val="18"/>
          <w:szCs w:val="18"/>
          <w:color w:val="auto"/>
        </w:rPr>
      </w:pPr>
    </w:p>
    <w:p>
      <w:pPr>
        <w:ind w:left="900" w:right="640" w:hanging="383"/>
        <w:spacing w:after="0" w:line="312"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$0.3 million in increased facility-related costs, primarily associated with our lease agreement for office space at 125 Sidney Street in Cambridge, Massachusetts, which commenced in November 2021, as well as depreciation and other utility and maintenance costs; and</w:t>
      </w:r>
    </w:p>
    <w:p>
      <w:pPr>
        <w:spacing w:after="0" w:line="1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 increased other costs.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Other income, net increased by $0.1 million from less than $0.1 million for the three months ended June 30, 2021 to $0.2 million for the three months ended June 30, 2022. The increase in other income, net was primarily attributable to an increased rate of return and an increase in our average cash and investment balance.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16" w:lineRule="exact"/>
        <w:rPr>
          <w:sz w:val="20"/>
          <w:szCs w:val="20"/>
          <w:color w:val="auto"/>
        </w:rPr>
      </w:pPr>
    </w:p>
    <w:p>
      <w:pPr>
        <w:ind w:right="500" w:firstLine="509"/>
        <w:spacing w:after="0" w:line="253"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six months ended June 30, 2022 and 2021 along with the changes in those items in dollars:</w:t>
      </w:r>
    </w:p>
    <w:tbl>
      <w:tblPr>
        <w:tblLayout w:type="fixed"/>
        <w:tblInd w:w="1140" w:type="dxa"/>
        <w:tblCellMar>
          <w:top w:w="0" w:type="dxa"/>
          <w:left w:w="0" w:type="dxa"/>
          <w:bottom w:w="0" w:type="dxa"/>
          <w:right w:w="0" w:type="dxa"/>
        </w:tblCellMar>
      </w:tblPr>
      <w:tr>
        <w:trPr>
          <w:trHeight w:val="138"/>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gridSpan w:val="5"/>
          </w:tcPr>
          <w:p>
            <w:pPr>
              <w:jc w:val="right"/>
              <w:ind w:right="840"/>
              <w:spacing w:after="0" w:line="138"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1"/>
                <w:szCs w:val="11"/>
                <w:color w:val="auto"/>
              </w:rPr>
            </w:pPr>
          </w:p>
        </w:tc>
        <w:tc>
          <w:tcPr>
            <w:tcW w:w="9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(60,233 )</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(36,725 )</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(23,508 )</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(59,998 )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(36,647 )</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(23,351 )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-453390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-453390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Collaboration revenue decreased by $4.7 million from $9.2 million for the six months ended June 30, 2021 to $4.5 million for the six months ended June 30, 2022. We recognize revenue under each of the Acceleron and MyoKardia collaboration agreements based on our pattern of performance related to the respective identified performance obligation, which is the period over which we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ind w:right="500"/>
        <w:spacing w:after="0" w:line="258" w:lineRule="auto"/>
        <w:rPr>
          <w:sz w:val="20"/>
          <w:szCs w:val="20"/>
          <w:color w:val="auto"/>
        </w:rPr>
      </w:pPr>
      <w:r>
        <w:rPr>
          <w:rFonts w:ascii="Times New Roman" w:cs="Times New Roman" w:eastAsia="Times New Roman" w:hAnsi="Times New Roman"/>
          <w:sz w:val="18"/>
          <w:szCs w:val="18"/>
          <w:color w:val="auto"/>
        </w:rPr>
        <w:t>will perform research services under each of the agreements. For the six months ended June 30, 2022 and 2021, we recognized $1.0 million and $4.9 million, respectively, of collaboration revenue under the Acceleron collaboration agreement and $3.5 million and $4.2 million, respectively, of collaboration revenue under the MyoKardia collaboration agreement.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June 30, 2022:</w:t>
      </w: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33,712</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-170815</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$9.1 million from $33.7 million for the six months ended June 30, 2021 to $42.9 million for the six months ended June 30, 2022. The increase in research and development expense was primarily attributable to the following:</w:t>
      </w:r>
    </w:p>
    <w:p>
      <w:pPr>
        <w:spacing w:after="0" w:line="40" w:lineRule="exact"/>
        <w:rPr>
          <w:sz w:val="20"/>
          <w:szCs w:val="20"/>
          <w:color w:val="auto"/>
        </w:rPr>
      </w:pPr>
    </w:p>
    <w:p>
      <w:pPr>
        <w:ind w:left="1020" w:right="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in increased external research and development costs, primarily associated with a $5.0 million milestone achieved during the second quarter of 2022 under the right of reference and license agreement with GSK upon the initiation of REACH during the second quarter of 2022, as well as increased costs associated with the advancement of our lead programs;</w:t>
      </w:r>
    </w:p>
    <w:p>
      <w:pPr>
        <w:spacing w:after="0" w:line="82"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in increased employee compensation costs, including a $0.4 million increase in stock-based compensation expense, primarily due to increased research and development headcount;</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 increased facilities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increase in other costs, offset by a $0.3 million decrease in laboratory supplies costs.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six months ended June 30, 2022 and 2021:</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-25400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$9.7 million from $12.2 million for the six months ended June 30, 2021 to $21.9 million for the six months ended June 30, 2022. The increase in general and administrative expenses was primarily attributable to the following:</w:t>
      </w:r>
    </w:p>
    <w:p>
      <w:pPr>
        <w:spacing w:after="0" w:line="68" w:lineRule="exact"/>
        <w:rPr>
          <w:sz w:val="20"/>
          <w:szCs w:val="20"/>
          <w:color w:val="auto"/>
        </w:rPr>
      </w:pPr>
    </w:p>
    <w:p>
      <w:pPr>
        <w:ind w:left="900" w:right="8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million in increased employee compensation costs, including a $1.7 million increase in stock-based compensation expense, primarily due to increased general and administrative headcount;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in increased professional services, primarily due to increased use of consulting services and preparatory commercial activities;</w:t>
      </w:r>
    </w:p>
    <w:p>
      <w:pPr>
        <w:spacing w:after="0" w:line="117" w:lineRule="exact"/>
        <w:rPr>
          <w:rFonts w:ascii="Times New Roman" w:cs="Times New Roman" w:eastAsia="Times New Roman" w:hAnsi="Times New Roman"/>
          <w:sz w:val="18"/>
          <w:szCs w:val="18"/>
          <w:color w:val="auto"/>
        </w:rPr>
      </w:pPr>
    </w:p>
    <w:p>
      <w:pPr>
        <w:ind w:left="900" w:right="620" w:hanging="383"/>
        <w:spacing w:after="0" w:line="296" w:lineRule="auto"/>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$0.6 million in increased facility-related costs, primarily associated with our lease agreement for office space at 125 Sidney Street in Cambridge, Massachusetts, which commenced in November 2021, as well as depreciation and other utility and maintenance costs; and</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6" w:name="page37"/>
    <w:bookmarkEnd w:id="36"/>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in increased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1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income, net increased by $0.2 million from less than $0.1 million for the six months ended June 30, 2021 to $0.2 million for the six months ended June 30, 2022. The increase in other income, net was primarily attributable to an increased rate of return and an increase in our average cash and investment balance.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June 30, 2022, we have funded our operations primarily with aggregate gross proceeds of $501.2 million from the sale of shares of our common stock in public offerings, including "at-the-market" offerings, a private placement, through issuances of convertible preferred stock, and from upfront payments received under our collaboration and license agreements. As of June 30, 2022, we had cash, cash equivalents, and marketable securities of $169.0 million.</w:t>
      </w:r>
    </w:p>
    <w:p>
      <w:pPr>
        <w:spacing w:after="0" w:line="180"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On January 22, 2021, we completed a public offering of our common stock and issued and sold 4,600,000 shares of common stock at a public offering price of $11.00 per share, resulting in net proceeds of $47.4 million after deducting underwriting discounts and commissions and offering expenses.</w:t>
      </w:r>
    </w:p>
    <w:p>
      <w:pPr>
        <w:spacing w:after="0" w:line="169" w:lineRule="exact"/>
        <w:rPr>
          <w:sz w:val="20"/>
          <w:szCs w:val="20"/>
          <w:color w:val="auto"/>
        </w:rPr>
      </w:pPr>
    </w:p>
    <w:p>
      <w:pPr>
        <w:jc w:val="both"/>
        <w:ind w:right="480" w:firstLine="509"/>
        <w:spacing w:after="0" w:line="258" w:lineRule="auto"/>
        <w:rPr>
          <w:sz w:val="20"/>
          <w:szCs w:val="20"/>
          <w:color w:val="auto"/>
        </w:rPr>
      </w:pPr>
      <w:r>
        <w:rPr>
          <w:rFonts w:ascii="Times New Roman" w:cs="Times New Roman" w:eastAsia="Times New Roman" w:hAnsi="Times New Roman"/>
          <w:sz w:val="18"/>
          <w:szCs w:val="18"/>
          <w:color w:val="auto"/>
        </w:rPr>
        <w:t>On August 16, 2021, we completed a public offering of our common stock and issued and sold 7,590,000 shares of common stock at a public offering price of $19.00 per share, resulting in net proceeds of $135.5 million after deducting underwriting discounts and commissions and offering expenses.</w:t>
      </w:r>
    </w:p>
    <w:p>
      <w:pPr>
        <w:spacing w:after="0" w:line="16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On May 9 2022, we entered into an equity distribution agreement with Piper Sandler &amp; Co., as sales agent, with respect to an at-the-market offering program pursuant to which we may offer and sell, from time to time in our sole discretion, shares of our common stock, par value $0.001 per share, having an aggregate offering price of up to $50.0 million through the sales agent. As of June 30, 2022, we have not issued or sold any shares of common stock under the at-the-market offering program.</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2022 and 2021:</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8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(49,472 )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8"/>
                <w:szCs w:val="18"/>
                <w:color w:val="auto"/>
              </w:rPr>
            </w:pP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51,054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4,741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0"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Net cash used in operating activities was $49.5 million during the six months ended June 30, 2022 compared to net cash used in operating activities of $34.0 million during the six months ended June 30, 2021. The increase in net cash used in operating activities of $15.5 million was primarily due to</w:t>
      </w:r>
    </w:p>
    <w:p>
      <w:pPr>
        <w:spacing w:after="0" w:line="1"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increased external research and development costs as we continue to advance our lead programs, increased employee compensation costs, and increased general and administrative costs to support the growth of our organization.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00" w:lineRule="exact"/>
        <w:rPr>
          <w:sz w:val="20"/>
          <w:szCs w:val="20"/>
          <w:color w:val="auto"/>
        </w:rPr>
      </w:pPr>
    </w:p>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was $51.1 million during the six months ended June 30, 2022 compared to net cash used in investing activities of $13.9 million during the six months ended June 30, 2021. The increase in net cash provided by investing</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2" w:right="419" w:bottom="1440" w:gutter="0" w:footer="0" w:header="0"/>
        </w:sectPr>
      </w:pPr>
    </w:p>
    <w:bookmarkStart w:id="37" w:name="page38"/>
    <w:bookmarkEnd w:id="37"/>
    <w:p>
      <w:pPr>
        <w:ind w:right="480"/>
        <w:spacing w:after="0" w:line="250" w:lineRule="auto"/>
        <w:rPr>
          <w:sz w:val="20"/>
          <w:szCs w:val="20"/>
          <w:color w:val="auto"/>
        </w:rPr>
      </w:pPr>
      <w:r>
        <w:rPr>
          <w:rFonts w:ascii="Times New Roman" w:cs="Times New Roman" w:eastAsia="Times New Roman" w:hAnsi="Times New Roman"/>
          <w:sz w:val="18"/>
          <w:szCs w:val="18"/>
          <w:color w:val="auto"/>
        </w:rPr>
        <w:t>activities of $65.0 million was primarily due to net maturities of marketable securities during the six months ended June 30, 2022, as compared to net purchases of marketable securities during the six months ended June 30, 2021.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14"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$3.2 million during the six months ended June 30, 2022 compared to net cash provided by financing activities of $47.7 million during the six months ended June 30, 2021. Net cash provided by financing activities during the six months ended June 30, 2022 consisted of net proceeds of approximately $3.2 million from the issuance of common stock under our benefit plans. Net cash provided by financing activities during the six months ended June 30, 2021 primarily consisted of net proceeds of approximately $47.4 million from the completion of the public offering of our common stock in January 2021.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7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including successful implementation of the operational realignment, we believe that our existing cash, cash equivalents, and marketable securities as of June 30, 2022, will enable us to fund our operating expenses and capital expenditure requirements into mid-2024. However, we have based this estimate on assumptions that may prove to be wrong and we could exhaust our capital resources sooner than we expect.</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losmapimod and FTX-6058;</w:t>
      </w:r>
    </w:p>
    <w:p>
      <w:pPr>
        <w:spacing w:after="0" w:line="103"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realize the anticipated operating cost savings and operating efficiencies that we anticipate from our strategic reorganization;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0" w:lineRule="exact"/>
        <w:rPr>
          <w:rFonts w:ascii="Times New Roman" w:cs="Times New Roman" w:eastAsia="Times New Roman" w:hAnsi="Times New Roman"/>
          <w:sz w:val="18"/>
          <w:szCs w:val="18"/>
          <w:color w:val="auto"/>
        </w:rPr>
      </w:pPr>
    </w:p>
    <w:p>
      <w:pPr>
        <w:ind w:left="900" w:right="300" w:hanging="383"/>
        <w:spacing w:after="0" w:line="250"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w:t>
      </w:r>
    </w:p>
    <w:p>
      <w:pPr>
        <w:spacing w:after="0" w:line="90" w:lineRule="exact"/>
        <w:rPr>
          <w:rFonts w:ascii="Times New Roman" w:cs="Times New Roman" w:eastAsia="Times New Roman" w:hAnsi="Times New Roman"/>
          <w:sz w:val="18"/>
          <w:szCs w:val="18"/>
          <w:color w:val="auto"/>
        </w:rPr>
      </w:pPr>
    </w:p>
    <w:p>
      <w:pPr>
        <w:ind w:left="900" w:right="660" w:hanging="383"/>
        <w:spacing w:after="0" w:line="237"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0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900" w:right="82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8" w:name="page39"/>
    <w:bookmarkEnd w:id="38"/>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June 30, 2022, there were no material changes to our critical accounting policies from those described in our Annual Report on Form 10-K filed with the SEC on March 3, 2022.</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1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16"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jc w:val="both"/>
        <w:ind w:right="280" w:firstLine="509"/>
        <w:spacing w:after="0" w:line="25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1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32"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$80.8 million for the year ended December 31, 2021 and $60.0 million for the six months ended June 30, 2022. As of June 30, 2022, we had an accumulated deficit of $362.5 million. To date, we have funded our operations primarily from the sale of shares of our common stock in public offerings, a private placement, and in “at-the-market” offerings, and through issuances of convertible preferred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0"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FTX-6058;</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 such as the Phase 3 clinical trial of losmapimod for the treatment of FSHD;</w:t>
      </w:r>
    </w:p>
    <w:p>
      <w:pPr>
        <w:spacing w:after="0" w:line="10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17"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41" w:name="page42"/>
    <w:bookmarkEnd w:id="41"/>
    <w:p>
      <w:pPr>
        <w:ind w:right="180" w:firstLine="509"/>
        <w:spacing w:after="0" w:line="23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0" w:lineRule="exact"/>
        <w:rPr>
          <w:sz w:val="20"/>
          <w:szCs w:val="20"/>
          <w:color w:val="auto"/>
        </w:rPr>
      </w:pPr>
    </w:p>
    <w:p>
      <w:pPr>
        <w:ind w:left="900" w:right="640" w:hanging="383"/>
        <w:spacing w:after="0" w:line="250"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completing our clinical trials or the development of any of our product candidates; or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198"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7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0" w:lineRule="exact"/>
        <w:rPr>
          <w:sz w:val="20"/>
          <w:szCs w:val="20"/>
          <w:color w:val="auto"/>
        </w:rPr>
      </w:pPr>
    </w:p>
    <w:p>
      <w:pPr>
        <w:ind w:right="180" w:firstLine="509"/>
        <w:spacing w:after="0" w:line="236" w:lineRule="auto"/>
        <w:rPr>
          <w:sz w:val="20"/>
          <w:szCs w:val="20"/>
          <w:color w:val="auto"/>
        </w:rPr>
      </w:pPr>
      <w:r>
        <w:rPr>
          <w:rFonts w:ascii="Times New Roman" w:cs="Times New Roman" w:eastAsia="Times New Roman" w:hAnsi="Times New Roman"/>
          <w:sz w:val="17"/>
          <w:szCs w:val="17"/>
          <w:color w:val="auto"/>
        </w:rPr>
        <w:t>We expect to devote substantial financial resources to our ongoing and planned activities, particularly as we continue our ongoing and planned clinical trials of losmapimod and FTX-6058, continue research and development and initiate additional clinical trials of, and seek regulatory approval for,</w:t>
      </w:r>
    </w:p>
    <w:p>
      <w:pPr>
        <w:spacing w:after="0" w:line="208" w:lineRule="auto"/>
        <w:rPr>
          <w:sz w:val="20"/>
          <w:szCs w:val="20"/>
          <w:color w:val="auto"/>
        </w:rPr>
      </w:pPr>
      <w:r>
        <w:rPr>
          <w:rFonts w:ascii="Times New Roman" w:cs="Times New Roman" w:eastAsia="Times New Roman" w:hAnsi="Times New Roman"/>
          <w:sz w:val="18"/>
          <w:szCs w:val="18"/>
          <w:color w:val="auto"/>
        </w:rPr>
        <w:t>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w:t>
      </w:r>
    </w:p>
    <w:p>
      <w:pPr>
        <w:spacing w:after="0" w:line="2" w:lineRule="exact"/>
        <w:rPr>
          <w:sz w:val="20"/>
          <w:szCs w:val="20"/>
          <w:color w:val="auto"/>
        </w:rPr>
      </w:pPr>
    </w:p>
    <w:p>
      <w:pPr>
        <w:ind w:right="260"/>
        <w:spacing w:after="0" w:line="211" w:lineRule="auto"/>
        <w:rPr>
          <w:sz w:val="20"/>
          <w:szCs w:val="20"/>
          <w:color w:val="auto"/>
        </w:rPr>
      </w:pPr>
      <w:r>
        <w:rPr>
          <w:rFonts w:ascii="Times New Roman" w:cs="Times New Roman" w:eastAsia="Times New Roman" w:hAnsi="Times New Roman"/>
          <w:sz w:val="18"/>
          <w:szCs w:val="18"/>
          <w:color w:val="auto"/>
        </w:rPr>
        <w:t>operating as a public company. Accordingly, we will need to obtain substantial additional funding in connection with our continuing operations. Given current uncertainty in the capital markets and other factors, such funding may not be available on terms favorable to us or at all. If we are unable to raise</w:t>
      </w:r>
    </w:p>
    <w:p>
      <w:pPr>
        <w:spacing w:after="0" w:line="1" w:lineRule="exact"/>
        <w:rPr>
          <w:sz w:val="20"/>
          <w:szCs w:val="20"/>
          <w:color w:val="auto"/>
        </w:rPr>
      </w:pPr>
    </w:p>
    <w:p>
      <w:pPr>
        <w:ind w:right="640"/>
        <w:spacing w:after="0" w:line="226" w:lineRule="auto"/>
        <w:rPr>
          <w:sz w:val="20"/>
          <w:szCs w:val="20"/>
          <w:color w:val="auto"/>
        </w:rPr>
      </w:pPr>
      <w:r>
        <w:rPr>
          <w:rFonts w:ascii="Times New Roman" w:cs="Times New Roman" w:eastAsia="Times New Roman" w:hAnsi="Times New Roman"/>
          <w:sz w:val="18"/>
          <w:szCs w:val="18"/>
          <w:color w:val="auto"/>
        </w:rPr>
        <w:t>capital when needed or on acceptable terms, we could be forced to delay, reduce or eliminate our research and development programs or any future commercialization efforts.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77" w:lineRule="exact"/>
        <w:rPr>
          <w:sz w:val="20"/>
          <w:szCs w:val="20"/>
          <w:color w:val="auto"/>
        </w:rPr>
      </w:pPr>
    </w:p>
    <w:p>
      <w:pPr>
        <w:ind w:left="900" w:right="420" w:hanging="383"/>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trials of losmapimod and FTX-6058, including REACH, the Phase 3 clinical trial of losmapimod for the treatment of FSHD, which enrolled its first patient in June 2022;</w:t>
      </w:r>
    </w:p>
    <w:p>
      <w:pPr>
        <w:spacing w:after="0" w:line="41" w:lineRule="exact"/>
        <w:rPr>
          <w:rFonts w:ascii="Times New Roman" w:cs="Times New Roman" w:eastAsia="Times New Roman" w:hAnsi="Times New Roman"/>
          <w:sz w:val="18"/>
          <w:szCs w:val="18"/>
          <w:color w:val="auto"/>
        </w:rPr>
      </w:pPr>
    </w:p>
    <w:p>
      <w:pPr>
        <w:ind w:left="900" w:right="800" w:hanging="383"/>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 such as our planned Phase 1b clinical trial of FTX-6058 in select hemoglobinopathies, including ß-thalassemia, and plans for the Phase 3 clinical trial of losmapimod for the treatment of FSHD;</w:t>
      </w:r>
    </w:p>
    <w:p>
      <w:pPr>
        <w:spacing w:after="0" w:line="41" w:lineRule="exact"/>
        <w:rPr>
          <w:rFonts w:ascii="Times New Roman" w:cs="Times New Roman" w:eastAsia="Times New Roman" w:hAnsi="Times New Roman"/>
          <w:sz w:val="18"/>
          <w:szCs w:val="18"/>
          <w:color w:val="auto"/>
        </w:rPr>
      </w:pPr>
    </w:p>
    <w:p>
      <w:pPr>
        <w:ind w:left="900" w:right="560" w:hanging="383"/>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76" w:lineRule="exact"/>
        <w:rPr>
          <w:rFonts w:ascii="Times New Roman" w:cs="Times New Roman" w:eastAsia="Times New Roman" w:hAnsi="Times New Roman"/>
          <w:sz w:val="18"/>
          <w:szCs w:val="18"/>
          <w:color w:val="auto"/>
        </w:rPr>
      </w:pPr>
    </w:p>
    <w:p>
      <w:pPr>
        <w:ind w:left="900" w:right="240" w:hanging="383"/>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or API, and manufacture of our product candidates and the terms of such arrangements;</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w:t>
      </w:r>
    </w:p>
    <w:p>
      <w:pPr>
        <w:spacing w:after="0" w:line="90" w:lineRule="exact"/>
        <w:rPr>
          <w:rFonts w:ascii="Times New Roman" w:cs="Times New Roman" w:eastAsia="Times New Roman" w:hAnsi="Times New Roman"/>
          <w:sz w:val="18"/>
          <w:szCs w:val="18"/>
          <w:color w:val="auto"/>
        </w:rPr>
      </w:pPr>
    </w:p>
    <w:p>
      <w:pPr>
        <w:ind w:left="900" w:right="660" w:hanging="383"/>
        <w:spacing w:after="0" w:line="237"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76" w:lineRule="exact"/>
        <w:rPr>
          <w:rFonts w:ascii="Times New Roman" w:cs="Times New Roman" w:eastAsia="Times New Roman" w:hAnsi="Times New Roman"/>
          <w:sz w:val="18"/>
          <w:szCs w:val="18"/>
          <w:color w:val="auto"/>
        </w:rPr>
      </w:pPr>
    </w:p>
    <w:p>
      <w:pPr>
        <w:ind w:left="900" w:right="160" w:hanging="383"/>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2" w:name="page43"/>
    <w:bookmarkEnd w:id="42"/>
    <w:p>
      <w:pPr>
        <w:ind w:left="900" w:right="780" w:hanging="383"/>
        <w:spacing w:after="0" w:line="25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41"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12"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we had cash, cash equivalents, and marketable securities of approximately $169.0 million. We believe that our cash, cash equivalents, and marketable securities as of June 30, 2022 will enable us to fund our operating expenses and capital expenditure requirements into mid-2024.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77"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current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 We may also choose to further realign our operations to achieve additional operational efficiencies beyond our recently announced strategic realignment.</w:t>
      </w:r>
    </w:p>
    <w:p>
      <w:pPr>
        <w:spacing w:after="0" w:line="29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45"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0"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7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 May 2022, we established a new ATM offering program to sell shares of our common stock having an aggregate offering price of up to $50.0 million from time to time. As of the end of the quarter, our stock price had declined by 72% in 2022, and it may continue to decline or remain at these prices during the remainder of 2022. Given the decrease in the market prices of our common stock and overall volatility in the capital markets, we may not be willing or able to continue to raise equity capital through our ATM program. We may, therefore, need to turn to other sources of funding that may have terms that are not favorable to us, or reduce our business operations given capital constraints.</w:t>
      </w:r>
    </w:p>
    <w:p>
      <w:pPr>
        <w:spacing w:after="0" w:line="19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43" w:name="page44"/>
    <w:bookmarkEnd w:id="43"/>
    <w:p>
      <w:pPr>
        <w:ind w:right="140"/>
        <w:spacing w:after="0" w:line="250" w:lineRule="auto"/>
        <w:rPr>
          <w:sz w:val="20"/>
          <w:szCs w:val="20"/>
          <w:color w:val="auto"/>
        </w:rPr>
      </w:pPr>
      <w:r>
        <w:rPr>
          <w:rFonts w:ascii="Times New Roman" w:cs="Times New Roman" w:eastAsia="Times New Roman" w:hAnsi="Times New Roman"/>
          <w:sz w:val="18"/>
          <w:szCs w:val="18"/>
          <w:color w:val="auto"/>
        </w:rPr>
        <w:t>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spacing w:after="0" w:line="19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stockholders to evaluate the success of our business to date and to assess our future viability.</w:t>
      </w:r>
    </w:p>
    <w:p>
      <w:pPr>
        <w:spacing w:after="0" w:line="21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commenced activities in 2015 and are an early-stage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conducting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95"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9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4"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68"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In light of the COVID-19 pandemic, we and our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pandemic.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response to the COVID-19 pandemic, the clinical trial sites for our ReDUX4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pandemic. In addition, since the beginning of the COVID-19 pandemic, several vaccines for COVID-19 have received Emergency Use Authorization by the FDA and a number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further delays in these trials. The response to the ongoing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recommended safety measures intended to limit in-person interactions.</w:t>
      </w:r>
    </w:p>
    <w:p>
      <w:pPr>
        <w:spacing w:after="0" w:line="7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Additionally, the impact of the ongoing COVID-19 pandemic in Massachusetts resulted in a temporary reduction in workforce presence at our Cambridge research facility. While we increased workforce presence at our facilities starting in the second quarter 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ind w:right="40"/>
        <w:spacing w:after="0" w:line="245" w:lineRule="auto"/>
        <w:rPr>
          <w:sz w:val="20"/>
          <w:szCs w:val="20"/>
          <w:color w:val="auto"/>
        </w:rPr>
      </w:pPr>
      <w:r>
        <w:rPr>
          <w:rFonts w:ascii="Times New Roman" w:cs="Times New Roman" w:eastAsia="Times New Roman" w:hAnsi="Times New Roman"/>
          <w:sz w:val="18"/>
          <w:szCs w:val="18"/>
          <w:color w:val="auto"/>
        </w:rPr>
        <w:t>2020, not all employees have returned to our facility and we cannot be certain that we will not be required to close our facilities in the future as a result of the ongoing COVID-19 pandemic.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 negative impact that the ongoing pandemic has on the ability of our CROs to deliver data sets and execute on experimentation could cause substantial delays for our discovery activities and materially impact our ability to fuel our pipeline with new product candidates.</w:t>
      </w:r>
    </w:p>
    <w:p>
      <w:pPr>
        <w:spacing w:after="0" w:line="8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ongoing COVID-19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continue to significantly impact economies worldwide, which could result in adverse effects on our business and operations. We cannot be certain what the overall impact of the ongoing COVID-19 pandemic will be on our business. The extent of the impact of COVID-19 on our business, financial condition, results of operations and prospects will depend on future developments that are highly uncertain, including as a result of new information that may emerge concerning COVID-19 or any variant strains of the virus and actions to be taken to contain or mitigate the impact of COVID-19, including the supply, distribution and effectiveness of vaccines.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02"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70"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7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As of December 31, 2021, we had federal and state net operating loss carryforwards of $245.8 million and $244.0 million, respectively, which begin to expire in 2035. Approximately $214.8 million of the federal net operating losses can be carried forward indefinitely. As of December 31, 2021, we also had federal orphan drug credits of $6.7 million, which begin to expire in 2040. As of December 31, 2021, we also had federal and state research and development tax credit carryforwards of $6.1 million and $3.3 million, respectively, which begin to expire in 2035 and 2030, respectively. These net operating loss and tax credit carryforwards could expire unused and be unavailable to offset future income tax liabilities.</w:t>
      </w:r>
    </w:p>
    <w:p>
      <w:pPr>
        <w:spacing w:after="0" w:line="73"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9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90"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50"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7"/>
          <w:szCs w:val="17"/>
          <w:color w:val="auto"/>
        </w:rPr>
        <w:t>We are early in our development efforts, and we have advanced only two product candidates into clinical trials, losmapimod for the treatment of FSHD, and FTX-6058 for the treatment of SCD and select hemoglobinopathies. We have invested substantially all of our efforts and financial resources in</w:t>
      </w:r>
    </w:p>
    <w:p>
      <w:pPr>
        <w:ind w:right="120"/>
        <w:spacing w:after="0" w:line="226" w:lineRule="auto"/>
        <w:rPr>
          <w:sz w:val="20"/>
          <w:szCs w:val="20"/>
          <w:color w:val="auto"/>
        </w:rPr>
      </w:pPr>
      <w:r>
        <w:rPr>
          <w:rFonts w:ascii="Times New Roman" w:cs="Times New Roman" w:eastAsia="Times New Roman" w:hAnsi="Times New Roman"/>
          <w:sz w:val="18"/>
          <w:szCs w:val="18"/>
          <w:color w:val="auto"/>
        </w:rPr>
        <w:t>our proprietary product engine to identify and validate cellular drug targets that can potentially modulate gene expression to address the root cause of genetically-defined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51"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90" w:lineRule="exact"/>
        <w:rPr>
          <w:rFonts w:ascii="Times New Roman" w:cs="Times New Roman" w:eastAsia="Times New Roman" w:hAnsi="Times New Roman"/>
          <w:sz w:val="18"/>
          <w:szCs w:val="18"/>
          <w:color w:val="auto"/>
        </w:rPr>
      </w:pPr>
    </w:p>
    <w:p>
      <w:pPr>
        <w:ind w:left="900" w:hanging="383"/>
        <w:spacing w:after="0" w:line="250"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 for losmapimod, FTX-6058 and future product candidates;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to develop our product candidates;</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 for our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90" w:lineRule="exact"/>
        <w:rPr>
          <w:rFonts w:ascii="Times New Roman" w:cs="Times New Roman" w:eastAsia="Times New Roman" w:hAnsi="Times New Roman"/>
          <w:sz w:val="18"/>
          <w:szCs w:val="18"/>
          <w:color w:val="auto"/>
        </w:rPr>
      </w:pPr>
    </w:p>
    <w:p>
      <w:pPr>
        <w:ind w:left="900" w:right="100" w:hanging="383"/>
        <w:spacing w:after="0" w:line="250"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the products, if and when approved, whether alone or in collaboration with others;</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receipt of any regulatory approvals.</w:t>
      </w:r>
    </w:p>
    <w:p>
      <w:pPr>
        <w:spacing w:after="0" w:line="19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product engine to build a pipeline of product candidates.</w:t>
      </w:r>
    </w:p>
    <w:p>
      <w:pPr>
        <w:spacing w:after="0" w:line="81" w:lineRule="exact"/>
        <w:rPr>
          <w:sz w:val="20"/>
          <w:szCs w:val="20"/>
          <w:color w:val="auto"/>
        </w:rPr>
      </w:pPr>
    </w:p>
    <w:p>
      <w:pPr>
        <w:ind w:right="80" w:firstLine="509"/>
        <w:spacing w:after="0" w:line="238" w:lineRule="auto"/>
        <w:rPr>
          <w:sz w:val="20"/>
          <w:szCs w:val="20"/>
          <w:color w:val="auto"/>
        </w:rPr>
      </w:pPr>
      <w:r>
        <w:rPr>
          <w:rFonts w:ascii="Times New Roman" w:cs="Times New Roman" w:eastAsia="Times New Roman" w:hAnsi="Times New Roman"/>
          <w:sz w:val="17"/>
          <w:szCs w:val="17"/>
          <w:color w:val="auto"/>
        </w:rPr>
        <w:t>A key element of our strategy is to use our proprietary product engine to identify and validate cellular drug targets that can potentially modulate gene expression to address the root cause of genetically-defined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w:t>
      </w:r>
    </w:p>
    <w:p>
      <w:pPr>
        <w:spacing w:after="0" w:line="1" w:lineRule="exact"/>
        <w:rPr>
          <w:sz w:val="20"/>
          <w:szCs w:val="20"/>
          <w:color w:val="auto"/>
        </w:rPr>
      </w:pPr>
    </w:p>
    <w:p>
      <w:pPr>
        <w:ind w:right="380"/>
        <w:spacing w:after="0" w:line="211" w:lineRule="auto"/>
        <w:rPr>
          <w:sz w:val="20"/>
          <w:szCs w:val="20"/>
          <w:color w:val="auto"/>
        </w:rPr>
      </w:pPr>
      <w:r>
        <w:rPr>
          <w:rFonts w:ascii="Times New Roman" w:cs="Times New Roman" w:eastAsia="Times New Roman" w:hAnsi="Times New Roman"/>
          <w:sz w:val="18"/>
          <w:szCs w:val="18"/>
          <w:color w:val="auto"/>
        </w:rPr>
        <w:t>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w:t>
      </w:r>
    </w:p>
    <w:p>
      <w:pPr>
        <w:spacing w:after="0" w:line="1"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8"/>
          <w:szCs w:val="18"/>
          <w:color w:val="auto"/>
        </w:rPr>
        <w:t>stockholders any assurance that we will be able to successfully identify additional product candidates with our product engine, including as a result of our collaboration with MyoKardia, advance any additional product candidates through the development process or successfully commercialize any such</w:t>
      </w:r>
    </w:p>
    <w:p>
      <w:pPr>
        <w:ind w:right="80"/>
        <w:spacing w:after="0" w:line="223" w:lineRule="auto"/>
        <w:rPr>
          <w:sz w:val="20"/>
          <w:szCs w:val="20"/>
          <w:color w:val="auto"/>
        </w:rPr>
      </w:pPr>
      <w:r>
        <w:rPr>
          <w:rFonts w:ascii="Times New Roman" w:cs="Times New Roman" w:eastAsia="Times New Roman" w:hAnsi="Times New Roman"/>
          <w:sz w:val="17"/>
          <w:szCs w:val="17"/>
          <w:color w:val="auto"/>
        </w:rPr>
        <w:t>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w:t>
      </w:r>
    </w:p>
    <w:p>
      <w:pPr>
        <w:spacing w:after="0" w:line="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7"/>
          <w:szCs w:val="17"/>
          <w:color w:val="auto"/>
        </w:rPr>
        <w:t>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46" w:name="page47"/>
    <w:bookmarkEnd w:id="46"/>
    <w:p>
      <w:pPr>
        <w:ind w:right="4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7" w:lineRule="exact"/>
        <w:rPr>
          <w:sz w:val="20"/>
          <w:szCs w:val="20"/>
          <w:color w:val="auto"/>
        </w:rPr>
      </w:pPr>
    </w:p>
    <w:p>
      <w:pPr>
        <w:jc w:val="both"/>
        <w:ind w:right="220" w:firstLine="509"/>
        <w:spacing w:after="0" w:line="244" w:lineRule="auto"/>
        <w:rPr>
          <w:sz w:val="20"/>
          <w:szCs w:val="20"/>
          <w:color w:val="auto"/>
        </w:rPr>
      </w:pPr>
      <w:r>
        <w:rPr>
          <w:rFonts w:ascii="Times New Roman" w:cs="Times New Roman" w:eastAsia="Times New Roman" w:hAnsi="Times New Roman"/>
          <w:sz w:val="18"/>
          <w:szCs w:val="18"/>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2"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18"/>
          <w:szCs w:val="18"/>
          <w:color w:val="auto"/>
        </w:rPr>
        <w:t>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77"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9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9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As described in Item 1 “Business—Licenses and Collaborations--Right of Reference and License Agreement with GlaxoSmithKline” in our Annual Report on Form 10-K for the year ended December 31, 2021, or the 2021 Annual Report,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1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ind w:left="900" w:right="20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4" w:lineRule="exact"/>
        <w:rPr>
          <w:rFonts w:ascii="Times New Roman" w:cs="Times New Roman" w:eastAsia="Times New Roman" w:hAnsi="Times New Roman"/>
          <w:sz w:val="18"/>
          <w:szCs w:val="18"/>
          <w:color w:val="auto"/>
        </w:rPr>
      </w:pPr>
    </w:p>
    <w:p>
      <w:pPr>
        <w:ind w:left="900" w:right="78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67"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4"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47" w:name="page48"/>
    <w:bookmarkEnd w:id="47"/>
    <w:p>
      <w:pPr>
        <w:ind w:left="900" w:right="340" w:hanging="383"/>
        <w:spacing w:after="0" w:line="312"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8" w:lineRule="exact"/>
        <w:rPr>
          <w:rFonts w:ascii="Times New Roman" w:cs="Times New Roman" w:eastAsia="Times New Roman" w:hAnsi="Times New Roman"/>
          <w:sz w:val="17"/>
          <w:szCs w:val="17"/>
          <w:color w:val="auto"/>
        </w:rPr>
      </w:pPr>
    </w:p>
    <w:p>
      <w:pPr>
        <w:ind w:left="900" w:right="80" w:hanging="383"/>
        <w:spacing w:after="0" w:line="258"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1"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40" w:lineRule="exact"/>
        <w:rPr>
          <w:rFonts w:ascii="Times New Roman" w:cs="Times New Roman" w:eastAsia="Times New Roman" w:hAnsi="Times New Roman"/>
          <w:sz w:val="18"/>
          <w:szCs w:val="18"/>
          <w:color w:val="auto"/>
        </w:rPr>
      </w:pPr>
    </w:p>
    <w:p>
      <w:pPr>
        <w:ind w:left="900" w:right="380" w:hanging="383"/>
        <w:spacing w:after="0" w:line="279"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00" w:hanging="383"/>
        <w:spacing w:after="0" w:line="237"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90" w:lineRule="exact"/>
        <w:rPr>
          <w:rFonts w:ascii="Times New Roman" w:cs="Times New Roman" w:eastAsia="Times New Roman" w:hAnsi="Times New Roman"/>
          <w:sz w:val="18"/>
          <w:szCs w:val="18"/>
          <w:color w:val="auto"/>
        </w:rPr>
      </w:pPr>
    </w:p>
    <w:p>
      <w:pPr>
        <w:ind w:left="900" w:right="640" w:hanging="383"/>
        <w:spacing w:after="0" w:line="25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41" w:lineRule="exact"/>
        <w:rPr>
          <w:rFonts w:ascii="Times New Roman" w:cs="Times New Roman" w:eastAsia="Times New Roman" w:hAnsi="Times New Roman"/>
          <w:sz w:val="18"/>
          <w:szCs w:val="18"/>
          <w:color w:val="auto"/>
        </w:rPr>
      </w:pPr>
    </w:p>
    <w:p>
      <w:pPr>
        <w:ind w:left="900" w:right="340" w:hanging="383"/>
        <w:spacing w:after="0" w:line="25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4" w:lineRule="exact"/>
        <w:rPr>
          <w:rFonts w:ascii="Times New Roman" w:cs="Times New Roman" w:eastAsia="Times New Roman" w:hAnsi="Times New Roman"/>
          <w:sz w:val="18"/>
          <w:szCs w:val="18"/>
          <w:color w:val="auto"/>
        </w:rPr>
      </w:pPr>
    </w:p>
    <w:p>
      <w:pPr>
        <w:ind w:left="900" w:right="100" w:hanging="383"/>
        <w:spacing w:after="0" w:line="23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instability from an outbreak of pandemic or contagious disease, such as the ongoing COVID-19 pandemic, in or around the countries in which we conduct our clinical trials, could delay the commencement or rate of completion of our clinical trials; and</w:t>
      </w:r>
    </w:p>
    <w:p>
      <w:pPr>
        <w:spacing w:after="0" w:line="50" w:lineRule="exact"/>
        <w:rPr>
          <w:rFonts w:ascii="Times New Roman" w:cs="Times New Roman" w:eastAsia="Times New Roman" w:hAnsi="Times New Roman"/>
          <w:sz w:val="18"/>
          <w:szCs w:val="18"/>
          <w:color w:val="auto"/>
        </w:rPr>
      </w:pPr>
    </w:p>
    <w:p>
      <w:pPr>
        <w:ind w:left="900" w:right="400" w:hanging="383"/>
        <w:spacing w:after="0" w:line="25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68" w:lineRule="exact"/>
        <w:rPr>
          <w:sz w:val="20"/>
          <w:szCs w:val="20"/>
          <w:color w:val="auto"/>
        </w:rPr>
      </w:pPr>
    </w:p>
    <w:p>
      <w:pPr>
        <w:jc w:val="both"/>
        <w:ind w:right="400" w:firstLine="509"/>
        <w:spacing w:after="0" w:line="250" w:lineRule="auto"/>
        <w:rPr>
          <w:sz w:val="20"/>
          <w:szCs w:val="20"/>
          <w:color w:val="auto"/>
        </w:rPr>
      </w:pPr>
      <w:r>
        <w:rPr>
          <w:rFonts w:ascii="Times New Roman" w:cs="Times New Roman" w:eastAsia="Times New Roman" w:hAnsi="Times New Roman"/>
          <w:sz w:val="18"/>
          <w:szCs w:val="18"/>
          <w:color w:val="auto"/>
        </w:rPr>
        <w:t>For example, in response to the ongoing COVID-19 pandemic, the clinical trial sites for our ReDUX4 trial temporarily postponed trial-related activities, impacting our clinical trial execution plans, and we cannot be certain that we will not face other postponements or similar difficulties in the future.</w:t>
      </w:r>
    </w:p>
    <w:p>
      <w:pPr>
        <w:spacing w:after="0" w:line="82"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9"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48" w:name="page49"/>
    <w:bookmarkEnd w:id="48"/>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w:t>
      </w:r>
    </w:p>
    <w:p>
      <w:pPr>
        <w:spacing w:after="0" w:line="2" w:lineRule="exact"/>
        <w:rPr>
          <w:sz w:val="20"/>
          <w:szCs w:val="20"/>
          <w:color w:val="auto"/>
        </w:rPr>
      </w:pPr>
    </w:p>
    <w:p>
      <w:pPr>
        <w:ind w:right="600"/>
        <w:spacing w:after="0" w:line="223" w:lineRule="auto"/>
        <w:rPr>
          <w:sz w:val="20"/>
          <w:szCs w:val="20"/>
          <w:color w:val="auto"/>
        </w:rPr>
      </w:pPr>
      <w:r>
        <w:rPr>
          <w:rFonts w:ascii="Times New Roman" w:cs="Times New Roman" w:eastAsia="Times New Roman" w:hAnsi="Times New Roman"/>
          <w:sz w:val="17"/>
          <w:szCs w:val="17"/>
          <w:color w:val="auto"/>
        </w:rPr>
        <w:t>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commercialize our product candidates and may harm our business and results of operations.</w:t>
      </w:r>
    </w:p>
    <w:p>
      <w:pPr>
        <w:spacing w:after="0" w:line="28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63"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reachable workspace, or RWS, which has not been proven for registration to our knowledge. The FDA and other regulatory authorities have indicated support for RWS as a primary endpoint with additional and appropriate supportive data from secondary endpoints. However, such regulatory authorities may not consider the endpoints of our clinical trial(s) to provide clinically meaningful results, even where we believe such results are clinically meaningful. For example, while we have met with regulators to discuss the design of our future clinical trial and registration strategy for losmapimod for FSHD, including our proposed endpoints for REACH, regulators may require additional data to support the RWS functional primary endpoint for approval of losmapimod for FSHD.</w:t>
      </w:r>
    </w:p>
    <w:p>
      <w:pPr>
        <w:spacing w:after="0" w:line="7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30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will require that we enroll a sufficient number of patients who remain in the trial until its conclusion. In our ongoing Phase 1b trial of FTX-6058, although we enrolled six subjects in the initial cohort, only three subjects remained evaluable as of the data cutoff date. If we are not able to develop protocols that subjects adhere to, or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w:t>
      </w:r>
    </w:p>
    <w:p>
      <w:pPr>
        <w:spacing w:after="0" w:line="3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04"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 such as muscle biopsies;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9" w:name="page50"/>
    <w:bookmarkEnd w:id="49"/>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0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6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3"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7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0" w:lineRule="exact"/>
        <w:rPr>
          <w:sz w:val="20"/>
          <w:szCs w:val="20"/>
          <w:color w:val="auto"/>
        </w:rPr>
      </w:pPr>
    </w:p>
    <w:p>
      <w:pPr>
        <w:ind w:right="320" w:firstLine="509"/>
        <w:spacing w:after="0" w:line="232"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66"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0" w:name="page51"/>
    <w:bookmarkEnd w:id="50"/>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sz w:val="20"/>
          <w:szCs w:val="20"/>
          <w:color w:val="auto"/>
        </w:rPr>
      </w:pPr>
    </w:p>
    <w:p>
      <w:pPr>
        <w:ind w:firstLine="509"/>
        <w:spacing w:after="0" w:line="227"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of losmapimod in patients with FSHD in Europe and Canada and currently plan to conduct additional clinical trials for our product candidates at sites outside the United States, and the FDA may not accept data from trials conducted in such locations.</w:t>
      </w:r>
    </w:p>
    <w:p>
      <w:pPr>
        <w:spacing w:after="0" w:line="50"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8"/>
          <w:szCs w:val="18"/>
          <w:color w:val="auto"/>
        </w:rPr>
        <w:t>We are currently conducting a Phase 3 clinical trial, an open label extension of our Phase 2b clinical trial, and an open label extension of our Phase 2 open label clinical trial of losmapimod in patients with FSHD in Europe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GCP,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0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0"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7"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1" w:name="page52"/>
    <w:bookmarkEnd w:id="51"/>
    <w:p>
      <w:pPr>
        <w:ind w:left="900" w:right="2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60" w:firstLine="509"/>
        <w:spacing w:after="0" w:line="241"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30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1"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04" w:lineRule="exact"/>
        <w:rPr>
          <w:sz w:val="20"/>
          <w:szCs w:val="20"/>
          <w:color w:val="auto"/>
        </w:rPr>
      </w:pPr>
    </w:p>
    <w:p>
      <w:pPr>
        <w:ind w:left="900" w:right="12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0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bluebird, Aruvant Sciences, Inc., Novo Nordisk A/S, Imara, Inc., Agios Pharmaceuticals, Inc., Forma Therapeutics Holdings, Inc., Global Blood Therapeutics, Inc., Takeda Pharmaceutical Company Limited, Pfizer, Inc., CSL Behring, Intellia Therapeutics, Inc., Editas Medicine, Inc., Sangamo Therapeutics Inc., or Sangamo (in collaboration with Bioverativ Inc.) and CRISPR Therapeutics AG (in collaboration with Vertex Pharmaceuticals, Inc.) are developing therapeutic approaches for patients with SCD. Acceleron (in collaboration with Celgene), Bellicum Pharmaceuticals, Inc., Silence Therapeutics plcImara Inc., Agios Pharmaceuticals, Inc., Forma Therapeutics Holdings, Inc., Ionis Pharmaceuticals, Inc., Orchard Therapeutics plc, Sangamo (in collaboration with Bioverativ, Inc.) and CRISPR Therapeutics AG (in collaboration with Vertex Pharmaceuticals, Inc.) are developing therapeutic approaches for patients with ß-thalassemia.</w:t>
      </w:r>
    </w:p>
    <w:p>
      <w:pPr>
        <w:spacing w:after="0" w:line="9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7" w:lineRule="exact"/>
        <w:rPr>
          <w:sz w:val="20"/>
          <w:szCs w:val="20"/>
          <w:color w:val="auto"/>
        </w:rPr>
      </w:pPr>
    </w:p>
    <w:p>
      <w:pPr>
        <w:ind w:right="420" w:firstLine="509"/>
        <w:spacing w:after="0" w:line="250"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8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7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7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0" w:right="379" w:bottom="1440" w:gutter="0" w:footer="0" w:header="0"/>
        </w:sectPr>
      </w:pPr>
    </w:p>
    <w:bookmarkStart w:id="53" w:name="page54"/>
    <w:bookmarkEnd w:id="53"/>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8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7" w:lineRule="exact"/>
        <w:rPr>
          <w:sz w:val="20"/>
          <w:szCs w:val="20"/>
          <w:color w:val="auto"/>
        </w:rPr>
      </w:pPr>
    </w:p>
    <w:p>
      <w:pPr>
        <w:ind w:right="120" w:firstLine="509"/>
        <w:spacing w:after="0" w:line="232"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64" w:lineRule="exact"/>
        <w:rPr>
          <w:sz w:val="20"/>
          <w:szCs w:val="20"/>
          <w:color w:val="auto"/>
        </w:rPr>
      </w:pPr>
    </w:p>
    <w:p>
      <w:pPr>
        <w:ind w:right="100" w:firstLine="509"/>
        <w:spacing w:after="0" w:line="226"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68" w:lineRule="exact"/>
        <w:rPr>
          <w:sz w:val="20"/>
          <w:szCs w:val="20"/>
          <w:color w:val="auto"/>
        </w:rPr>
      </w:pPr>
    </w:p>
    <w:p>
      <w:pPr>
        <w:ind w:right="60" w:firstLine="509"/>
        <w:spacing w:after="0" w:line="224"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5"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64"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30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5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losmapimod tablets from GSK to complete our ongoing Phase 2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planned Phase 3 registrational trial, we cannot be sure we have correctly estimated our drug product and API requirements or that such drug product or API will not expire before we want to use it. In addition, although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right="300"/>
        <w:spacing w:after="0" w:line="258" w:lineRule="auto"/>
        <w:rPr>
          <w:sz w:val="20"/>
          <w:szCs w:val="20"/>
          <w:color w:val="auto"/>
        </w:rPr>
      </w:pPr>
      <w:r>
        <w:rPr>
          <w:rFonts w:ascii="Times New Roman" w:cs="Times New Roman" w:eastAsia="Times New Roman" w:hAnsi="Times New Roman"/>
          <w:sz w:val="18"/>
          <w:szCs w:val="18"/>
          <w:color w:val="auto"/>
        </w:rPr>
        <w:t>believe we have obtained sufficient quantities of FTX-6058 from a CMO for the completion of our ongoing Phase 1 clinical trial, our ongoing Phase 1b clinical trial for SCD, and our planned Phase 1b trial in non-SCD hemoglobinopathies, including ß-thalassemia, we cannot be sure we have correctly estimated our drug product requirements, which could delay, prevent or impair our development efforts.</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9" w:lineRule="exact"/>
        <w:rPr>
          <w:sz w:val="20"/>
          <w:szCs w:val="20"/>
          <w:color w:val="auto"/>
        </w:rPr>
      </w:pPr>
    </w:p>
    <w:p>
      <w:pPr>
        <w:ind w:right="20" w:firstLine="509"/>
        <w:spacing w:after="0" w:line="296" w:lineRule="auto"/>
        <w:rPr>
          <w:sz w:val="20"/>
          <w:szCs w:val="20"/>
          <w:color w:val="auto"/>
        </w:rPr>
      </w:pPr>
      <w:r>
        <w:rPr>
          <w:rFonts w:ascii="Times New Roman" w:cs="Times New Roman" w:eastAsia="Times New Roman" w:hAnsi="Times New Roman"/>
          <w:sz w:val="17"/>
          <w:szCs w:val="17"/>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1"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83"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3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the section entitled “Business — Pharmaceutical Insurance Coverage and Health Care Reform” in the 2021 Annual Report.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5" w:name="page56"/>
    <w:bookmarkEnd w:id="55"/>
    <w:p>
      <w:pPr>
        <w:ind w:firstLine="509"/>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81"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04"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w:t>
      </w:r>
    </w:p>
    <w:p>
      <w:pPr>
        <w:spacing w:after="0" w:line="27"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70" w:lineRule="exact"/>
        <w:rPr>
          <w:sz w:val="20"/>
          <w:szCs w:val="20"/>
          <w:color w:val="auto"/>
        </w:rPr>
      </w:pPr>
    </w:p>
    <w:p>
      <w:pPr>
        <w:ind w:left="900" w:right="28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 (such as the Russian invasion of Ukraine);</w:t>
      </w:r>
    </w:p>
    <w:p>
      <w:pPr>
        <w:spacing w:after="0" w:line="54" w:lineRule="exact"/>
        <w:rPr>
          <w:rFonts w:ascii="Times New Roman" w:cs="Times New Roman" w:eastAsia="Times New Roman" w:hAnsi="Times New Roman"/>
          <w:sz w:val="18"/>
          <w:szCs w:val="18"/>
          <w:color w:val="auto"/>
        </w:rPr>
      </w:pPr>
    </w:p>
    <w:p>
      <w:pPr>
        <w:ind w:left="900" w:right="100" w:hanging="383"/>
        <w:spacing w:after="0" w:line="250"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68"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6" w:name="page57"/>
    <w:bookmarkEnd w:id="56"/>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02"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0"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80"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98" w:lineRule="exact"/>
        <w:rPr>
          <w:sz w:val="20"/>
          <w:szCs w:val="20"/>
          <w:color w:val="auto"/>
        </w:rPr>
      </w:pPr>
    </w:p>
    <w:p>
      <w:pPr>
        <w:ind w:right="140" w:firstLine="509"/>
        <w:spacing w:after="0" w:line="238"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ongoing clinical trials of losmapimod and FTX-6058.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7" w:name="page58"/>
    <w:bookmarkEnd w:id="57"/>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4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7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0"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We have a collaboration and license agreement with MyoKardia (for certain genetically defined cardiomyopathies). See “Business—License Agreements and Collaborations” in the 2021 Annual Report.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 MyoKardia,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9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03" w:lineRule="exact"/>
        <w:rPr>
          <w:rFonts w:ascii="Times New Roman" w:cs="Times New Roman" w:eastAsia="Times New Roman" w:hAnsi="Times New Roman"/>
          <w:sz w:val="18"/>
          <w:szCs w:val="18"/>
          <w:color w:val="auto"/>
        </w:rPr>
      </w:pPr>
    </w:p>
    <w:p>
      <w:pPr>
        <w:ind w:left="900" w:right="280" w:hanging="383"/>
        <w:spacing w:after="0" w:line="258"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1"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1" w:lineRule="exact"/>
        <w:rPr>
          <w:rFonts w:ascii="Times New Roman" w:cs="Times New Roman" w:eastAsia="Times New Roman" w:hAnsi="Times New Roman"/>
          <w:sz w:val="18"/>
          <w:szCs w:val="18"/>
          <w:color w:val="auto"/>
        </w:rPr>
      </w:pPr>
    </w:p>
    <w:p>
      <w:pPr>
        <w:ind w:left="900" w:right="600" w:hanging="383"/>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900" w:right="160" w:hanging="383"/>
        <w:spacing w:after="0" w:line="250"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82" w:lineRule="exact"/>
        <w:rPr>
          <w:rFonts w:ascii="Times New Roman" w:cs="Times New Roman" w:eastAsia="Times New Roman" w:hAnsi="Times New Roman"/>
          <w:sz w:val="18"/>
          <w:szCs w:val="18"/>
          <w:color w:val="auto"/>
        </w:rPr>
      </w:pPr>
    </w:p>
    <w:p>
      <w:pPr>
        <w:ind w:left="900" w:right="560" w:hanging="383"/>
        <w:spacing w:after="0" w:line="250"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82"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4"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8" w:name="page59"/>
    <w:bookmarkEnd w:id="58"/>
    <w:p>
      <w:pPr>
        <w:ind w:left="90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40" w:lineRule="exact"/>
        <w:rPr>
          <w:rFonts w:ascii="Times New Roman" w:cs="Times New Roman" w:eastAsia="Times New Roman" w:hAnsi="Times New Roman"/>
          <w:sz w:val="18"/>
          <w:szCs w:val="18"/>
          <w:color w:val="auto"/>
        </w:rPr>
      </w:pPr>
    </w:p>
    <w:p>
      <w:pPr>
        <w:ind w:left="900" w:right="60" w:hanging="383"/>
        <w:spacing w:after="0" w:line="250"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9"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03"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40"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termination of our collaboration with Acceleron following its acquisition by Merck), and, if terminated, we could be required to raise additional capital to pursue further development or commercialization of the applicable product candidates.</w:t>
      </w:r>
    </w:p>
    <w:p>
      <w:pPr>
        <w:spacing w:after="0" w:line="6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w:t>
      </w:r>
    </w:p>
    <w:p>
      <w:pPr>
        <w:spacing w:after="0" w:line="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9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7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For example,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89"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and we had restrictions under our collaboration with Acceleron.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9" w:name="page60"/>
    <w:bookmarkEnd w:id="59"/>
    <w:p>
      <w:pPr>
        <w:ind w:right="40"/>
        <w:spacing w:after="0" w:line="282" w:lineRule="auto"/>
        <w:rPr>
          <w:sz w:val="20"/>
          <w:szCs w:val="20"/>
          <w:color w:val="auto"/>
        </w:rPr>
      </w:pPr>
      <w:r>
        <w:rPr>
          <w:rFonts w:ascii="Times New Roman" w:cs="Times New Roman" w:eastAsia="Times New Roman" w:hAnsi="Times New Roman"/>
          <w:sz w:val="18"/>
          <w:szCs w:val="18"/>
          <w:color w:val="auto"/>
        </w:rPr>
        <w:t>cardiomyopathies shown to be related to certain specified genes of interest that are modulated by the targets chosen by MyoKardia under our collaboration, in each case , while we are performing the research activities pursuant to the research plan and for a specified period thereafter.</w:t>
      </w:r>
    </w:p>
    <w:p>
      <w:pPr>
        <w:spacing w:after="0" w:line="40" w:lineRule="exact"/>
        <w:rPr>
          <w:sz w:val="20"/>
          <w:szCs w:val="20"/>
          <w:color w:val="auto"/>
        </w:rPr>
      </w:pPr>
    </w:p>
    <w:p>
      <w:pPr>
        <w:ind w:right="320" w:firstLine="509"/>
        <w:spacing w:after="0" w:line="296"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44"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72"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2021 Annual Report.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0" w:name="page61"/>
    <w:bookmarkEnd w:id="60"/>
    <w:p>
      <w:pPr>
        <w:ind w:right="80" w:firstLine="509"/>
        <w:spacing w:after="0" w:line="258" w:lineRule="auto"/>
        <w:rPr>
          <w:sz w:val="20"/>
          <w:szCs w:val="20"/>
          <w:color w:val="auto"/>
        </w:rPr>
      </w:pPr>
      <w:r>
        <w:rPr>
          <w:rFonts w:ascii="Times New Roman" w:cs="Times New Roman" w:eastAsia="Times New Roman" w:hAnsi="Times New Roman"/>
          <w:sz w:val="17"/>
          <w:szCs w:val="17"/>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86"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94"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As soon as the patents covering the composition of matter expire on February 10, 2023, or are no longer in-force, the GSK-licensed patents will no longer be a barrier to entry for any new uses not covered by our other patents and patent applications.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95"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1" w:name="page62"/>
    <w:bookmarkEnd w:id="61"/>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70"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202"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90"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“Business—Intellectual Property” in the 2021 Annual Report for additional information regarding patent laws and patent protection.</w:t>
      </w:r>
    </w:p>
    <w:p>
      <w:pPr>
        <w:spacing w:after="0" w:line="272"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0"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64" w:lineRule="exact"/>
        <w:rPr>
          <w:sz w:val="20"/>
          <w:szCs w:val="20"/>
          <w:color w:val="auto"/>
        </w:rPr>
      </w:pPr>
    </w:p>
    <w:p>
      <w:pPr>
        <w:ind w:right="40" w:firstLine="509"/>
        <w:spacing w:after="0" w:line="229"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w:t>
      </w:r>
    </w:p>
    <w:p>
      <w:pPr>
        <w:spacing w:after="0" w:line="1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72"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88" w:lineRule="exact"/>
        <w:rPr>
          <w:sz w:val="20"/>
          <w:szCs w:val="20"/>
          <w:color w:val="auto"/>
        </w:rPr>
      </w:pPr>
    </w:p>
    <w:p>
      <w:pPr>
        <w:ind w:right="120" w:firstLine="509"/>
        <w:spacing w:after="0" w:line="23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0" w:lineRule="exact"/>
        <w:rPr>
          <w:sz w:val="20"/>
          <w:szCs w:val="20"/>
          <w:color w:val="auto"/>
        </w:rPr>
      </w:pPr>
    </w:p>
    <w:p>
      <w:pPr>
        <w:ind w:right="120" w:firstLine="509"/>
        <w:spacing w:after="0" w:line="231"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7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3" w:name="page64"/>
    <w:bookmarkEnd w:id="63"/>
    <w:p>
      <w:pPr>
        <w:ind w:right="20"/>
        <w:spacing w:after="0" w:line="231" w:lineRule="auto"/>
        <w:rPr>
          <w:sz w:val="20"/>
          <w:szCs w:val="20"/>
          <w:color w:val="auto"/>
        </w:rPr>
      </w:pPr>
      <w:r>
        <w:rPr>
          <w:rFonts w:ascii="Times New Roman" w:cs="Times New Roman" w:eastAsia="Times New Roman" w:hAnsi="Times New Roman"/>
          <w:sz w:val="18"/>
          <w:szCs w:val="18"/>
          <w:color w:val="auto"/>
        </w:rPr>
        <w:t>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8" w:lineRule="exact"/>
        <w:rPr>
          <w:sz w:val="20"/>
          <w:szCs w:val="20"/>
          <w:color w:val="auto"/>
        </w:rPr>
      </w:pPr>
    </w:p>
    <w:p>
      <w:pPr>
        <w:ind w:right="40" w:firstLine="509"/>
        <w:spacing w:after="0" w:line="230"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72"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8"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3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64" w:name="page65"/>
    <w:bookmarkEnd w:id="64"/>
    <w:p>
      <w:pPr>
        <w:ind w:right="5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89"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6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are party to license and funding agreements, such as our agreement with GSK,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04"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12"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65" w:name="page66"/>
    <w:bookmarkEnd w:id="65"/>
    <w:p>
      <w:pPr>
        <w:ind w:right="60"/>
        <w:spacing w:after="0" w:line="266" w:lineRule="auto"/>
        <w:rPr>
          <w:sz w:val="20"/>
          <w:szCs w:val="20"/>
          <w:color w:val="auto"/>
        </w:rPr>
      </w:pPr>
      <w:r>
        <w:rPr>
          <w:rFonts w:ascii="Times New Roman" w:cs="Times New Roman" w:eastAsia="Times New Roman" w:hAnsi="Times New Roman"/>
          <w:sz w:val="18"/>
          <w:szCs w:val="18"/>
          <w:color w:val="auto"/>
        </w:rPr>
        <w:t>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6"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0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20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1"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0"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6" w:name="page67"/>
    <w:bookmarkEnd w:id="66"/>
    <w:p>
      <w:pPr>
        <w:ind w:right="300"/>
        <w:spacing w:after="0" w:line="282" w:lineRule="auto"/>
        <w:rPr>
          <w:sz w:val="20"/>
          <w:szCs w:val="20"/>
          <w:color w:val="auto"/>
        </w:rPr>
      </w:pPr>
      <w:r>
        <w:rPr>
          <w:rFonts w:ascii="Times New Roman" w:cs="Times New Roman" w:eastAsia="Times New Roman" w:hAnsi="Times New Roman"/>
          <w:sz w:val="18"/>
          <w:szCs w:val="18"/>
          <w:color w:val="auto"/>
        </w:rPr>
        <w:t>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5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0"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0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83"/>
        <w:spacing w:after="0" w:line="258"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0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ind w:left="900" w:right="10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40"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6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83"/>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03" w:lineRule="exact"/>
        <w:rPr>
          <w:rFonts w:ascii="Times New Roman" w:cs="Times New Roman" w:eastAsia="Times New Roman" w:hAnsi="Times New Roman"/>
          <w:sz w:val="18"/>
          <w:szCs w:val="18"/>
          <w:color w:val="auto"/>
        </w:rPr>
      </w:pPr>
    </w:p>
    <w:p>
      <w:pPr>
        <w:ind w:left="900" w:right="400" w:hanging="383"/>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0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66"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8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8" w:name="page69"/>
    <w:bookmarkEnd w:id="68"/>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73"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In addition, since March 2020 when foreign and domestic inspections of facilities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8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37"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8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a certain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74"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85"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Special 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FDA granted fast track designation to losmapimod for the treatment of FSHD,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9" w:name="page70"/>
    <w:bookmarkEnd w:id="69"/>
    <w:p>
      <w:pPr>
        <w:ind w:right="160"/>
        <w:spacing w:after="0" w:line="250" w:lineRule="auto"/>
        <w:rPr>
          <w:sz w:val="20"/>
          <w:szCs w:val="20"/>
          <w:color w:val="auto"/>
        </w:rPr>
      </w:pPr>
      <w:r>
        <w:rPr>
          <w:rFonts w:ascii="Times New Roman" w:cs="Times New Roman" w:eastAsia="Times New Roman" w:hAnsi="Times New Roman"/>
          <w:sz w:val="18"/>
          <w:szCs w:val="18"/>
          <w:color w:val="auto"/>
        </w:rPr>
        <w:t>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8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82"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7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6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69"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6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69"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7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seeking marketing approval in the United Kingdom as a result of the withdrawal of the United Kingdom from the European Union, commonly referred to as Brexit. The United Kingdom and European Union entered into a Trade and Cooperation Agreement in connection with Brexit, which sets out certain procedures for approval and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0" w:name="page71"/>
    <w:bookmarkEnd w:id="70"/>
    <w:p>
      <w:pPr>
        <w:ind w:right="40"/>
        <w:spacing w:after="0" w:line="246" w:lineRule="auto"/>
        <w:rPr>
          <w:sz w:val="20"/>
          <w:szCs w:val="20"/>
          <w:color w:val="auto"/>
        </w:rPr>
      </w:pPr>
      <w:r>
        <w:rPr>
          <w:rFonts w:ascii="Times New Roman" w:cs="Times New Roman" w:eastAsia="Times New Roman" w:hAnsi="Times New Roman"/>
          <w:sz w:val="18"/>
          <w:szCs w:val="18"/>
          <w:color w:val="auto"/>
        </w:rPr>
        <w:t>recognition of medical products in each jurisdiction. Because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the Trade and Cooperation Agreement or otherwise, could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283"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81" w:lineRule="exact"/>
        <w:rPr>
          <w:sz w:val="20"/>
          <w:szCs w:val="20"/>
          <w:color w:val="auto"/>
        </w:rPr>
      </w:pPr>
    </w:p>
    <w:p>
      <w:pPr>
        <w:ind w:right="320" w:firstLine="509"/>
        <w:spacing w:after="0" w:line="24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40" w:lineRule="exact"/>
        <w:rPr>
          <w:sz w:val="20"/>
          <w:szCs w:val="20"/>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04"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to comply with the European Union’s requirements regarding the protection of personal information can also lead to significant penalties and sanctions.</w:t>
      </w:r>
    </w:p>
    <w:p>
      <w:pPr>
        <w:spacing w:after="0" w:line="11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81"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the section entitled “Business—Government Regulation and Product Approvals—Health Care Law and Regulation” in the 2021 Annual Report.</w:t>
      </w:r>
    </w:p>
    <w:p>
      <w:pPr>
        <w:spacing w:after="0" w:line="7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6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91" w:lineRule="exact"/>
        <w:rPr>
          <w:sz w:val="20"/>
          <w:szCs w:val="20"/>
          <w:color w:val="auto"/>
        </w:rPr>
      </w:pPr>
    </w:p>
    <w:p>
      <w:pPr>
        <w:jc w:val="both"/>
        <w:ind w:right="18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3"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the EU GDPR, which took effect across all Member States of the EEA, on May 25, 2018.</w:t>
      </w:r>
    </w:p>
    <w:p>
      <w:pPr>
        <w:spacing w:after="0" w:line="64" w:lineRule="exact"/>
        <w:rPr>
          <w:sz w:val="20"/>
          <w:szCs w:val="20"/>
          <w:color w:val="auto"/>
        </w:rPr>
      </w:pPr>
    </w:p>
    <w:p>
      <w:pPr>
        <w:ind w:right="80" w:firstLine="509"/>
        <w:spacing w:after="0" w:line="226" w:lineRule="auto"/>
        <w:rPr>
          <w:sz w:val="20"/>
          <w:szCs w:val="20"/>
          <w:color w:val="auto"/>
        </w:rPr>
      </w:pPr>
      <w:r>
        <w:rPr>
          <w:rFonts w:ascii="Times New Roman" w:cs="Times New Roman" w:eastAsia="Times New Roman" w:hAnsi="Times New Roman"/>
          <w:sz w:val="18"/>
          <w:szCs w:val="18"/>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CCPA, which went into effect on January 1, 2020, is creating similar risks and obligations as those created by the GDPR, and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For more information regarding the GDPR, the CCPA and other regulations, see Item 1 “Business –Government Regulation and Product Approvals” in the 2021 Annual Report.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ind w:firstLine="509"/>
        <w:spacing w:after="0" w:line="225"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EEA and the United Kingdom.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8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36" w:lineRule="exact"/>
        <w:rPr>
          <w:sz w:val="20"/>
          <w:szCs w:val="20"/>
          <w:color w:val="auto"/>
        </w:rPr>
      </w:pPr>
    </w:p>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2021 Annual Report.</w:t>
      </w:r>
    </w:p>
    <w:p>
      <w:pPr>
        <w:spacing w:after="0" w:line="67" w:lineRule="exact"/>
        <w:rPr>
          <w:sz w:val="20"/>
          <w:szCs w:val="20"/>
          <w:color w:val="auto"/>
        </w:rPr>
      </w:pPr>
    </w:p>
    <w:p>
      <w:pPr>
        <w:ind w:right="80" w:firstLine="509"/>
        <w:spacing w:after="0" w:line="230"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81" w:lineRule="exact"/>
        <w:rPr>
          <w:sz w:val="20"/>
          <w:szCs w:val="20"/>
          <w:color w:val="auto"/>
        </w:rPr>
      </w:pPr>
    </w:p>
    <w:p>
      <w:pPr>
        <w:ind w:right="60" w:firstLine="509"/>
        <w:spacing w:after="0" w:line="217"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6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100" w:firstLine="509"/>
        <w:spacing w:after="0" w:line="226"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3" w:name="page74"/>
    <w:bookmarkEnd w:id="73"/>
    <w:p>
      <w:pPr>
        <w:jc w:val="both"/>
        <w:ind w:right="180" w:firstLine="509"/>
        <w:spacing w:after="0" w:line="236"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3" w:lineRule="exact"/>
        <w:rPr>
          <w:sz w:val="20"/>
          <w:szCs w:val="20"/>
          <w:color w:val="auto"/>
        </w:rPr>
      </w:pPr>
    </w:p>
    <w:p>
      <w:pPr>
        <w:jc w:val="both"/>
        <w:ind w:right="220" w:firstLine="509"/>
        <w:spacing w:after="0" w:line="23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ind w:right="120" w:firstLine="509"/>
        <w:spacing w:after="0" w:line="232"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7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4" w:lineRule="exact"/>
        <w:rPr>
          <w:sz w:val="20"/>
          <w:szCs w:val="20"/>
          <w:color w:val="auto"/>
        </w:rPr>
      </w:pPr>
    </w:p>
    <w:p>
      <w:pPr>
        <w:ind w:right="60" w:firstLine="509"/>
        <w:spacing w:after="0" w:line="227"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67"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66" w:lineRule="exact"/>
        <w:rPr>
          <w:sz w:val="20"/>
          <w:szCs w:val="20"/>
          <w:color w:val="auto"/>
        </w:rPr>
      </w:pPr>
    </w:p>
    <w:p>
      <w:pPr>
        <w:ind w:right="60" w:firstLine="509"/>
        <w:spacing w:after="0" w:line="227"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67" w:lineRule="exact"/>
        <w:rPr>
          <w:sz w:val="20"/>
          <w:szCs w:val="20"/>
          <w:color w:val="auto"/>
        </w:rPr>
      </w:pPr>
    </w:p>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4" w:name="page75"/>
    <w:bookmarkEnd w:id="74"/>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3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3"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0" w:lineRule="exact"/>
        <w:rPr>
          <w:sz w:val="20"/>
          <w:szCs w:val="20"/>
          <w:color w:val="auto"/>
        </w:rPr>
      </w:pPr>
    </w:p>
    <w:p>
      <w:pPr>
        <w:ind w:right="20" w:firstLine="509"/>
        <w:spacing w:after="0" w:line="225" w:lineRule="auto"/>
        <w:rPr>
          <w:sz w:val="20"/>
          <w:szCs w:val="20"/>
          <w:color w:val="auto"/>
        </w:rPr>
      </w:pPr>
      <w:r>
        <w:rPr>
          <w:rFonts w:ascii="Times New Roman" w:cs="Times New Roman" w:eastAsia="Times New Roman" w:hAnsi="Times New Roman"/>
          <w:sz w:val="18"/>
          <w:szCs w:val="18"/>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66" w:lineRule="exact"/>
        <w:rPr>
          <w:sz w:val="20"/>
          <w:szCs w:val="20"/>
          <w:color w:val="auto"/>
        </w:rPr>
      </w:pPr>
    </w:p>
    <w:p>
      <w:pPr>
        <w:ind w:firstLine="509"/>
        <w:spacing w:after="0" w:line="226"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94" w:lineRule="exact"/>
        <w:rPr>
          <w:sz w:val="20"/>
          <w:szCs w:val="20"/>
          <w:color w:val="auto"/>
        </w:rPr>
      </w:pPr>
    </w:p>
    <w:p>
      <w:pPr>
        <w:ind w:right="40" w:firstLine="509"/>
        <w:spacing w:after="0" w:line="232"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75" w:name="page76"/>
    <w:bookmarkEnd w:id="75"/>
    <w:p>
      <w:pPr>
        <w:ind w:right="20" w:firstLine="509"/>
        <w:spacing w:after="0" w:line="225" w:lineRule="auto"/>
        <w:rPr>
          <w:sz w:val="20"/>
          <w:szCs w:val="20"/>
          <w:color w:val="auto"/>
        </w:rPr>
      </w:pPr>
      <w:r>
        <w:rPr>
          <w:rFonts w:ascii="Times New Roman" w:cs="Times New Roman" w:eastAsia="Times New Roman" w:hAnsi="Times New Roman"/>
          <w:sz w:val="18"/>
          <w:szCs w:val="18"/>
          <w:color w:val="auto"/>
        </w:rPr>
        <w:t>We have had recent executive transitions, including of our chief executive officer, chief scientific officer, chief financial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We recently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9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3"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As of August 4, 2022, our executive officers and directors and our stockholders who owned more than 5% of our outstanding common stock in the aggregate beneficially owned shares representing approximately 64.2%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04" w:lineRule="exact"/>
        <w:rPr>
          <w:sz w:val="20"/>
          <w:szCs w:val="20"/>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316" w:lineRule="exact"/>
        <w:rPr>
          <w:sz w:val="20"/>
          <w:szCs w:val="20"/>
          <w:color w:val="auto"/>
        </w:rPr>
      </w:pPr>
    </w:p>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2" w:lineRule="exact"/>
        <w:rPr>
          <w:sz w:val="20"/>
          <w:szCs w:val="20"/>
          <w:color w:val="auto"/>
        </w:rPr>
      </w:pPr>
    </w:p>
    <w:p>
      <w:pPr>
        <w:ind w:left="5540" w:right="2660" w:hanging="5023"/>
        <w:spacing w:after="0" w:line="516" w:lineRule="auto"/>
        <w:tabs>
          <w:tab w:leader="none" w:pos="9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6" w:name="page77"/>
    <w:bookmarkEnd w:id="76"/>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03"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67" w:lineRule="exact"/>
        <w:rPr>
          <w:rFonts w:ascii="Times New Roman" w:cs="Times New Roman" w:eastAsia="Times New Roman" w:hAnsi="Times New Roman"/>
          <w:sz w:val="18"/>
          <w:szCs w:val="18"/>
          <w:color w:val="auto"/>
        </w:rPr>
      </w:pPr>
    </w:p>
    <w:p>
      <w:pPr>
        <w:ind w:left="900" w:right="440" w:hanging="383"/>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hanging="383"/>
        <w:spacing w:after="0" w:line="250"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8"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4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37"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0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9" w:lineRule="exact"/>
        <w:rPr>
          <w:sz w:val="20"/>
          <w:szCs w:val="20"/>
          <w:color w:val="auto"/>
        </w:rPr>
      </w:pPr>
    </w:p>
    <w:p>
      <w:pPr>
        <w:ind w:left="900" w:right="84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 candidates, if and when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03"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77" w:name="page78"/>
    <w:bookmarkEnd w:id="77"/>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12"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0"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64" w:lineRule="exact"/>
        <w:rPr>
          <w:sz w:val="20"/>
          <w:szCs w:val="20"/>
          <w:color w:val="auto"/>
        </w:rPr>
      </w:pPr>
    </w:p>
    <w:p>
      <w:pPr>
        <w:ind w:right="580" w:firstLine="509"/>
        <w:spacing w:after="0" w:line="250" w:lineRule="auto"/>
        <w:rPr>
          <w:sz w:val="20"/>
          <w:szCs w:val="20"/>
          <w:color w:val="auto"/>
        </w:rPr>
      </w:pPr>
      <w:r>
        <w:rPr>
          <w:rFonts w:ascii="Times New Roman" w:cs="Times New Roman" w:eastAsia="Times New Roman" w:hAnsi="Times New Roman"/>
          <w:sz w:val="18"/>
          <w:szCs w:val="18"/>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63"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In June 2020, we issued and sold 4,029,411 shares of common stock to investors in a private placement. We have filed a registration statement covering the resale of these shares by the purchasers in the private placement and have agreed to keep such registration statement effective until the date the shares covered by the registration statement have been sold or can be resold without restriction under Rule 144 of the Securities Act of 1933, as amended, or the Securities Act.</w:t>
      </w:r>
    </w:p>
    <w:p>
      <w:pPr>
        <w:spacing w:after="0" w:line="171"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up to an aggregate of $250 million, at prices and terms to be determined at the time of sale.</w:t>
      </w:r>
    </w:p>
    <w:p>
      <w:pPr>
        <w:spacing w:after="0" w:line="172" w:lineRule="exact"/>
        <w:rPr>
          <w:sz w:val="20"/>
          <w:szCs w:val="20"/>
          <w:color w:val="auto"/>
        </w:rPr>
      </w:pPr>
    </w:p>
    <w:p>
      <w:pPr>
        <w:ind w:right="440" w:firstLine="509"/>
        <w:spacing w:after="0" w:line="236" w:lineRule="auto"/>
        <w:rPr>
          <w:sz w:val="20"/>
          <w:szCs w:val="20"/>
          <w:color w:val="auto"/>
        </w:rPr>
      </w:pPr>
      <w:r>
        <w:rPr>
          <w:rFonts w:ascii="Times New Roman" w:cs="Times New Roman" w:eastAsia="Times New Roman" w:hAnsi="Times New Roman"/>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37"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72" w:lineRule="exact"/>
        <w:rPr>
          <w:sz w:val="20"/>
          <w:szCs w:val="20"/>
          <w:color w:val="auto"/>
        </w:rPr>
      </w:pPr>
    </w:p>
    <w:p>
      <w:pPr>
        <w:jc w:val="center"/>
        <w:ind w:left="5540" w:right="580" w:hanging="5023"/>
        <w:spacing w:after="0" w:line="516" w:lineRule="auto"/>
        <w:tabs>
          <w:tab w:leader="none" w:pos="9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8" w:name="page79"/>
    <w:bookmarkEnd w:id="78"/>
    <w:p>
      <w:pPr>
        <w:ind w:left="900" w:right="580" w:hanging="383"/>
        <w:spacing w:after="0" w:line="258"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41" w:lineRule="exact"/>
        <w:rPr>
          <w:sz w:val="20"/>
          <w:szCs w:val="20"/>
          <w:color w:val="auto"/>
        </w:rPr>
      </w:pPr>
    </w:p>
    <w:p>
      <w:pPr>
        <w:jc w:val="both"/>
        <w:ind w:right="140" w:firstLine="509"/>
        <w:spacing w:after="0" w:line="23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6" w:lineRule="exact"/>
        <w:rPr>
          <w:sz w:val="20"/>
          <w:szCs w:val="20"/>
          <w:color w:val="auto"/>
        </w:rPr>
      </w:pPr>
    </w:p>
    <w:p>
      <w:pPr>
        <w:ind w:right="40" w:firstLine="509"/>
        <w:spacing w:after="0" w:line="229"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91"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0" w:lineRule="exact"/>
        <w:rPr>
          <w:sz w:val="20"/>
          <w:szCs w:val="20"/>
          <w:color w:val="auto"/>
        </w:rPr>
      </w:pPr>
    </w:p>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76"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2" w:lineRule="exact"/>
        <w:rPr>
          <w:sz w:val="20"/>
          <w:szCs w:val="20"/>
          <w:color w:val="auto"/>
        </w:rPr>
      </w:pPr>
    </w:p>
    <w:p>
      <w:pPr>
        <w:ind w:right="40" w:firstLine="509"/>
        <w:spacing w:after="0" w:line="225"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78"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0"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ind w:right="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7"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7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14"/>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2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8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3"/>
                <w:szCs w:val="13"/>
                <w:color w:val="auto"/>
              </w:rPr>
            </w:pPr>
          </w:p>
        </w:tc>
        <w:tc>
          <w:tcPr>
            <w:tcW w:w="10140" w:type="dxa"/>
            <w:vAlign w:val="bottom"/>
            <w:gridSpan w:val="16"/>
          </w:tcPr>
          <w:p>
            <w:pPr>
              <w:spacing w:after="0" w:line="15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4"/>
                <w:szCs w:val="14"/>
                <w:color w:val="auto"/>
              </w:rPr>
            </w:pPr>
          </w:p>
        </w:tc>
        <w:tc>
          <w:tcPr>
            <w:tcW w:w="100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8-K filed with the Securities and Exchange Commission on July 22, 2019).</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0" w:type="dxa"/>
            <w:vAlign w:val="bottom"/>
            <w:tcBorders>
              <w:top w:val="single" w:sz="8" w:color="0000FF"/>
            </w:tcBorders>
            <w:gridSpan w:val="6"/>
          </w:tcPr>
          <w:p>
            <w:pPr>
              <w:spacing w:after="0" w:line="182" w:lineRule="exact"/>
              <w:rPr>
                <w:rFonts w:ascii="Times New Roman" w:cs="Times New Roman" w:eastAsia="Times New Roman" w:hAnsi="Times New Roman"/>
                <w:sz w:val="18"/>
                <w:szCs w:val="18"/>
                <w:color w:val="0000FF"/>
                <w:w w:val="98"/>
              </w:rPr>
            </w:pPr>
            <w:hyperlink r:id="rId271">
              <w:r>
                <w:rPr>
                  <w:rFonts w:ascii="Times New Roman" w:cs="Times New Roman" w:eastAsia="Times New Roman" w:hAnsi="Times New Roman"/>
                  <w:sz w:val="18"/>
                  <w:szCs w:val="18"/>
                  <w:color w:val="0000FF"/>
                  <w:w w:val="98"/>
                </w:rPr>
                <w:t>Amended and Restated Bylaws of the Registrant (incorporated by reference</w:t>
              </w:r>
            </w:hyperlink>
          </w:p>
        </w:tc>
        <w:tc>
          <w:tcPr>
            <w:tcW w:w="4740" w:type="dxa"/>
            <w:vAlign w:val="bottom"/>
            <w:gridSpan w:val="10"/>
          </w:tcPr>
          <w:p>
            <w:pPr>
              <w:ind w:left="100"/>
              <w:spacing w:after="0" w:line="182"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to Exhibit 3.2 to the Registrant’s Current Report on Form 8-K</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filed with the Securities and Exchange Commission on July 22,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490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6"/>
          </w:tcPr>
          <w:p>
            <w:pPr>
              <w:spacing w:after="0" w:line="182"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Equity Distribution Agreement, dated May 9, 2022, by and between the Registrant and Piper Sandler &amp; Co. (incorporated by reference to</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99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Exhibit 1.1 to the Registrant’s Current Report on Form 8-K filed with the Securities and Exchange Commission on May 10, 2022).</w:t>
              </w:r>
            </w:hyperlink>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2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w:t>
            </w:r>
          </w:p>
        </w:tc>
        <w:tc>
          <w:tcPr>
            <w:tcW w:w="20" w:type="dxa"/>
            <w:vAlign w:val="bottom"/>
            <w:tcBorders>
              <w:top w:val="single" w:sz="8" w:color="0000EE"/>
            </w:tcBorders>
          </w:tcPr>
          <w:p>
            <w:pPr>
              <w:spacing w:after="0"/>
              <w:rPr>
                <w:sz w:val="15"/>
                <w:szCs w:val="15"/>
                <w:color w:val="auto"/>
              </w:rPr>
            </w:pPr>
          </w:p>
        </w:tc>
        <w:tc>
          <w:tcPr>
            <w:tcW w:w="700" w:type="dxa"/>
            <w:vAlign w:val="bottom"/>
            <w:gridSpan w:val="8"/>
          </w:tcPr>
          <w:p>
            <w:pPr>
              <w:ind w:left="20"/>
              <w:spacing w:after="0" w:line="182" w:lineRule="exact"/>
              <w:rPr>
                <w:sz w:val="20"/>
                <w:szCs w:val="20"/>
                <w:color w:val="auto"/>
              </w:rPr>
            </w:pPr>
            <w:r>
              <w:rPr>
                <w:rFonts w:ascii="Times New Roman" w:cs="Times New Roman" w:eastAsia="Times New Roman" w:hAnsi="Times New Roman"/>
                <w:sz w:val="18"/>
                <w:szCs w:val="18"/>
                <w:color w:val="0000FF"/>
              </w:rPr>
              <w:t>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966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4"/>
                <w:szCs w:val="14"/>
                <w:color w:val="auto"/>
              </w:rPr>
            </w:pPr>
          </w:p>
        </w:tc>
        <w:tc>
          <w:tcPr>
            <w:tcW w:w="962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2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4"/>
                <w:szCs w:val="14"/>
                <w:color w:val="auto"/>
              </w:rPr>
            </w:pPr>
          </w:p>
        </w:tc>
        <w:tc>
          <w:tcPr>
            <w:tcW w:w="1010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6"/>
              </w:rPr>
              <w:t>Certification</w:t>
            </w:r>
          </w:p>
        </w:tc>
        <w:tc>
          <w:tcPr>
            <w:tcW w:w="20" w:type="dxa"/>
            <w:vAlign w:val="bottom"/>
            <w:tcBorders>
              <w:top w:val="single" w:sz="8" w:color="0000EE"/>
            </w:tcBorders>
          </w:tcPr>
          <w:p>
            <w:pPr>
              <w:spacing w:after="0"/>
              <w:rPr>
                <w:sz w:val="15"/>
                <w:szCs w:val="15"/>
                <w:color w:val="auto"/>
              </w:rPr>
            </w:pPr>
          </w:p>
        </w:tc>
        <w:tc>
          <w:tcPr>
            <w:tcW w:w="9220" w:type="dxa"/>
            <w:vAlign w:val="bottom"/>
            <w:gridSpan w:val="14"/>
          </w:tcPr>
          <w:p>
            <w:pPr>
              <w:ind w:left="4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4"/>
                <w:szCs w:val="14"/>
                <w:color w:val="auto"/>
              </w:rPr>
            </w:pPr>
          </w:p>
        </w:tc>
        <w:tc>
          <w:tcPr>
            <w:tcW w:w="1004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w w:val="93"/>
              </w:rPr>
              <w:t>Inline XBRL</w:t>
            </w:r>
          </w:p>
        </w:tc>
        <w:tc>
          <w:tcPr>
            <w:tcW w:w="20" w:type="dxa"/>
            <w:vAlign w:val="bottom"/>
            <w:tcBorders>
              <w:top w:val="single" w:sz="8" w:color="0000EE"/>
            </w:tcBorders>
          </w:tcPr>
          <w:p>
            <w:pPr>
              <w:spacing w:after="0"/>
              <w:rPr>
                <w:sz w:val="19"/>
                <w:szCs w:val="19"/>
                <w:color w:val="auto"/>
              </w:rPr>
            </w:pPr>
          </w:p>
        </w:tc>
        <w:tc>
          <w:tcPr>
            <w:tcW w:w="9220" w:type="dxa"/>
            <w:vAlign w:val="bottom"/>
            <w:gridSpan w:val="14"/>
          </w:tcPr>
          <w:p>
            <w:pPr>
              <w:ind w:left="80"/>
              <w:spacing w:after="0"/>
              <w:rPr>
                <w:sz w:val="20"/>
                <w:szCs w:val="20"/>
                <w:color w:val="auto"/>
              </w:rPr>
            </w:pPr>
            <w:r>
              <w:rPr>
                <w:rFonts w:ascii="Times New Roman" w:cs="Times New Roman" w:eastAsia="Times New Roman" w:hAnsi="Times New Roman"/>
                <w:sz w:val="18"/>
                <w:szCs w:val="18"/>
                <w:color w:val="auto"/>
              </w:rPr>
              <w:t>Instance Document</w:t>
            </w:r>
          </w:p>
        </w:tc>
        <w:tc>
          <w:tcPr>
            <w:tcW w:w="0" w:type="dxa"/>
            <w:vAlign w:val="bottom"/>
          </w:tcPr>
          <w:p>
            <w:pPr>
              <w:spacing w:after="0"/>
              <w:rPr>
                <w:sz w:val="1"/>
                <w:szCs w:val="1"/>
                <w:color w:val="auto"/>
              </w:rPr>
            </w:pPr>
          </w:p>
        </w:tc>
      </w:tr>
      <w:tr>
        <w:trPr>
          <w:trHeight w:val="35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7"/>
                <w:szCs w:val="17"/>
                <w:color w:val="auto"/>
              </w:rPr>
            </w:pPr>
          </w:p>
        </w:tc>
        <w:tc>
          <w:tcPr>
            <w:tcW w:w="1014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7"/>
                <w:szCs w:val="17"/>
                <w:color w:val="auto"/>
              </w:rPr>
            </w:pPr>
          </w:p>
        </w:tc>
        <w:tc>
          <w:tcPr>
            <w:tcW w:w="1014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7"/>
                <w:szCs w:val="17"/>
                <w:color w:val="auto"/>
              </w:rPr>
            </w:pPr>
          </w:p>
        </w:tc>
        <w:tc>
          <w:tcPr>
            <w:tcW w:w="1014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9"/>
                <w:szCs w:val="19"/>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260" w:firstLine="21"/>
        <w:spacing w:after="0" w:line="406" w:lineRule="auto"/>
        <w:tabs>
          <w:tab w:leader="none" w:pos="10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9512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198" w:lineRule="exact"/>
        <w:rPr>
          <w:sz w:val="20"/>
          <w:szCs w:val="20"/>
          <w:color w:val="auto"/>
        </w:rPr>
      </w:pPr>
    </w:p>
    <w:p>
      <w:pPr>
        <w:ind w:left="5320" w:right="2220" w:hanging="7953"/>
        <w:spacing w:after="0" w:line="254" w:lineRule="auto"/>
        <w:tabs>
          <w:tab w:leader="none" w:pos="53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 /s/ Bryan Stuart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 and President, Director (Principal Executive Officer)</w:t>
      </w:r>
    </w:p>
    <w:p>
      <w:pPr>
        <w:spacing w:after="0" w:line="190" w:lineRule="exact"/>
        <w:rPr>
          <w:sz w:val="20"/>
          <w:szCs w:val="20"/>
          <w:color w:val="auto"/>
        </w:rPr>
      </w:pPr>
    </w:p>
    <w:p>
      <w:pPr>
        <w:ind w:left="5320" w:right="2100" w:hanging="7838"/>
        <w:spacing w:after="0" w:line="254" w:lineRule="auto"/>
        <w:tabs>
          <w:tab w:leader="none" w:pos="53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 /s/ Esther Rajavelu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8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2" w:name="page83"/>
    <w:bookmarkEnd w:id="8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w:t>
      </w:r>
    </w:p>
    <w:p>
      <w:pPr>
        <w:spacing w:after="0" w:line="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 OF THE SARBANES-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Stuart, certify that:</w:t>
      </w:r>
    </w:p>
    <w:p>
      <w:pPr>
        <w:spacing w:after="0" w:line="117" w:lineRule="exact"/>
        <w:rPr>
          <w:sz w:val="20"/>
          <w:szCs w:val="20"/>
          <w:color w:val="auto"/>
        </w:rPr>
      </w:pPr>
    </w:p>
    <w:p>
      <w:pPr>
        <w:ind w:left="700" w:hanging="183"/>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03" w:lineRule="exact"/>
        <w:rPr>
          <w:rFonts w:ascii="Times New Roman" w:cs="Times New Roman" w:eastAsia="Times New Roman" w:hAnsi="Times New Roman"/>
          <w:sz w:val="18"/>
          <w:szCs w:val="18"/>
          <w:color w:val="auto"/>
        </w:rPr>
      </w:pPr>
    </w:p>
    <w:p>
      <w:pPr>
        <w:ind w:right="40" w:firstLine="517"/>
        <w:spacing w:after="0" w:line="296" w:lineRule="auto"/>
        <w:tabs>
          <w:tab w:leader="none" w:pos="68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7"/>
          <w:szCs w:val="17"/>
          <w:color w:val="auto"/>
        </w:rPr>
      </w:pPr>
    </w:p>
    <w:p>
      <w:pPr>
        <w:ind w:firstLine="517"/>
        <w:spacing w:after="0" w:line="266" w:lineRule="auto"/>
        <w:tabs>
          <w:tab w:leader="none" w:pos="6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right="40" w:firstLine="517"/>
        <w:spacing w:after="0" w:line="258" w:lineRule="auto"/>
        <w:tabs>
          <w:tab w:leader="none" w:pos="6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520" w:right="380" w:firstLine="506"/>
        <w:spacing w:after="0" w:line="258" w:lineRule="auto"/>
        <w:tabs>
          <w:tab w:leader="none" w:pos="127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jc w:val="both"/>
        <w:ind w:left="520" w:right="100" w:firstLine="506"/>
        <w:spacing w:after="0" w:line="258" w:lineRule="auto"/>
        <w:tabs>
          <w:tab w:leader="none" w:pos="12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7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520" w:right="200" w:firstLine="506"/>
        <w:spacing w:after="0" w:line="250" w:lineRule="auto"/>
        <w:tabs>
          <w:tab w:leader="none" w:pos="12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firstLine="517"/>
        <w:spacing w:after="0" w:line="266" w:lineRule="auto"/>
        <w:tabs>
          <w:tab w:leader="none" w:pos="6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440" w:firstLine="506"/>
        <w:spacing w:after="0" w:line="266" w:lineRule="auto"/>
        <w:tabs>
          <w:tab w:leader="none" w:pos="127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520" w:right="120" w:firstLine="506"/>
        <w:spacing w:after="0" w:line="266" w:lineRule="auto"/>
        <w:tabs>
          <w:tab w:leader="none" w:pos="12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Bryan Stuart</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w:t>
      </w:r>
    </w:p>
    <w:p>
      <w:pPr>
        <w:spacing w:after="0" w:line="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 OF THE SARBANES-</w:t>
      </w:r>
    </w:p>
    <w:p>
      <w:pPr>
        <w:jc w:val="center"/>
        <w:spacing w:after="0"/>
        <w:rPr>
          <w:sz w:val="20"/>
          <w:szCs w:val="20"/>
          <w:color w:val="auto"/>
        </w:rPr>
      </w:pPr>
      <w:r>
        <w:rPr>
          <w:rFonts w:ascii="Times New Roman" w:cs="Times New Roman" w:eastAsia="Times New Roman" w:hAnsi="Times New Roman"/>
          <w:sz w:val="18"/>
          <w:szCs w:val="18"/>
          <w:b w:val="1"/>
          <w:bCs w:val="1"/>
          <w:color w:val="auto"/>
        </w:rPr>
        <w:t>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Esther Rajavelu, certify that:</w:t>
      </w:r>
    </w:p>
    <w:p>
      <w:pPr>
        <w:spacing w:after="0" w:line="117" w:lineRule="exact"/>
        <w:rPr>
          <w:sz w:val="20"/>
          <w:szCs w:val="20"/>
          <w:color w:val="auto"/>
        </w:rPr>
      </w:pPr>
    </w:p>
    <w:p>
      <w:pPr>
        <w:ind w:left="1080" w:hanging="563"/>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03" w:lineRule="exact"/>
        <w:rPr>
          <w:rFonts w:ascii="Times New Roman" w:cs="Times New Roman" w:eastAsia="Times New Roman" w:hAnsi="Times New Roman"/>
          <w:sz w:val="18"/>
          <w:szCs w:val="18"/>
          <w:color w:val="auto"/>
        </w:rPr>
      </w:pPr>
    </w:p>
    <w:p>
      <w:pPr>
        <w:ind w:right="80" w:firstLine="517"/>
        <w:spacing w:after="0" w:line="258" w:lineRule="auto"/>
        <w:tabs>
          <w:tab w:leader="none" w:pos="10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right="540" w:firstLine="517"/>
        <w:spacing w:after="0" w:line="266" w:lineRule="auto"/>
        <w:tabs>
          <w:tab w:leader="none" w:pos="10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360" w:firstLine="517"/>
        <w:spacing w:after="0" w:line="254" w:lineRule="auto"/>
        <w:tabs>
          <w:tab w:leader="none" w:pos="10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3" w:lineRule="exact"/>
        <w:rPr>
          <w:rFonts w:ascii="Times New Roman" w:cs="Times New Roman" w:eastAsia="Times New Roman" w:hAnsi="Times New Roman"/>
          <w:sz w:val="18"/>
          <w:szCs w:val="18"/>
          <w:color w:val="auto"/>
        </w:rPr>
      </w:pPr>
    </w:p>
    <w:p>
      <w:pPr>
        <w:ind w:left="520" w:right="420" w:firstLine="507"/>
        <w:spacing w:after="0" w:line="258" w:lineRule="auto"/>
        <w:tabs>
          <w:tab w:leader="none" w:pos="15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520" w:right="160" w:firstLine="507"/>
        <w:spacing w:after="0" w:line="258" w:lineRule="auto"/>
        <w:tabs>
          <w:tab w:leader="none" w:pos="15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520" w:right="240" w:firstLine="507"/>
        <w:spacing w:after="0" w:line="282" w:lineRule="auto"/>
        <w:tabs>
          <w:tab w:leader="none" w:pos="15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520" w:right="120" w:firstLine="507"/>
        <w:spacing w:after="0" w:line="258" w:lineRule="auto"/>
        <w:tabs>
          <w:tab w:leader="none" w:pos="15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jc w:val="both"/>
        <w:ind w:right="600" w:firstLine="517"/>
        <w:spacing w:after="0" w:line="296" w:lineRule="auto"/>
        <w:tabs>
          <w:tab w:leader="none" w:pos="106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7"/>
          <w:szCs w:val="17"/>
          <w:color w:val="auto"/>
        </w:rPr>
      </w:pPr>
    </w:p>
    <w:p>
      <w:pPr>
        <w:ind w:left="520" w:right="200" w:firstLine="507"/>
        <w:spacing w:after="0" w:line="282" w:lineRule="auto"/>
        <w:tabs>
          <w:tab w:leader="none" w:pos="15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520" w:right="480" w:firstLine="507"/>
        <w:spacing w:after="0" w:line="266" w:lineRule="auto"/>
        <w:tabs>
          <w:tab w:leader="none" w:pos="15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6231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Esther Rajavelu</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June 30, 2022, as filed with the Securities and Exchange Commission on the date hereof (the “Report”), the undersigned, Bryan Stuart, President and Chief Executive Officer of the Company, hereby certifies, pursuant to 18 U.S.C. Section 1350, as adopted pursuant to Section 906 of the Sarbanes-Oxley Act of 2002, that to his knowledge:</w:t>
      </w:r>
    </w:p>
    <w:p>
      <w:pPr>
        <w:spacing w:after="0" w:line="177" w:lineRule="exact"/>
        <w:rPr>
          <w:sz w:val="20"/>
          <w:szCs w:val="20"/>
          <w:color w:val="auto"/>
        </w:rPr>
      </w:pPr>
    </w:p>
    <w:p>
      <w:pPr>
        <w:ind w:left="780" w:hanging="26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tab/>
        <w:t>/s/ Bryan Stuart</w:t>
      </w:r>
    </w:p>
    <w:p>
      <w:pPr>
        <w:spacing w:after="0" w:line="5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June 30, 2022, as filed with the Securities and Exchange Commission on the date hereof (the “Report”), the undersigned, Esther Rajavelu, Chief Financial Officer of the Company, hereby certifies, pursuant to 18 U.S.C. Section 1350, as adopted pursuant to Section 906 of the Sarbanes-Oxley Act of 2002, that to his knowledge:</w:t>
      </w:r>
    </w:p>
    <w:p>
      <w:pPr>
        <w:spacing w:after="0" w:line="177" w:lineRule="exact"/>
        <w:rPr>
          <w:sz w:val="20"/>
          <w:szCs w:val="20"/>
          <w:color w:val="auto"/>
        </w:rPr>
      </w:pPr>
    </w:p>
    <w:p>
      <w:pPr>
        <w:ind w:left="780" w:hanging="263"/>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Rajavelu</w:t>
      </w:r>
    </w:p>
    <w:p>
      <w:pPr>
        <w:spacing w:after="0" w:line="5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lowerRoman"/>
      <w:start w:val="1"/>
    </w:lvl>
  </w:abstractNum>
  <w:abstractNum w:abstractNumId="7">
    <w:nsid w:val="614FD4A1"/>
    <w:multiLevelType w:val="hybridMultilevel"/>
    <w:lvl w:ilvl="0">
      <w:lvlJc w:val="left"/>
      <w:lvlText w:val="%1."/>
      <w:numFmt w:val="decimal"/>
      <w:start w:val="12"/>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3"/>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o"/>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o"/>
      <w:numFmt w:val="bullet"/>
      <w:start w:val="1"/>
    </w:lvl>
  </w:abstractNum>
  <w:abstractNum w:abstractNumId="29">
    <w:nsid w:val="57E4CCAF"/>
    <w:multiLevelType w:val="hybridMultilevel"/>
    <w:lvl w:ilvl="0">
      <w:lvlJc w:val="left"/>
      <w:lvlText w:val="o"/>
      <w:numFmt w:val="bullet"/>
      <w:start w:val="1"/>
    </w:lvl>
  </w:abstractNum>
  <w:abstractNum w:abstractNumId="30">
    <w:nsid w:val="7A6D8D3C"/>
    <w:multiLevelType w:val="hybridMultilevel"/>
    <w:lvl w:ilvl="0">
      <w:lvlJc w:val="left"/>
      <w:lvlText w:val="o"/>
      <w:numFmt w:val="bullet"/>
      <w:start w:val="1"/>
    </w:lvl>
  </w:abstractNum>
  <w:abstractNum w:abstractNumId="31">
    <w:nsid w:val="4B588F54"/>
    <w:multiLevelType w:val="hybridMultilevel"/>
    <w:lvl w:ilvl="0">
      <w:lvlJc w:val="left"/>
      <w:lvlText w:val="o"/>
      <w:numFmt w:val="bullet"/>
      <w:start w:val="1"/>
    </w:lvl>
  </w:abstractNum>
  <w:abstractNum w:abstractNumId="32">
    <w:nsid w:val="542289EC"/>
    <w:multiLevelType w:val="hybridMultilevel"/>
    <w:lvl w:ilvl="0">
      <w:lvlJc w:val="left"/>
      <w:lvlText w:val="o"/>
      <w:numFmt w:val="bullet"/>
      <w:start w:val="1"/>
    </w:lvl>
  </w:abstractNum>
  <w:abstractNum w:abstractNumId="33">
    <w:nsid w:val="6DE91B18"/>
    <w:multiLevelType w:val="hybridMultilevel"/>
    <w:lvl w:ilvl="0">
      <w:lvlJc w:val="left"/>
      <w:lvlText w:val="o"/>
      <w:numFmt w:val="bullet"/>
      <w:start w:val="1"/>
    </w:lvl>
  </w:abstractNum>
  <w:abstractNum w:abstractNumId="34">
    <w:nsid w:val="38437FDB"/>
    <w:multiLevelType w:val="hybridMultilevel"/>
    <w:lvl w:ilvl="0">
      <w:lvlJc w:val="left"/>
      <w:lvlText w:val="o"/>
      <w:numFmt w:val="bullet"/>
      <w:start w:val="1"/>
    </w:lvl>
  </w:abstractNum>
  <w:abstractNum w:abstractNumId="35">
    <w:nsid w:val="7644A45C"/>
    <w:multiLevelType w:val="hybridMultilevel"/>
    <w:lvl w:ilvl="0">
      <w:lvlJc w:val="left"/>
      <w:lvlText w:val="o"/>
      <w:numFmt w:val="bullet"/>
      <w:start w:val="1"/>
    </w:lvl>
  </w:abstractNum>
  <w:abstractNum w:abstractNumId="36">
    <w:nsid w:val="32FFF902"/>
    <w:multiLevelType w:val="hybridMultilevel"/>
    <w:lvl w:ilvl="0">
      <w:lvlJc w:val="left"/>
      <w:lvlText w:val="o"/>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o"/>
      <w:numFmt w:val="bullet"/>
      <w:start w:val="1"/>
    </w:lvl>
  </w:abstractNum>
  <w:abstractNum w:abstractNumId="40">
    <w:nsid w:val="3DC240FB"/>
    <w:multiLevelType w:val="hybridMultilevel"/>
    <w:lvl w:ilvl="0">
      <w:lvlJc w:val="left"/>
      <w:lvlText w:val="o"/>
      <w:numFmt w:val="bullet"/>
      <w:start w:val="1"/>
    </w:lvl>
  </w:abstractNum>
  <w:abstractNum w:abstractNumId="41">
    <w:nsid w:val="1BA026FA"/>
    <w:multiLevelType w:val="hybridMultilevel"/>
    <w:lvl w:ilvl="0">
      <w:lvlJc w:val="left"/>
      <w:lvlText w:val="o"/>
      <w:numFmt w:val="bullet"/>
      <w:start w:val="1"/>
    </w:lvl>
  </w:abstractNum>
  <w:abstractNum w:abstractNumId="42">
    <w:nsid w:val="79A1DEAA"/>
    <w:multiLevelType w:val="hybridMultilevel"/>
    <w:lvl w:ilvl="0">
      <w:lvlJc w:val="left"/>
      <w:lvlText w:val="o"/>
      <w:numFmt w:val="bullet"/>
      <w:start w:val="1"/>
    </w:lvl>
  </w:abstractNum>
  <w:abstractNum w:abstractNumId="43">
    <w:nsid w:val="75C6C33A"/>
    <w:multiLevelType w:val="hybridMultilevel"/>
    <w:lvl w:ilvl="0">
      <w:lvlJc w:val="left"/>
      <w:lvlText w:val="o"/>
      <w:numFmt w:val="bullet"/>
      <w:start w:val="1"/>
    </w:lvl>
  </w:abstractNum>
  <w:abstractNum w:abstractNumId="44">
    <w:nsid w:val="12E685FB"/>
    <w:multiLevelType w:val="hybridMultilevel"/>
    <w:lvl w:ilvl="0">
      <w:lvlJc w:val="left"/>
      <w:lvlText w:val="o"/>
      <w:numFmt w:val="bullet"/>
      <w:start w:val="1"/>
    </w:lvl>
  </w:abstractNum>
  <w:abstractNum w:abstractNumId="45">
    <w:nsid w:val="70C6A529"/>
    <w:multiLevelType w:val="hybridMultilevel"/>
    <w:lvl w:ilvl="0">
      <w:lvlJc w:val="left"/>
      <w:lvlText w:val="o"/>
      <w:numFmt w:val="bullet"/>
      <w:start w:val="1"/>
    </w:lvl>
  </w:abstractNum>
  <w:abstractNum w:abstractNumId="46">
    <w:nsid w:val="520EEDD1"/>
    <w:multiLevelType w:val="hybridMultilevel"/>
    <w:lvl w:ilvl="0">
      <w:lvlJc w:val="left"/>
      <w:lvlText w:val="o"/>
      <w:numFmt w:val="bullet"/>
      <w:start w:val="1"/>
    </w:lvl>
  </w:abstractNum>
  <w:abstractNum w:abstractNumId="47">
    <w:nsid w:val="374A3FE6"/>
    <w:multiLevelType w:val="hybridMultilevel"/>
    <w:lvl w:ilvl="0">
      <w:lvlJc w:val="left"/>
      <w:lvlText w:val="o"/>
      <w:numFmt w:val="bullet"/>
      <w:start w:val="1"/>
    </w:lvl>
  </w:abstractNum>
  <w:abstractNum w:abstractNumId="48">
    <w:nsid w:val="4F4EF005"/>
    <w:multiLevelType w:val="hybridMultilevel"/>
    <w:lvl w:ilvl="0">
      <w:lvlJc w:val="left"/>
      <w:lvlText w:val="o"/>
      <w:numFmt w:val="bullet"/>
      <w:start w:val="1"/>
    </w:lvl>
  </w:abstractNum>
  <w:abstractNum w:abstractNumId="49">
    <w:nsid w:val="23F9C13C"/>
    <w:multiLevelType w:val="hybridMultilevel"/>
    <w:lvl w:ilvl="0">
      <w:lvlJc w:val="left"/>
      <w:lvlText w:val="o"/>
      <w:numFmt w:val="bullet"/>
      <w:start w:val="1"/>
    </w:lvl>
  </w:abstractNum>
  <w:abstractNum w:abstractNumId="50">
    <w:nsid w:val="649BB77C"/>
    <w:multiLevelType w:val="hybridMultilevel"/>
    <w:lvl w:ilvl="0">
      <w:lvlJc w:val="left"/>
      <w:lvlText w:val="o"/>
      <w:numFmt w:val="bullet"/>
      <w:start w:val="1"/>
    </w:lvl>
  </w:abstractNum>
  <w:abstractNum w:abstractNumId="51">
    <w:nsid w:val="275AC794"/>
    <w:multiLevelType w:val="hybridMultilevel"/>
    <w:lvl w:ilvl="0">
      <w:lvlJc w:val="left"/>
      <w:lvlText w:val="o"/>
      <w:numFmt w:val="bullet"/>
      <w:start w:val="1"/>
    </w:lvl>
  </w:abstractNum>
  <w:abstractNum w:abstractNumId="52">
    <w:nsid w:val="39386575"/>
    <w:multiLevelType w:val="hybridMultilevel"/>
    <w:lvl w:ilvl="0">
      <w:lvlJc w:val="left"/>
      <w:lvlText w:val="o"/>
      <w:numFmt w:val="bullet"/>
      <w:start w:val="1"/>
    </w:lvl>
  </w:abstractNum>
  <w:abstractNum w:abstractNumId="53">
    <w:nsid w:val="1CF10FD8"/>
    <w:multiLevelType w:val="hybridMultilevel"/>
    <w:lvl w:ilvl="0">
      <w:lvlJc w:val="left"/>
      <w:lvlText w:val="o"/>
      <w:numFmt w:val="bullet"/>
      <w:start w:val="1"/>
    </w:lvl>
  </w:abstractNum>
  <w:abstractNum w:abstractNumId="54">
    <w:nsid w:val="180115BE"/>
    <w:multiLevelType w:val="hybridMultilevel"/>
    <w:lvl w:ilvl="0">
      <w:lvlJc w:val="left"/>
      <w:lvlText w:val="o"/>
      <w:numFmt w:val="bullet"/>
      <w:start w:val="1"/>
    </w:lvl>
  </w:abstractNum>
  <w:abstractNum w:abstractNumId="55">
    <w:nsid w:val="235BA861"/>
    <w:multiLevelType w:val="hybridMultilevel"/>
    <w:lvl w:ilvl="0">
      <w:lvlJc w:val="left"/>
      <w:lvlText w:val="*"/>
      <w:numFmt w:val="bullet"/>
      <w:start w:val="1"/>
    </w:lvl>
    <w:lvl w:ilvl="1">
      <w:lvlJc w:val="left"/>
      <w:lvlText w:val="%2"/>
      <w:numFmt w:val="decimal"/>
      <w:start w:val="104"/>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70" Type="http://schemas.openxmlformats.org/officeDocument/2006/relationships/hyperlink" Target="https://www.sec.gov/Archives/edgar/data/0001680581/000104746919004324/a2239321zex-3_1.htm" TargetMode="External"/><Relationship Id="rId271" Type="http://schemas.openxmlformats.org/officeDocument/2006/relationships/hyperlink" Target="https://www.sec.gov/Archives/edgar/data/0001680581/000104746919004324/a2239321zex-3_2.htm" TargetMode="External"/><Relationship Id="rId272" Type="http://schemas.openxmlformats.org/officeDocument/2006/relationships/hyperlink" Target="https://www.sec.gov/Archives/edgar/data/1680581/000119312522145361/d335800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2022-08-11T06:37:09Z</dcterms:created>
  <dcterms:modified xsi:type="dcterms:W3CDTF">2022-08-11T06:37:09Z</dcterms:modified>
</cp:coreProperties>
</file>