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80" w:right="1580" w:hanging="3872"/>
        <w:spacing w:after="0" w:line="407"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3, 2021, the registrant had 32,708,425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right="62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clinical trials of losmapimod, including our ongoing open label extension of our Phase 2b clinical trial for the treatment of facioscapulohumeral muscular dystrophy, or FSHD, and our ongoing Phase 2 open label clinical trial for the treatment of FSHD;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clinical trial of FTX-6058 in healthy adult volunteers and our planned Phase 1b clinical trial of FTX-6058 in patients with sickle cell disease, or SCD;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 a wholly owned subsidiary of Bristol-Myers Squibb Company;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right="40"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ind w:left="740" w:right="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$70.8 million for the year ended December 31, 2020 and $36.6 million for the six months ended June 30, 2021. We expect to incur losses over the next several years and may never achieve or maintain profitability. As of June 30, 2021, we had an accumulated deficit of $258.3 million.</w:t>
      </w:r>
    </w:p>
    <w:p>
      <w:pPr>
        <w:spacing w:after="0" w:line="183" w:lineRule="exact"/>
        <w:rPr>
          <w:rFonts w:ascii="Arial" w:cs="Arial" w:eastAsia="Arial" w:hAnsi="Arial"/>
          <w:sz w:val="18"/>
          <w:szCs w:val="18"/>
          <w:color w:val="auto"/>
        </w:rPr>
      </w:pPr>
    </w:p>
    <w:p>
      <w:pPr>
        <w:ind w:left="740" w:right="20" w:hanging="368"/>
        <w:spacing w:after="0" w:line="273"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including our open label extension of our Phase 2b clinical trial for the treatment of FSHD and our Phase 2 open label clinical trial for the treatment of FSHD, continue our Phase 1 clinical trial of FTX-6058 in healthy adult volunteers, prepare for our planned Phase 1b clinical trial of FTX-6058 in patients with SCD, and continue research and development and initiate additional clinical trials of, and seek regulatory approval for, these and other product candidates.</w:t>
      </w:r>
    </w:p>
    <w:p>
      <w:pPr>
        <w:spacing w:after="0" w:line="177" w:lineRule="exact"/>
        <w:rPr>
          <w:rFonts w:ascii="Arial" w:cs="Arial" w:eastAsia="Arial" w:hAnsi="Arial"/>
          <w:sz w:val="17"/>
          <w:szCs w:val="17"/>
          <w:color w:val="auto"/>
        </w:rPr>
      </w:pPr>
    </w:p>
    <w:p>
      <w:pPr>
        <w:ind w:left="740" w:right="14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rFonts w:ascii="Arial" w:cs="Arial" w:eastAsia="Arial" w:hAnsi="Arial"/>
          <w:sz w:val="17"/>
          <w:szCs w:val="17"/>
          <w:color w:val="auto"/>
        </w:rPr>
      </w:pPr>
    </w:p>
    <w:p>
      <w:pPr>
        <w:ind w:left="740" w:right="5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w:t>
      </w:r>
    </w:p>
    <w:p>
      <w:pPr>
        <w:spacing w:after="0" w:line="165"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U.S. Food and Drug Administration or other regulatory authorities may not consider the endpoints of our clinical trials to predict or provide clinically meaningful results.</w:t>
      </w:r>
    </w:p>
    <w:p>
      <w:pPr>
        <w:spacing w:after="0" w:line="183"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3" w:lineRule="exact"/>
        <w:rPr>
          <w:rFonts w:ascii="Arial" w:cs="Arial" w:eastAsia="Arial" w:hAnsi="Arial"/>
          <w:sz w:val="18"/>
          <w:szCs w:val="18"/>
          <w:color w:val="auto"/>
        </w:rPr>
      </w:pPr>
    </w:p>
    <w:p>
      <w:pPr>
        <w:ind w:left="368" w:right="48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ind w:left="368" w:right="1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entered into, and may in the future enter into, collaborations with third parties for the discovery, development or commercialization of product candidates, including our collaborations with Acceleron Pharma Inc. and MyoKardia, Inc. If our collaborations are not successful, we may not be able to capitalize on the market potential of these product candidates and our business could be adversely affected.</w:t>
      </w:r>
    </w:p>
    <w:p>
      <w:pPr>
        <w:spacing w:after="0" w:line="148" w:lineRule="exact"/>
        <w:rPr>
          <w:rFonts w:ascii="Arial" w:cs="Arial" w:eastAsia="Arial" w:hAnsi="Arial"/>
          <w:sz w:val="16"/>
          <w:szCs w:val="16"/>
          <w:color w:val="auto"/>
        </w:rPr>
      </w:pPr>
    </w:p>
    <w:p>
      <w:pPr>
        <w:ind w:left="368" w:right="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68" w:right="54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644525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92" w:top="557"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5"/>
            <w:vMerge w:val="restart"/>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600" w:type="dxa"/>
            <w:vAlign w:val="bottom"/>
            <w:gridSpan w:val="9"/>
            <w:vMerge w:val="restart"/>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88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5"/>
            <w:vMerge w:val="continue"/>
          </w:tcPr>
          <w:p>
            <w:pPr>
              <w:spacing w:after="0"/>
              <w:rPr>
                <w:sz w:val="15"/>
                <w:szCs w:val="15"/>
                <w:color w:val="auto"/>
              </w:rPr>
            </w:pPr>
          </w:p>
        </w:tc>
        <w:tc>
          <w:tcPr>
            <w:tcW w:w="7600" w:type="dxa"/>
            <w:vAlign w:val="bottom"/>
            <w:gridSpan w:val="9"/>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June 30, 2021 and December 31, 2020</w:t>
              </w:r>
            </w:hyperlink>
          </w:p>
        </w:tc>
        <w:tc>
          <w:tcPr>
            <w:tcW w:w="456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Operations and Comprehensive Loss for the three and six months ended June 30, 2021 and 2020</w:t>
              </w:r>
            </w:hyperlink>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Stockholders’ Equity for the three and six months ended June 30, 2021 and 2020</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Statements of Cash Flows for the six months ended June 30, 2021 and 2020</w:t>
              </w:r>
            </w:hyperlink>
          </w:p>
        </w:tc>
        <w:tc>
          <w:tcPr>
            <w:tcW w:w="1380" w:type="dxa"/>
            <w:vAlign w:val="bottom"/>
            <w:tcBorders>
              <w:top w:val="single" w:sz="8" w:color="0000EE"/>
            </w:tcBorders>
          </w:tcPr>
          <w:p>
            <w:pPr>
              <w:spacing w:after="0"/>
              <w:rPr>
                <w:sz w:val="18"/>
                <w:szCs w:val="18"/>
                <w:color w:val="auto"/>
              </w:rPr>
            </w:pPr>
          </w:p>
        </w:tc>
        <w:tc>
          <w:tcPr>
            <w:tcW w:w="202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67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40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808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960" w:type="dxa"/>
            <w:vAlign w:val="bottom"/>
            <w:tcBorders>
              <w:top w:val="single" w:sz="8" w:color="0000EE"/>
            </w:tcBorders>
            <w:gridSpan w:val="2"/>
          </w:tcPr>
          <w:p>
            <w:pPr>
              <w:spacing w:after="0"/>
              <w:rPr>
                <w:sz w:val="18"/>
                <w:szCs w:val="18"/>
                <w:color w:val="auto"/>
              </w:rPr>
            </w:pPr>
          </w:p>
        </w:tc>
        <w:tc>
          <w:tcPr>
            <w:tcW w:w="798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Unregistered Sales of Equity Securities and Use of Proceeds</w:t>
              </w:r>
            </w:hyperlink>
          </w:p>
        </w:tc>
        <w:tc>
          <w:tcPr>
            <w:tcW w:w="550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1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56,779</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57,052</w:t>
            </w: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68,771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55,862</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2,000</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Unbilled accounts receivable</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531</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4,065</w:t>
            </w: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128,511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119,510</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7,745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8,397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1,092</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578</w:t>
            </w:r>
          </w:p>
        </w:tc>
      </w:tr>
      <w:tr>
        <w:trPr>
          <w:trHeight w:val="26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137,879</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129,577</w:t>
            </w: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4,498</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4,079</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7,643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7,267</w:t>
            </w: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9,900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14,910</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22,510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26,725</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1,649</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incentive, excluding current portion</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2,817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3,051</w:t>
            </w: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excluding current portion</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2,971</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26,989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34,396</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200,000,000 shares authorized; 32,706,863 and 28,067,402 shares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issued as of June 30, 2021 and December 31, 2020, respectively; 32,659,740 and 27,941,566 shares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June 30, 2021 and December 31, 2020, respectively</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w w:val="98"/>
              </w:rPr>
              <w:t>Treasury stock, at cost; 21 shares as of June 30, 2021 and no shares as of December 31, 2020</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369,133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316,775</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(258,267)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(221,620)</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110,890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95,181</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137,879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129,577</w:t>
            </w: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17,378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12,775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33,712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27,257</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6,685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12,183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10,213</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17,924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45,895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37,470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(34,720)</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583</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3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r>
      <w:tr>
        <w:trPr>
          <w:trHeight w:val="25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32,636</w:t>
            </w:r>
          </w:p>
        </w:tc>
        <w:tc>
          <w:tcPr>
            <w:tcW w:w="1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23,854</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32,076</w:t>
            </w:r>
          </w:p>
        </w:tc>
        <w:tc>
          <w:tcPr>
            <w:tcW w:w="1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23,287</w:t>
            </w: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(19,648)</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(15,685)</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(36,647)</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(34,137)</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(loss) gain: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81</w:t>
            </w:r>
          </w:p>
        </w:tc>
      </w:tr>
      <w:tr>
        <w:trPr>
          <w:trHeight w:val="223"/>
        </w:trPr>
        <w:tc>
          <w:tcPr>
            <w:tcW w:w="58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(loss) gain</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81</w:t>
            </w: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(36,654)</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3"/>
                <w:szCs w:val="13"/>
                <w:b w:val="1"/>
                <w:bCs w:val="1"/>
                <w:color w:val="auto"/>
              </w:rPr>
              <w:t>Paid-In</w:t>
            </w:r>
          </w:p>
        </w:tc>
        <w:tc>
          <w:tcPr>
            <w:tcW w:w="116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5"/>
              </w:rPr>
              <w:t>Gain (Loss)</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22,654,444</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473"/>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237,931</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(150,801)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87,153</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w w:val="99"/>
              </w:rPr>
              <w:t>Issuance of common stock under employee benefit plans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36,472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102,221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Repurchase of unvested restricted stock awards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8,787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Retirement of treasury shares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(8,787)</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1,693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1,693</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2"/>
        </w:trPr>
        <w:tc>
          <w:tcPr>
            <w:tcW w:w="35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loss</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(18,452)</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(18,452)</w:t>
            </w:r>
          </w:p>
        </w:tc>
        <w:tc>
          <w:tcPr>
            <w:tcW w:w="0" w:type="dxa"/>
            <w:vAlign w:val="bottom"/>
          </w:tcPr>
          <w:p>
            <w:pPr>
              <w:spacing w:after="0"/>
              <w:rPr>
                <w:sz w:val="1"/>
                <w:szCs w:val="1"/>
                <w:color w:val="auto"/>
              </w:rPr>
            </w:pPr>
          </w:p>
        </w:tc>
      </w:tr>
      <w:tr>
        <w:trPr>
          <w:trHeight w:val="156"/>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Balance at March 31, 2020</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22,793,137</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473"/>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239,914</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(169,253)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70,631</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Issuance of common stock in connection with private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40" w:type="dxa"/>
            <w:vAlign w:val="bottom"/>
          </w:tcPr>
          <w:p>
            <w:pPr>
              <w:ind w:left="260"/>
              <w:spacing w:after="0"/>
              <w:rPr>
                <w:sz w:val="20"/>
                <w:szCs w:val="20"/>
                <w:color w:val="auto"/>
              </w:rPr>
            </w:pPr>
            <w:r>
              <w:rPr>
                <w:rFonts w:ascii="Arial" w:cs="Arial" w:eastAsia="Arial" w:hAnsi="Arial"/>
                <w:sz w:val="13"/>
                <w:szCs w:val="13"/>
                <w:color w:val="auto"/>
                <w:w w:val="97"/>
              </w:rPr>
              <w:t>placement, net of placement agent fees and offering costs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4,029,411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64,313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64,317</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9"/>
              </w:rPr>
              <w:t>Issuance of common stock under employee benefit plans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70,904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525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Vesting of restricted stock awards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330,344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unvested restricted stock awards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10,642</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Retirement of treasury shares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(10,642)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2,204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2,204</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Unrealized gain on marketable securities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(15,685)</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(15,685)</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3"/>
                <w:szCs w:val="13"/>
                <w:color w:val="auto"/>
              </w:rPr>
              <w:t>Balance at June 30, 2020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27,223,796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306,961</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(184,938)</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122,131</w:t>
            </w:r>
          </w:p>
        </w:tc>
        <w:tc>
          <w:tcPr>
            <w:tcW w:w="0" w:type="dxa"/>
            <w:vAlign w:val="bottom"/>
          </w:tcPr>
          <w:p>
            <w:pPr>
              <w:spacing w:after="0"/>
              <w:rPr>
                <w:sz w:val="1"/>
                <w:szCs w:val="1"/>
                <w:color w:val="auto"/>
              </w:rPr>
            </w:pPr>
          </w:p>
        </w:tc>
      </w:tr>
      <w:tr>
        <w:trPr>
          <w:trHeight w:val="143"/>
        </w:trPr>
        <w:tc>
          <w:tcPr>
            <w:tcW w:w="35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at December 31, 2020</w:t>
            </w:r>
          </w:p>
        </w:tc>
        <w:tc>
          <w:tcPr>
            <w:tcW w:w="8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27,941,566</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28</w:t>
            </w:r>
          </w:p>
        </w:tc>
        <w:tc>
          <w:tcPr>
            <w:tcW w:w="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316,775</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(221,620)</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rPr>
              <w:t>95,181</w:t>
            </w:r>
          </w:p>
        </w:tc>
        <w:tc>
          <w:tcPr>
            <w:tcW w:w="0" w:type="dxa"/>
            <w:vAlign w:val="bottom"/>
          </w:tcPr>
          <w:p>
            <w:pPr>
              <w:spacing w:after="0"/>
              <w:rPr>
                <w:sz w:val="1"/>
                <w:szCs w:val="1"/>
                <w:color w:val="auto"/>
              </w:rPr>
            </w:pPr>
          </w:p>
        </w:tc>
      </w:tr>
      <w:tr>
        <w:trPr>
          <w:trHeight w:val="151"/>
        </w:trPr>
        <w:tc>
          <w:tcPr>
            <w:tcW w:w="3540" w:type="dxa"/>
            <w:vAlign w:val="bottom"/>
          </w:tcPr>
          <w:p>
            <w:pPr>
              <w:ind w:left="260"/>
              <w:spacing w:after="0"/>
              <w:rPr>
                <w:sz w:val="20"/>
                <w:szCs w:val="20"/>
                <w:color w:val="auto"/>
              </w:rPr>
            </w:pPr>
            <w:r>
              <w:rPr>
                <w:rFonts w:ascii="Arial" w:cs="Arial" w:eastAsia="Arial" w:hAnsi="Arial"/>
                <w:sz w:val="13"/>
                <w:szCs w:val="13"/>
                <w:color w:val="auto"/>
              </w:rPr>
              <w:t>Issuance of common stock in connection with follow-on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40" w:type="dxa"/>
            <w:vAlign w:val="bottom"/>
          </w:tcPr>
          <w:p>
            <w:pPr>
              <w:ind w:left="260"/>
              <w:spacing w:after="0"/>
              <w:rPr>
                <w:sz w:val="20"/>
                <w:szCs w:val="20"/>
                <w:color w:val="auto"/>
              </w:rPr>
            </w:pPr>
            <w:r>
              <w:rPr>
                <w:rFonts w:ascii="Arial" w:cs="Arial" w:eastAsia="Arial" w:hAnsi="Arial"/>
                <w:sz w:val="13"/>
                <w:szCs w:val="13"/>
                <w:color w:val="auto"/>
              </w:rPr>
              <w:t>offering, net of issuance costs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4,600,000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47,402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47,407</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9"/>
              </w:rPr>
              <w:t>Issuance of common stock under employee benefit plans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11,888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Vesting of restricted stock awards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40,982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unvested restricted stock awards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1,836</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Retirement of treasury shares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(1,836)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2,073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2,073</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(16,999)</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(16,999)</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Arial" w:cs="Arial" w:eastAsia="Arial" w:hAnsi="Arial"/>
                <w:sz w:val="13"/>
                <w:szCs w:val="13"/>
                <w:color w:val="auto"/>
              </w:rPr>
              <w:t>Balance at March 31, 2021</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32,594,436</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366,344</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(238,619)</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127,754</w:t>
            </w:r>
          </w:p>
        </w:tc>
        <w:tc>
          <w:tcPr>
            <w:tcW w:w="0" w:type="dxa"/>
            <w:vAlign w:val="bottom"/>
          </w:tcPr>
          <w:p>
            <w:pPr>
              <w:spacing w:after="0"/>
              <w:rPr>
                <w:sz w:val="1"/>
                <w:szCs w:val="1"/>
                <w:color w:val="auto"/>
              </w:rPr>
            </w:pPr>
          </w:p>
        </w:tc>
      </w:tr>
      <w:tr>
        <w:trPr>
          <w:trHeight w:val="143"/>
        </w:trPr>
        <w:tc>
          <w:tcPr>
            <w:tcW w:w="354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w w:val="99"/>
              </w:rPr>
              <w:t>Issuance of common stock under employee benefit plans</w:t>
            </w:r>
          </w:p>
        </w:tc>
        <w:tc>
          <w:tcPr>
            <w:tcW w:w="8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30,008</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242</w:t>
            </w: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Vesting of restricted stock awards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35,296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unvested restricted stock awards</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2,435</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Retirement of treasury shares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(2,414)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2,546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2,546</w:t>
            </w:r>
          </w:p>
        </w:tc>
        <w:tc>
          <w:tcPr>
            <w:tcW w:w="0" w:type="dxa"/>
            <w:vAlign w:val="bottom"/>
          </w:tcPr>
          <w:p>
            <w:pPr>
              <w:spacing w:after="0"/>
              <w:rPr>
                <w:sz w:val="1"/>
                <w:szCs w:val="1"/>
                <w:color w:val="auto"/>
              </w:rPr>
            </w:pPr>
          </w:p>
        </w:tc>
      </w:tr>
      <w:tr>
        <w:trPr>
          <w:trHeight w:val="162"/>
        </w:trPr>
        <w:tc>
          <w:tcPr>
            <w:tcW w:w="3540" w:type="dxa"/>
            <w:vAlign w:val="bottom"/>
          </w:tcPr>
          <w:p>
            <w:pPr>
              <w:ind w:left="260"/>
              <w:spacing w:after="0"/>
              <w:rPr>
                <w:sz w:val="20"/>
                <w:szCs w:val="20"/>
                <w:color w:val="auto"/>
              </w:rPr>
            </w:pPr>
            <w:r>
              <w:rPr>
                <w:rFonts w:ascii="Arial" w:cs="Arial" w:eastAsia="Arial" w:hAnsi="Arial"/>
                <w:sz w:val="13"/>
                <w:szCs w:val="13"/>
                <w:color w:val="auto"/>
              </w:rPr>
              <w:t>Unrealized loss on marketable securities</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(19,648)</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(19,648)</w:t>
            </w:r>
          </w:p>
        </w:tc>
        <w:tc>
          <w:tcPr>
            <w:tcW w:w="0" w:type="dxa"/>
            <w:vAlign w:val="bottom"/>
          </w:tcPr>
          <w:p>
            <w:pPr>
              <w:spacing w:after="0"/>
              <w:rPr>
                <w:sz w:val="1"/>
                <w:szCs w:val="1"/>
                <w:color w:val="auto"/>
              </w:rPr>
            </w:pPr>
          </w:p>
        </w:tc>
      </w:tr>
      <w:tr>
        <w:trPr>
          <w:trHeight w:val="155"/>
        </w:trPr>
        <w:tc>
          <w:tcPr>
            <w:tcW w:w="3540" w:type="dxa"/>
            <w:vAlign w:val="bottom"/>
          </w:tcPr>
          <w:p>
            <w:pPr>
              <w:spacing w:after="0"/>
              <w:rPr>
                <w:sz w:val="20"/>
                <w:szCs w:val="20"/>
                <w:color w:val="auto"/>
              </w:rPr>
            </w:pPr>
            <w:r>
              <w:rPr>
                <w:rFonts w:ascii="Arial" w:cs="Arial" w:eastAsia="Arial" w:hAnsi="Arial"/>
                <w:sz w:val="13"/>
                <w:szCs w:val="13"/>
                <w:color w:val="auto"/>
              </w:rPr>
              <w:t>Balance at June 30, 2021</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32,659,740</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21</w:t>
            </w:r>
          </w:p>
        </w:tc>
        <w:tc>
          <w:tcPr>
            <w:tcW w:w="70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369,133</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(258,267)</w:t>
            </w:r>
          </w:p>
        </w:tc>
        <w:tc>
          <w:tcPr>
            <w:tcW w:w="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110,890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Six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(36,647)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(34,137)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1,275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4,619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Unbilled accounts receivable</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1,773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622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(7,981)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(34,047)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(29,325)</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(51,785)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(72,653)</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38,673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16,800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(13,939)</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(56,630)</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Payment of initial public offering costs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20"/>
                <w:szCs w:val="20"/>
                <w:color w:val="auto"/>
              </w:rPr>
            </w:pPr>
            <w:r>
              <w:rPr>
                <w:rFonts w:ascii="Arial" w:cs="Arial" w:eastAsia="Arial" w:hAnsi="Arial"/>
                <w:sz w:val="16"/>
                <w:szCs w:val="16"/>
                <w:color w:val="auto"/>
                <w:w w:val="97"/>
              </w:rPr>
              <w:t>Proceeds from issuance of common stock in connection with private placement, net of placement agent fees and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6"/>
                <w:szCs w:val="16"/>
                <w:color w:val="auto"/>
              </w:rPr>
              <w:t>offering costs</w:t>
            </w:r>
          </w:p>
        </w:tc>
        <w:tc>
          <w:tcPr>
            <w:tcW w:w="9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64,368</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in connection with follow-on offering, net of issuance costs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47,407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Principal payments on capital lease obligations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under benefit plans, net</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47,713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64,960</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58,144</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97,805</w:t>
            </w: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57,871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76,810</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6"/>
                <w:szCs w:val="16"/>
                <w:color w:val="auto"/>
              </w:rPr>
              <w:t>Public offering costs unpaid at end of period</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reconciliation of the cash, cash equivalents, and restricted cash balances as of each of the periods shown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563"/>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7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2020</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FF0FC"/>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56,779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75,718</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1,092</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w:t>
            </w:r>
          </w:p>
        </w:tc>
        <w:tc>
          <w:tcPr>
            <w:tcW w:w="1060" w:type="dxa"/>
            <w:vAlign w:val="bottom"/>
            <w:tcBorders>
              <w:bottom w:val="single" w:sz="8" w:color="auto"/>
            </w:tcBorders>
            <w:shd w:val="clear" w:color="auto" w:fill="CFF0FC"/>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57,871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76,810</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80" w:firstLine="382"/>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80" w:firstLine="382"/>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2021 and the results of its operations and its cash flows for the three and six months ended June 30, 2021 and 2020. The results for the three and six months ended June 30, 2021 are not necessarily indicative of results to be expected for the year ending December 31, 2021, any other interim periods, or any future year or period. These consolidated financial statements should be read in conjunction with the Company’s audited consolidated financial statements and the notes thereto for the year ended December 31, 2020 included in the Company’s Annual Report on Form 10-K filed with the Securities and Exchange Commission (the “SEC”) on March 4, 2021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0" w:lineRule="exact"/>
        <w:rPr>
          <w:sz w:val="20"/>
          <w:szCs w:val="20"/>
          <w:color w:val="auto"/>
        </w:rPr>
      </w:pPr>
    </w:p>
    <w:p>
      <w:pPr>
        <w:ind w:firstLine="464"/>
        <w:spacing w:after="0" w:line="255"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June 30, 2021, the Company has issued and sold 550,000 shares under the ATM Offering, resulting in aggregate net proceeds of $5.7 million after deducting issuance costs of $0.2 million.</w:t>
      </w:r>
    </w:p>
    <w:p>
      <w:pPr>
        <w:spacing w:after="0" w:line="192" w:lineRule="exact"/>
        <w:rPr>
          <w:sz w:val="20"/>
          <w:szCs w:val="20"/>
          <w:color w:val="auto"/>
        </w:rPr>
      </w:pPr>
    </w:p>
    <w:p>
      <w:pPr>
        <w:ind w:right="220" w:firstLine="464"/>
        <w:spacing w:after="0" w:line="263"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and MyoKardia, Inc. (“MyoKardia”), a wholly owned subsidiary of Bristol Myers Squibb Company. As of June 30, 2021, the Company had an accumulated deficit of $258.3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7"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60" w:firstLine="382"/>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160" w:firstLine="382"/>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2020 included in the Company’s Annual Report on Form 10-K. There have been no material changes in the Company’s significant accounting policies during the six months ended June 30,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corporate bonds, commercial paper, and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2016-02, as amended.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7"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61" w:lineRule="exact"/>
        <w:rPr>
          <w:sz w:val="20"/>
          <w:szCs w:val="20"/>
          <w:color w:val="auto"/>
        </w:rPr>
      </w:pPr>
    </w:p>
    <w:p>
      <w:pPr>
        <w:jc w:val="both"/>
        <w:ind w:right="120" w:firstLine="382"/>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June 30, 2021 and December 31,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8"/>
              </w:rPr>
              <w:t>Fair Value Measurements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46,879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46,879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46,027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46,027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125,550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46,879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78,671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57,052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55,862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between fair value levels during the three and six months ended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equivalents and marketable securities consisted of the following as of June 30, 2021 and December 31, 2020 (in thousands):</w:t>
      </w:r>
    </w:p>
    <w:p>
      <w:pPr>
        <w:spacing w:after="0" w:line="25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Fair Value Measurements at</w:t>
      </w:r>
    </w:p>
    <w:p>
      <w:pPr>
        <w:jc w:val="center"/>
        <w:ind w:left="5680"/>
        <w:spacing w:after="0" w:line="236" w:lineRule="auto"/>
        <w:rPr>
          <w:sz w:val="20"/>
          <w:szCs w:val="20"/>
          <w:color w:val="auto"/>
        </w:rPr>
      </w:pPr>
      <w:r>
        <w:rPr>
          <w:rFonts w:ascii="Arial" w:cs="Arial" w:eastAsia="Arial" w:hAnsi="Arial"/>
          <w:sz w:val="14"/>
          <w:szCs w:val="14"/>
          <w:b w:val="1"/>
          <w:bCs w:val="1"/>
          <w:color w:val="auto"/>
        </w:rPr>
        <w:t>June 30, 2021</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24"/>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tcPr>
          <w:p>
            <w:pPr>
              <w:spacing w:after="0"/>
              <w:rPr>
                <w:sz w:val="19"/>
                <w:szCs w:val="19"/>
                <w:color w:val="auto"/>
              </w:rPr>
            </w:pPr>
          </w:p>
        </w:tc>
        <w:tc>
          <w:tcPr>
            <w:tcW w:w="106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46,027</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68,780</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68,771</w:t>
            </w:r>
          </w:p>
        </w:tc>
        <w:tc>
          <w:tcPr>
            <w:tcW w:w="1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125,559</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Fair Value Measurements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tcPr>
          <w:p>
            <w:pPr>
              <w:jc w:val="center"/>
              <w:ind w:left="124"/>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40" w:type="dxa"/>
            <w:vAlign w:val="bottom"/>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106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112,916</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gridSpan w:val="2"/>
            <w:vMerge w:val="continue"/>
          </w:tcPr>
          <w:p>
            <w:pPr>
              <w:spacing w:after="0"/>
              <w:rPr>
                <w:sz w:val="19"/>
                <w:szCs w:val="19"/>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00" w:firstLine="382"/>
        <w:spacing w:after="0" w:line="277" w:lineRule="auto"/>
        <w:rPr>
          <w:sz w:val="20"/>
          <w:szCs w:val="20"/>
          <w:color w:val="auto"/>
        </w:rPr>
      </w:pPr>
      <w:r>
        <w:rPr>
          <w:rFonts w:ascii="Arial" w:cs="Arial" w:eastAsia="Arial" w:hAnsi="Arial"/>
          <w:sz w:val="18"/>
          <w:szCs w:val="18"/>
          <w:color w:val="auto"/>
        </w:rPr>
        <w:t>There were no sales of marketable securities during the three and six months ended June 30, 2021. As of June 30, 2021, the aggregate fair value of securities that were in an unrealized loss position for less than twelve months was $48.0 million.</w:t>
      </w:r>
    </w:p>
    <w:p>
      <w:pPr>
        <w:spacing w:after="0" w:line="170"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The Company determined that it did not hold any securities with any other-than-temporary impairment as of June 30, 2021. As of June 30, 2021, the remaining contractual maturity of all of the Company’s marketable securities is less than one year. As of June 30, 2021, the Company did not intend to sell, and would not be more likely than not required to sell, the securities in an unrealized loss position before recovery of their amortized cost bases.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7,319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6,877</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14,956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14,515</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7,745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8,397</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82"/>
        <w:spacing w:after="0" w:line="308" w:lineRule="auto"/>
        <w:rPr>
          <w:sz w:val="20"/>
          <w:szCs w:val="20"/>
          <w:color w:val="auto"/>
        </w:rPr>
      </w:pPr>
      <w:r>
        <w:rPr>
          <w:rFonts w:ascii="Arial" w:cs="Arial" w:eastAsia="Arial" w:hAnsi="Arial"/>
          <w:sz w:val="18"/>
          <w:szCs w:val="18"/>
          <w:color w:val="auto"/>
        </w:rPr>
        <w:t>Depreciation expense for the three months ended June 30, 2021 and 2020 was $0.7 million and $0.6 million, respectively. Depreciation expense for the six months ended June 30, 2021 and 2020 was $1.3 million and $1.1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w w:val="93"/>
              </w:rPr>
              <w:t>Accrued expenses and other current liabilities consisted of the following (in thousands):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Payroll and benefits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As of June 30, 2021 and December 31, 2020, 5,000,000 shares of undesignated preferred stock were authorized. No shares of preferred stock were issued or outstanding as of June 30, 2021 and December 31, 2020.</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and December 31, 2020, 200,000,000 shares of common stock, $0.001 par value per share, were authorized.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14" w:name="page15"/>
    <w:bookmarkEnd w:id="14"/>
    <w:p>
      <w:pPr>
        <w:jc w:val="both"/>
        <w:ind w:right="100" w:firstLine="382"/>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2021 and December 31, 2020, the Company has reserved for future issuance the following number of shares of common stock:</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4,674,037</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2,962,347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1,116,934</w:t>
            </w:r>
          </w:p>
        </w:tc>
        <w:tc>
          <w:tcPr>
            <w:tcW w:w="14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1,728,616</w:t>
            </w:r>
          </w:p>
        </w:tc>
      </w:tr>
      <w:tr>
        <w:trPr>
          <w:trHeight w:val="215"/>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729,900</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465,999</w:t>
            </w:r>
          </w:p>
        </w:tc>
      </w:tr>
      <w:tr>
        <w:trPr>
          <w:trHeight w:val="223"/>
        </w:trPr>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6,520,871</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5,156,962</w:t>
            </w:r>
          </w:p>
        </w:tc>
      </w:tr>
      <w:tr>
        <w:trPr>
          <w:trHeight w:val="20"/>
        </w:trPr>
        <w:tc>
          <w:tcPr>
            <w:tcW w:w="3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340" w:firstLine="382"/>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2021,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will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On January 1, 2021, the number of shares reserved for issuance under the 2019 Plan was increased by 1,122,696 shares. As of June 30, 2021, there were 1,116,934 shares available for future issuance under the 2019 Plan.</w:t>
      </w:r>
    </w:p>
    <w:p>
      <w:pPr>
        <w:spacing w:after="0" w:line="178" w:lineRule="exact"/>
        <w:rPr>
          <w:sz w:val="20"/>
          <w:szCs w:val="20"/>
          <w:color w:val="auto"/>
        </w:rPr>
      </w:pPr>
    </w:p>
    <w:p>
      <w:pPr>
        <w:jc w:val="both"/>
        <w:ind w:right="260" w:firstLine="382"/>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320" w:firstLine="382"/>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380" w:firstLine="382"/>
        <w:spacing w:after="0" w:line="277" w:lineRule="auto"/>
        <w:rPr>
          <w:sz w:val="20"/>
          <w:szCs w:val="20"/>
          <w:color w:val="auto"/>
        </w:rPr>
      </w:pPr>
      <w:r>
        <w:rPr>
          <w:rFonts w:ascii="Arial" w:cs="Arial" w:eastAsia="Arial" w:hAnsi="Arial"/>
          <w:sz w:val="18"/>
          <w:szCs w:val="18"/>
          <w:color w:val="auto"/>
        </w:rPr>
        <w:t>The following table summarizes the Company’s restricted stock activity under the 2019 Plan and 2016 Plan during the six months ended June 30, 2021:</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1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82,978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2021</w:t>
            </w: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32,837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100" w:firstLine="382"/>
        <w:spacing w:after="0" w:line="263"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The following table summarizes the Company’s stock option activity under the 2019 Plan and 2016 Plan during the six months ended June 30,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2,962,347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5,767,895</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1,943,687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4,674,037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3,954,866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1,937,737</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1,260,910</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82"/>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The weighted average grant date fair value of stock options granted in the three and six months ended June 30, 2021 was $7.71 per share and $8.60 per share, respectively. The weighted average grant date fair value of stock options granted in the three and six months ended June 30, 2020 was $9.76 per share and $10.94 per share, respectively. The total intrinsic value of stock options exercised during the three and six months ended June 30, 2021 was less than $0.1 million and $0.1 million, respectively. The total intrinsic value of stock options exercised during the three and six months ended June 30, 2020 was $0.8 million and $1.1 million, respectively. The fair value of stock options granted during the three and six months ended June 30, 2021 and 2020 under the 2019 Plan has been calculated on the date of grant using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w:t>
            </w: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2021</w:t>
            </w: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June 30, 2020</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640" w:type="dxa"/>
            <w:vAlign w:val="bottom"/>
            <w:gridSpan w:val="2"/>
            <w:shd w:val="clear" w:color="auto" w:fill="CFF0FC"/>
          </w:tcPr>
          <w:p>
            <w:pPr>
              <w:jc w:val="right"/>
              <w:ind w:right="12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75.7%</w:t>
            </w: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40" w:type="dxa"/>
            <w:vAlign w:val="bottom"/>
            <w:gridSpan w:val="2"/>
          </w:tcPr>
          <w:p>
            <w:pPr>
              <w:jc w:val="right"/>
              <w:ind w:right="100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Grants Outside of the 2016 Plan and the 2019 Plan</w:t>
      </w:r>
    </w:p>
    <w:p>
      <w:pPr>
        <w:spacing w:after="0" w:line="225"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The following table summarizes the Company’s restricted stock activity outside of the 2019 Plan and 2016 Plan during the six months ended June 30, 2021:</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42,858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2021</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14,286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June 30, 2021 and 2020 was $0.4 million and $6.0 million, respectively. The aggregate intrinsic value of all restricted stock awards that vested during the six months ended June 30, 2021 and 2020 was $0.9 million and $7.6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1,953</w:t>
            </w: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1,944</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3,897</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As of June 30, 2021, the Company had an aggregate of $26.1 million of unrecognized stock-based compensation expense, which is expected to be recognized over a weighted average period of 2.86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is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2021, the number of shares reserved for issuance under the 2019 ESPP was increased by 280,674 shares. As of June 30, 2021, there were 729,900 shares available for future issuance under the ESPP.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20" w:firstLine="382"/>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7" w:name="page18"/>
    <w:bookmarkEnd w:id="17"/>
    <w:p>
      <w:pPr>
        <w:ind w:right="20" w:firstLine="382"/>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has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65"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ind w:right="80" w:firstLine="382"/>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firstLine="382"/>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60" w:firstLine="382"/>
        <w:spacing w:after="0" w:line="270"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225" w:lineRule="exact"/>
        <w:rPr>
          <w:sz w:val="20"/>
          <w:szCs w:val="20"/>
          <w:color w:val="auto"/>
        </w:rPr>
      </w:pPr>
    </w:p>
    <w:p>
      <w:pPr>
        <w:ind w:right="860" w:firstLine="382"/>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2021.</w:t>
      </w:r>
    </w:p>
    <w:p>
      <w:pPr>
        <w:spacing w:after="0" w:line="184"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180" w:firstLine="382"/>
        <w:spacing w:after="0" w:line="291" w:lineRule="auto"/>
        <w:rPr>
          <w:sz w:val="20"/>
          <w:szCs w:val="20"/>
          <w:color w:val="auto"/>
        </w:rPr>
      </w:pPr>
      <w:r>
        <w:rPr>
          <w:rFonts w:ascii="Arial" w:cs="Arial" w:eastAsia="Arial" w:hAnsi="Arial"/>
          <w:sz w:val="16"/>
          <w:szCs w:val="16"/>
          <w:color w:val="auto"/>
        </w:rPr>
        <w:t>During the three and six months ended June 30, 2021, the Company recognized $2.3 million and $4.9 million, respectively, of collaboration revenue associated with the Acceleron Collaboration Agreement, which includes $1.7 million and $3.8 million, respectively, of revenue recognized that was included in deferred revenue as of December 31, 2020. During the three and six months ended June 30, 2020, the Company recognized $2.0 million and $2.8 million, respectively, of collaboration revenue under the Acceleron Collaboration Agreement. As of June 30, 2021 and December 31, 2020, the Company recorded deferred revenue of $4.0 million and $7.9 million, respectively, associated with the Acceleron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t>performance obligations that are unsatisfied as of June 30, 2021 and December 31, 2020, respectively. As of June 30, 2021, the Company had received $2.7 million of cost reimbursement payments under the Acceleron Collaboration Agreement and $2.0 million associated with the achievement of specified research milestones. As of December 31, 2020, the Company had received $1.7 million of cost reimbursement payments, and no milestone or royalty payments under the Acceleron Collaboration Agreement. As of June 30, 2021, the Company had recorded no accounts receivable under the Acceleron Collaboration Agreement. As of December 31, 2020, the Company recorded accounts receivable of $2.0 million associated with the achievement of specified research milestones in December 2020. As of June 30, 2021, the Company recorded unbilled accounts receivable of $0.6 million related to reimbursable research and development costs under the Acceleron Collaboration Agreement for activities performed during the three months ended</w:t>
      </w:r>
    </w:p>
    <w:p>
      <w:pPr>
        <w:spacing w:after="0" w:line="2" w:lineRule="exact"/>
        <w:rPr>
          <w:sz w:val="20"/>
          <w:szCs w:val="20"/>
          <w:color w:val="auto"/>
        </w:rPr>
      </w:pPr>
    </w:p>
    <w:p>
      <w:pPr>
        <w:ind w:right="680"/>
        <w:spacing w:after="0" w:line="323" w:lineRule="auto"/>
        <w:rPr>
          <w:sz w:val="20"/>
          <w:szCs w:val="20"/>
          <w:color w:val="auto"/>
        </w:rPr>
      </w:pPr>
      <w:r>
        <w:rPr>
          <w:rFonts w:ascii="Arial" w:cs="Arial" w:eastAsia="Arial" w:hAnsi="Arial"/>
          <w:sz w:val="16"/>
          <w:szCs w:val="16"/>
          <w:color w:val="auto"/>
        </w:rPr>
        <w:t>June 30, 2021. As of December 31, 2020, the Company recorded unbilled accounts receivable of $0.5 million related to reimbursable research and development costs under the Acceleron Collaboration Agreement for activities performed during the three months ended December 31, 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100" w:firstLine="382"/>
        <w:spacing w:after="0" w:line="257"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8"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80" w:firstLine="382"/>
        <w:spacing w:after="0" w:line="270"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assessed the MyoKardia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00" w:firstLine="382"/>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ind w:right="860" w:firstLine="382"/>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2021.</w:t>
      </w:r>
    </w:p>
    <w:p>
      <w:pPr>
        <w:spacing w:after="0" w:line="184"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40" w:firstLine="382"/>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During the three and six months ended June 30, 2021, the Company recognized $2.0 million and $4.2 million, respectively, of collaboration revenue associated with the MyoKardia Collaboration Agreement, all of which was included in deferred revenue as of December 31, 2020. During the three and six months ended June 30, 2020, the Company did not recognize any revenue under the MyoKardia Collaboration Agreement as it had not yet entered into the MyoKardia Collaboration Agreement. As of June 30, 2021 and December 31, 2020, the Company recorded $5.9 million and $10.0 million, respectively, of deferred revenue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June 30, 2021. As of June 30, 2021, the Company had not received any milestone, royalty, or cost reimbursement payments under the MyoKardia Collaboration Agreement, other than the $2.5 million payment as prepaid research funding in July 2020. As of June 30, 2021, the Company has recorded unbilled accounts receivable of $0.1 million related to reimbursable MyoKardia Research Services costs under the MyoKardia Collaboration Agreement for activities performed during the three months ended June 30, 2021. As of December 31, 2020, the Company recorded no unbilled accounts receivable under the MyoKardia Collaboration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229"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Under the GSK Agreement, the Company issued 12,500,000 shares of Series B Preferred Stock to GSK. In addition, the Company may owe GSK up to $37.5 million in certain specified clinical and regulatory milestones, including $2.5 million previously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76" w:lineRule="exact"/>
        <w:rPr>
          <w:sz w:val="20"/>
          <w:szCs w:val="20"/>
          <w:color w:val="auto"/>
        </w:rPr>
      </w:pPr>
    </w:p>
    <w:p>
      <w:pPr>
        <w:ind w:right="300" w:firstLine="382"/>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2021 and December 31, 2020. Rent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expense associated with this lease for each of the three months ended June 30, 2021 and 2020 was approximately $0.5 million. Rent expense associated with this lease for each of the six months ended June 30, 2021 and 2020 was approximately $1.0 million.</w:t>
      </w:r>
    </w:p>
    <w:p>
      <w:pPr>
        <w:spacing w:after="0" w:line="170" w:lineRule="exact"/>
        <w:rPr>
          <w:sz w:val="20"/>
          <w:szCs w:val="20"/>
          <w:color w:val="auto"/>
        </w:rPr>
      </w:pPr>
    </w:p>
    <w:p>
      <w:pPr>
        <w:ind w:right="720" w:firstLine="382"/>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June 30, 2021,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(1)</w:t>
            </w:r>
          </w:p>
        </w:tc>
        <w:tc>
          <w:tcPr>
            <w:tcW w:w="232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r>
      <w:tr>
        <w:trPr>
          <w:trHeight w:val="229"/>
        </w:trPr>
        <w:tc>
          <w:tcPr>
            <w:tcW w:w="226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2022</w:t>
            </w: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226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r>
      <w:tr>
        <w:trPr>
          <w:trHeight w:val="230"/>
        </w:trPr>
        <w:tc>
          <w:tcPr>
            <w:tcW w:w="226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r>
      <w:tr>
        <w:trPr>
          <w:trHeight w:val="229"/>
        </w:trPr>
        <w:tc>
          <w:tcPr>
            <w:tcW w:w="2260" w:type="dxa"/>
            <w:vAlign w:val="bottom"/>
          </w:tcPr>
          <w:p>
            <w:pPr>
              <w:spacing w:after="0"/>
              <w:rPr>
                <w:sz w:val="19"/>
                <w:szCs w:val="19"/>
                <w:color w:val="auto"/>
              </w:rPr>
            </w:pPr>
          </w:p>
        </w:tc>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r>
      <w:tr>
        <w:trPr>
          <w:trHeight w:val="223"/>
        </w:trPr>
        <w:tc>
          <w:tcPr>
            <w:tcW w:w="2260" w:type="dxa"/>
            <w:vAlign w:val="bottom"/>
          </w:tcPr>
          <w:p>
            <w:pPr>
              <w:spacing w:after="0"/>
              <w:rPr>
                <w:sz w:val="19"/>
                <w:szCs w:val="19"/>
                <w:color w:val="auto"/>
              </w:rPr>
            </w:pPr>
          </w:p>
        </w:tc>
        <w:tc>
          <w:tcPr>
            <w:tcW w:w="3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18,301</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6"/>
        </w:trPr>
        <w:tc>
          <w:tcPr>
            <w:tcW w:w="2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4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Amounts are for the six months ending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right="240" w:firstLine="382"/>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June 30, 2021,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2021 or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2021 and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229"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4,674,037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2,809,596</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4,674,037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2,809,596</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47,123</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229,076</w:t>
            </w:r>
          </w:p>
        </w:tc>
        <w:tc>
          <w:tcPr>
            <w:tcW w:w="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47,123</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229,076</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4,721,160</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3,038,672</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4,721,160</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3,038,672</w:t>
            </w: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40" w:type="dxa"/>
            <w:vAlign w:val="bottom"/>
          </w:tcPr>
          <w:p>
            <w:pPr>
              <w:jc w:val="right"/>
              <w:ind w:right="78"/>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4,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82"/>
        <w:spacing w:after="0" w:line="269"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or the ReDUX4 trial, and a Phase 2 open label clinical trial of losmapimod, our product candidate for FSHD, to evaluate the efficacy and safety of losmapimod in addressing the underlying cause of FSHD. In April 2021, the FDA granted fast track designation to losmapimod for the treatment of FSHD. We completed the ReDUX4 trial in January 2021 and presented full data from the trial at the FSHD International Research Congress on June 24, 2021. We plan to meet with health authorities, including the U.S. Food and Drug Administration, or FDA, in the second half of 2021 to determine the regulatory path for losmapimod in FSHD.</w:t>
      </w:r>
    </w:p>
    <w:p>
      <w:pPr>
        <w:spacing w:after="0" w:line="185"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As a result of the COVID-19 pandemic, we announced in May 2020 that the ReDUX4 trial had been extended from 24 to 48 weeks to ensure the safety of participants during the pandemic. This extension also enabled the collection of safety and efficacy data, including structural, functional and patient reported data, over a longer time period.</w:t>
      </w:r>
    </w:p>
    <w:p>
      <w:pPr>
        <w:spacing w:after="0" w:line="184" w:lineRule="exact"/>
        <w:rPr>
          <w:sz w:val="20"/>
          <w:szCs w:val="20"/>
          <w:color w:val="auto"/>
        </w:rPr>
      </w:pPr>
    </w:p>
    <w:p>
      <w:pPr>
        <w:ind w:right="100" w:firstLine="382"/>
        <w:spacing w:after="0" w:line="270" w:lineRule="auto"/>
        <w:rPr>
          <w:sz w:val="20"/>
          <w:szCs w:val="20"/>
          <w:color w:val="auto"/>
        </w:rPr>
      </w:pPr>
      <w:r>
        <w:rPr>
          <w:rFonts w:ascii="Arial" w:cs="Arial" w:eastAsia="Arial" w:hAnsi="Arial"/>
          <w:sz w:val="17"/>
          <w:szCs w:val="17"/>
          <w:color w:val="auto"/>
        </w:rPr>
        <w:t>The primary endpoint was the change in DUX4-driven gene expression in affected skeletal muscle at 16 or 36 weeks, which was included as an experimental biomarker. The trial was also designed to capture a wide range of data relating to FSHD progression in addition to safety, target engagement and pharmacokinetic data. The secondary endpoints were evaluation of safety and tolerability in FSHD patients, pharmacokinetics in blood, losmapimod concentration in skeletal muscle biopsies, target engagement in blood and in muscle biopsies, and efficacy based on the whole-body skeletal muscle MRI biomarker. The whole-body MRI scans evaluated changes in muscle fat infiltration,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reachable workspace, timed up and go (TUG) test, an optimized timed up and go test for FSHD (FSHD TUG), muscle strength measured by hand-held dynamometry, other muscle function measures and patient reported outcomes.</w:t>
      </w:r>
    </w:p>
    <w:p>
      <w:pPr>
        <w:spacing w:after="0" w:line="181" w:lineRule="exact"/>
        <w:rPr>
          <w:sz w:val="20"/>
          <w:szCs w:val="20"/>
          <w:color w:val="auto"/>
        </w:rPr>
      </w:pPr>
    </w:p>
    <w:p>
      <w:pPr>
        <w:jc w:val="both"/>
        <w:ind w:right="640" w:firstLine="382"/>
        <w:spacing w:after="0" w:line="263" w:lineRule="auto"/>
        <w:rPr>
          <w:sz w:val="20"/>
          <w:szCs w:val="20"/>
          <w:color w:val="auto"/>
        </w:rPr>
      </w:pPr>
      <w:r>
        <w:rPr>
          <w:rFonts w:ascii="Arial" w:cs="Arial" w:eastAsia="Arial" w:hAnsi="Arial"/>
          <w:sz w:val="18"/>
          <w:szCs w:val="18"/>
          <w:color w:val="auto"/>
        </w:rPr>
        <w:t>The trial did not meet the primary endpoint. The data from certain of the secondary and exploratory endpoints showed clinically relevant and nominally statistically significant benefits in the losmapimod treated group versus placebo on multiple measures of structural and functional FSHD progression and patient reported outcomes at 48 weeks.</w:t>
      </w:r>
    </w:p>
    <w:p>
      <w:pPr>
        <w:spacing w:after="0" w:line="184"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Losmapimod was generally well-tolerated in the trial, with no drug-related serious adverse events reported. Over the course of the trial there were three discontinuations, none of which were assessed to be related to losmapimod, and 99% of eligible participants elected to continue to receive treatment with losmapimod in the open label extension of the ReDUX4 trial. We will continue to analyze data from each endpoint to determine their viability for future trials.</w:t>
      </w:r>
    </w:p>
    <w:p>
      <w:pPr>
        <w:spacing w:after="0" w:line="187"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In the fourth quarter of 2020, we initiated a Phase 1 clinical trial of FTX-6058, our product candidate for certain hemoglobinopathies, namely SCD and beta-thalassemia, which is a novel upregulator of fetal hemoglobin. The trial is an ongoing, randomized, double-blind, placebo-controlled trial designed to evaluate the safety, tolerability and pharmacokinetics of FTX-6058 in healthy adult volunteers. In August 2021, we reported interim data from the cohorts completed to date in the single ascending dose, or SAD, portion of the trial and the multiple ascending dose, or MAD, portion of the trial.</w:t>
      </w:r>
    </w:p>
    <w:p>
      <w:pPr>
        <w:spacing w:after="0" w:line="157"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In the SAD portion of the trial, healthy volunteers received a single oral dose of either placebo or 2, 4, 10, 20, 30 or 40 mg of FTX-6058. In the MAD portion of the trial, healthy volunteers received an oral dose of placebo or 2, 6, or 10 mg of FTX-6058 daily for 14 consecutive days. Subjects were seen 7 to 10 days after the conclusion of study drug or placebo for a safety follow-up. Safety assessments are performed regularly throughout the trial. The primary endpoint of this trial is safety and tolerability.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firstLine="382"/>
        <w:spacing w:after="0" w:line="257" w:lineRule="auto"/>
        <w:rPr>
          <w:sz w:val="20"/>
          <w:szCs w:val="20"/>
          <w:color w:val="auto"/>
        </w:rPr>
      </w:pPr>
      <w:r>
        <w:rPr>
          <w:rFonts w:ascii="Arial" w:cs="Arial" w:eastAsia="Arial" w:hAnsi="Arial"/>
          <w:sz w:val="18"/>
          <w:szCs w:val="18"/>
          <w:color w:val="auto"/>
        </w:rPr>
        <w:t>The trial is also collecting secondary pharmacokinetic measurements, including bioavailability and half-life assessments. Exploratory measures were included to assess target engagement, HBG mRNA changes and F-reticulocyte changes. We assessed target engagement of FTX-6058 as a change from baseline in the ratio of lysine 27 on histone H3, or H3K27me3, to total histone H3 in circulating monocytes. H3K27me3 is a downstream target of polycomb repressive complex 2, or PRC2. FTX-6058 is designed to bind embryonic ectoderm development and inhibit the transcriptional silencing activity of PRC2.</w:t>
      </w:r>
    </w:p>
    <w:p>
      <w:pPr>
        <w:spacing w:after="0" w:line="188" w:lineRule="exact"/>
        <w:rPr>
          <w:sz w:val="20"/>
          <w:szCs w:val="20"/>
          <w:color w:val="auto"/>
        </w:rPr>
      </w:pPr>
    </w:p>
    <w:p>
      <w:pPr>
        <w:ind w:right="580" w:firstLine="382"/>
        <w:spacing w:after="0" w:line="308" w:lineRule="auto"/>
        <w:rPr>
          <w:sz w:val="20"/>
          <w:szCs w:val="20"/>
          <w:color w:val="auto"/>
        </w:rPr>
      </w:pPr>
      <w:r>
        <w:rPr>
          <w:rFonts w:ascii="Arial" w:cs="Arial" w:eastAsia="Arial" w:hAnsi="Arial"/>
          <w:sz w:val="17"/>
          <w:szCs w:val="17"/>
          <w:color w:val="auto"/>
        </w:rPr>
        <w:t>Pharmacodynamic parameters assessed include changes in HBG mRNA, or HBG1/2 mRNA which encodes for γ-globin, a component of fetal hemoglobin, and changes in F-reticulocytes, which are immature red blood cells that contain fetal hemoglobin, or HbF.</w:t>
      </w:r>
    </w:p>
    <w:p>
      <w:pPr>
        <w:spacing w:after="0" w:line="146"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FTX-6058 has been generally well tolerated in all cohorts completed to date. There were no serious adverse events reported and no discontinuations. All treatment-emergent adverse events, or TEAEs, deemed at least possibly related were mild (Grade 1 or 2) in both the SAD and MAD cohorts. There was one Grade 4 TEAE in the 10 mg MAD cohort, which was determined to be unrelated to FTX-6058. No clinically significant changes in safety-related laboratory tests were reported during treatment periods for any of the FTX-6058 dose cohorts included in the analysis.</w:t>
      </w:r>
    </w:p>
    <w:p>
      <w:pPr>
        <w:spacing w:after="0" w:line="171" w:lineRule="exact"/>
        <w:rPr>
          <w:sz w:val="20"/>
          <w:szCs w:val="20"/>
          <w:color w:val="auto"/>
        </w:rPr>
      </w:pPr>
    </w:p>
    <w:p>
      <w:pPr>
        <w:ind w:right="220" w:firstLine="382"/>
        <w:spacing w:after="0" w:line="293" w:lineRule="auto"/>
        <w:rPr>
          <w:sz w:val="20"/>
          <w:szCs w:val="20"/>
          <w:color w:val="auto"/>
        </w:rPr>
      </w:pPr>
      <w:r>
        <w:rPr>
          <w:rFonts w:ascii="Arial" w:cs="Arial" w:eastAsia="Arial" w:hAnsi="Arial"/>
          <w:sz w:val="16"/>
          <w:szCs w:val="16"/>
          <w:color w:val="auto"/>
        </w:rPr>
        <w:t>Results from the MAD cohorts showed maximal target engagement as evidenced by 70% – 80% reduction in baseline H3K27me3 levels, which we believe represents proof of mechanism. The 10 mg dose showed a mean 4.5-fold induction in HBG mRNA at day 14 and mean 4.2-fold increases in F-reticulocytes at the safety follow-up, indicating increased HbF protein expression, which we believe represents proof of biology. The kinetics observed across the target engagement and pharmacodynamic endpoints are consistent with the process of erythropoiesis in healthy individuals. These results demonstrated a time- and dose-dependent relationship between target engagement, mRNA induction and F-reticulocyte increases. The increases in F-reticulocytes indicate that the HBG mRNA increases observed with FTX-6058 treatment are translating to HbF protein production.</w:t>
      </w:r>
    </w:p>
    <w:p>
      <w:pPr>
        <w:spacing w:after="0" w:line="164"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The table below presents the mean fold induction in HBG mRNA and increases in F-reticulocytes in subjects in the MAD portion of the trial at day 7, day 14 and at a safety follow-up 7 to 10 days after the 14-day treatment period. A total of six subjects were dosed with FTX-6058 in each cohort and two subjects were dosed with placebo in each cohort.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HBG mRNA Mean Fold Induction for FTX-6058 versus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191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F-Reticulocyte Mean Fold Increase for FTX-6058 Versus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208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We anticipate presenting additional data from all Phase 1 dose cohorts at an upcoming medical meeting in the fourth quarter of 2021, pending abstract acceptance.</w:t>
      </w:r>
    </w:p>
    <w:p>
      <w:pPr>
        <w:spacing w:after="0" w:line="170" w:lineRule="exact"/>
        <w:rPr>
          <w:sz w:val="20"/>
          <w:szCs w:val="20"/>
          <w:color w:val="auto"/>
        </w:rPr>
      </w:pPr>
    </w:p>
    <w:p>
      <w:pPr>
        <w:ind w:right="160" w:firstLine="382"/>
        <w:spacing w:after="0" w:line="257" w:lineRule="auto"/>
        <w:rPr>
          <w:sz w:val="20"/>
          <w:szCs w:val="20"/>
          <w:color w:val="auto"/>
        </w:rPr>
      </w:pPr>
      <w:r>
        <w:rPr>
          <w:rFonts w:ascii="Arial" w:cs="Arial" w:eastAsia="Arial" w:hAnsi="Arial"/>
          <w:sz w:val="18"/>
          <w:szCs w:val="18"/>
          <w:color w:val="auto"/>
        </w:rPr>
        <w:t>Based on the interim data, we anticipate initiating enrollment in a Phase 1b clinical trial in sickle cell patients in the fourth quarter of 2021. The trial will be an open-label, multi-dose trial starting at 6 mg once-daily dosing and will include a treatment period of up to three months. This trial will aim to demonstrate the safety, tolerability and pharmacokinetics/pharmacodynamic effects of FTX-6058 in people living with SCD (including induction of HbF protein). This trial could provide the opportunity to demonstrate HbF protein induction in people living with SCD and will be used to help inform a potential Phase 2/3 trial, which we anticipate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320"/>
        <w:spacing w:after="0" w:line="277" w:lineRule="auto"/>
        <w:rPr>
          <w:sz w:val="20"/>
          <w:szCs w:val="20"/>
          <w:color w:val="auto"/>
        </w:rPr>
      </w:pPr>
      <w:r>
        <w:rPr>
          <w:rFonts w:ascii="Arial" w:cs="Arial" w:eastAsia="Arial" w:hAnsi="Arial"/>
          <w:sz w:val="18"/>
          <w:szCs w:val="18"/>
          <w:color w:val="auto"/>
        </w:rPr>
        <w:t>initiating in 2023. These interim data also support the initiation of a clinical trial in non-SCD hemoglobinopathies (e.g., beta-thalassemia) for which we plan to submit an IND by year-end 2021. We anticipate initiating a clinical trial in non-SCD hemoglobinopathies in 2022.</w:t>
      </w:r>
    </w:p>
    <w:p>
      <w:pPr>
        <w:spacing w:after="0" w:line="170"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“at-the-market” offerings, or the ATM Offering, through issuances of convertible preferred stock, and from upfront payments received under our collaboration and license agreements.</w:t>
      </w:r>
    </w:p>
    <w:p>
      <w:pPr>
        <w:spacing w:after="0" w:line="192"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which includes 600,000 shares issued upon the exercise in full by the underwriters of their option to purchase additional shares at the public offering price, less underwriting discounts and commissions. The net proceeds of the offering were $47.4 million, after deducting underwriting discounts and commissions and offering expenses.</w:t>
      </w:r>
    </w:p>
    <w:p>
      <w:pPr>
        <w:spacing w:after="0" w:line="187" w:lineRule="exact"/>
        <w:rPr>
          <w:sz w:val="20"/>
          <w:szCs w:val="20"/>
          <w:color w:val="auto"/>
        </w:rPr>
      </w:pPr>
    </w:p>
    <w:p>
      <w:pPr>
        <w:ind w:right="200" w:firstLine="382"/>
        <w:spacing w:after="0" w:line="255"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$19.6 million and $36.6 million for the three and six months ended June 30, 2021, respectively, and $15.7 million and $34.1 million for the three and six months ended June 30, 2020, respectively. As of June 30, 2021, we had an accumulated deficit of $258.3 million. We expect our expenses and operating losses will increase substantially over the next several years in connection with our ongoing activities, as we:</w:t>
      </w:r>
    </w:p>
    <w:p>
      <w:pPr>
        <w:spacing w:after="0" w:line="84" w:lineRule="exact"/>
        <w:rPr>
          <w:sz w:val="20"/>
          <w:szCs w:val="20"/>
          <w:color w:val="auto"/>
        </w:rPr>
      </w:pPr>
    </w:p>
    <w:p>
      <w:pPr>
        <w:ind w:left="660" w:right="24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open label extension of our Phase 2b clinical trial for the treatment of FSHD and our ongoing Phase 2 open label clinical trial for the treatment of FSHD;</w:t>
      </w:r>
    </w:p>
    <w:p>
      <w:pPr>
        <w:spacing w:after="0" w:line="62" w:lineRule="exact"/>
        <w:rPr>
          <w:rFonts w:ascii="Arial" w:cs="Arial" w:eastAsia="Arial" w:hAnsi="Arial"/>
          <w:sz w:val="18"/>
          <w:szCs w:val="18"/>
          <w:color w:val="auto"/>
        </w:rPr>
      </w:pPr>
    </w:p>
    <w:p>
      <w:pPr>
        <w:ind w:left="660" w:right="4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Phase 1b clinical trial of FTX-6058 in patients with SCD;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44" w:lineRule="exact"/>
        <w:rPr>
          <w:rFonts w:ascii="Arial" w:cs="Arial" w:eastAsia="Arial" w:hAnsi="Arial"/>
          <w:sz w:val="18"/>
          <w:szCs w:val="18"/>
          <w:color w:val="auto"/>
        </w:rPr>
      </w:pPr>
    </w:p>
    <w:p>
      <w:pPr>
        <w:ind w:left="660" w:right="500" w:hanging="274"/>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44"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44" w:lineRule="exact"/>
        <w:rPr>
          <w:rFonts w:ascii="Arial" w:cs="Arial" w:eastAsia="Arial" w:hAnsi="Arial"/>
          <w:sz w:val="18"/>
          <w:szCs w:val="18"/>
          <w:color w:val="auto"/>
        </w:rPr>
      </w:pPr>
    </w:p>
    <w:p>
      <w:pPr>
        <w:ind w:left="660" w:right="440" w:hanging="27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firstLine="382"/>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As of June 30, 2021, we had $125.6 million in cash, cash equivalents, and marketable securities. We believe that our existing cash, cash equivalents, and marketable securities as of June 30, 2021 will enable us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2"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In December 2020, we achieved $2.0 million of specified research milestones associated with the Acceleron Collaboration Agreement.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40" w:firstLine="382"/>
        <w:spacing w:after="0" w:line="271" w:lineRule="auto"/>
        <w:rPr>
          <w:sz w:val="20"/>
          <w:szCs w:val="20"/>
          <w:color w:val="auto"/>
        </w:rPr>
      </w:pPr>
      <w:r>
        <w:rPr>
          <w:rFonts w:ascii="Arial" w:cs="Arial" w:eastAsia="Arial" w:hAnsi="Arial"/>
          <w:sz w:val="17"/>
          <w:szCs w:val="17"/>
          <w:color w:val="auto"/>
        </w:rPr>
        <w:t>For the three and six months ended June 30, 2021, we recognized $2.3 million and $4.9 million, respectively, of collaboration revenue under the Acceleron Collaboration Agreement. For the three and six months ended June 30, 2020, we recognized $2.0 million and $2.8 million, respectively, of collaboration revenue under the Acceleron Collaboration Agreement. As of June 30, 2021 and December 31, 2020, we have recorded $4.0 million and $7.9 million, respectively, of deferred revenue associated with the Acceleron Collaboration Agreement, which is classified as either current or net of current portion in our consolidated balance sheets based on the period over which the revenue is expected to be recognized. As of June 30, 2021, we had received $2.7 million of cost reimbursement payments, $2.0 million of milestone payments, and no royalty payments under the Acceleron Collaboration Agreement. As of June 30, 2021, we recorded unbilled accounts receivable of $0.6 million related to reimbursable research and development costs under the Acceleron Collaboration Agreement for activities performed during the three months ended June 30, 2021.</w:t>
      </w:r>
    </w:p>
    <w:p>
      <w:pPr>
        <w:spacing w:after="0" w:line="178"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92"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78"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For the three and six months ended June 30, 2021, we recognized $2.0 million and $4.2 million, respectively, of collaboration revenue under the MyoKardia Collaboration Agreement. For the three and six months ended June 30, 2020, we did not recognize any collaboration revenue in connection with this arrangement as we had not yet entered into the MyoKardia Collaboration Agreement. As of June 30, 2021 and December 31, 2020, we have recorded $5.9 million and $10.0 million, respectively, of deferred revenue associated with the MyoKardia Collaboration Agreement, which is classified as either current or net of current portion in our consolidated balance sheets based on the period over which the revenue is expected to be recognized. As of June 30, 2021, we had received no cost reimbursement payments and no milestone or royalty payments under the MyoKardia Collaboration Agreement, other than the $2.5 million payment as prepaid research funding in July 2020. As of June 30, 2021, we recorded unbilled accounts receivable of $0.1 million related to reimbursable research and development costs under the MyoKardia Collaboration Agreement for activities performed during the three months ended June 30, 2021.</w:t>
      </w:r>
    </w:p>
    <w:p>
      <w:pPr>
        <w:spacing w:after="0" w:line="192"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In the future, we will recognize additional revenue associated with the $10.0 million upfront payment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6"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660" w:right="1000" w:hanging="27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660" w:right="80" w:hanging="27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and six months ended June 30, 2021 and 2020. Pre-development candidate expenses, unallocated expenses and internal research and development expenses are classified separately.</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8,456</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17,378</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12,775</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33,712</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27,257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660" w:hanging="27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44" w:lineRule="exact"/>
        <w:rPr>
          <w:rFonts w:ascii="Arial" w:cs="Arial" w:eastAsia="Arial" w:hAnsi="Arial"/>
          <w:sz w:val="18"/>
          <w:szCs w:val="18"/>
          <w:color w:val="auto"/>
        </w:rPr>
      </w:pPr>
    </w:p>
    <w:p>
      <w:pPr>
        <w:ind w:left="660" w:right="460" w:hanging="27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operate a manufacturing facility, or secure manufacturing supply through relationships with third parties;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52"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June 30, 2021 and 2020,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17,378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12,775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6,685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17,924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Collaboration revenue increased by $2.4 million from $2.0 million for the three months ended June 30, 2020 to $4.4 million for the three months ended June 30, 2021.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three months ended June 30, 2021 and 2020, we recognized $2.3 million and $2.0 million of collaboration revenue under the Acceleron Collaboration Agreement, respectively. For the three months ended June 30, 2021, we recognized $2.1 million of collaboration revenue under the MyoKardia Collaboration Agreement. For the three months ended June 30, 2020, we did not recognize any collaboration revenue under the MyoKardia Collaboration Agreement as it had not yet been executed.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2021:</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Facility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17,378</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82"/>
        <w:spacing w:after="0" w:line="308" w:lineRule="auto"/>
        <w:rPr>
          <w:sz w:val="20"/>
          <w:szCs w:val="20"/>
          <w:color w:val="auto"/>
        </w:rPr>
      </w:pPr>
      <w:r>
        <w:rPr>
          <w:rFonts w:ascii="Arial" w:cs="Arial" w:eastAsia="Arial" w:hAnsi="Arial"/>
          <w:sz w:val="17"/>
          <w:szCs w:val="17"/>
          <w:color w:val="auto"/>
        </w:rPr>
        <w:t>Research and development expense increased by $4.6 million from $12.8 million for the three months ended June 30, 2020 to $17.4 million for the three months ended June 30, 2021. The increase in research and development expense was primarily attributable to the following:</w:t>
      </w:r>
    </w:p>
    <w:p>
      <w:pPr>
        <w:spacing w:after="0" w:line="38" w:lineRule="exact"/>
        <w:rPr>
          <w:sz w:val="20"/>
          <w:szCs w:val="20"/>
          <w:color w:val="auto"/>
        </w:rPr>
      </w:pPr>
    </w:p>
    <w:p>
      <w:pPr>
        <w:ind w:left="660" w:hanging="274"/>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$4.0 million in increased external research and development costs, primarily relating to our ongoing open label extension of our Phase 2b clinical trial of losmapimod for the treatment of FSHD, our ongoing Phase 2 open label clinical trial of losmapimod for the treatment of FSHD, our ongoing Phase 1 clinical trial of FTX-6058 in healthy adult volunteers and our planned Phase 1b clinical trial of FTX-6058 in patients with SCD;</w:t>
      </w:r>
    </w:p>
    <w:p>
      <w:pPr>
        <w:spacing w:after="0" w:line="40" w:lineRule="exact"/>
        <w:rPr>
          <w:rFonts w:ascii="Arial" w:cs="Arial" w:eastAsia="Arial" w:hAnsi="Arial"/>
          <w:sz w:val="16"/>
          <w:szCs w:val="16"/>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in increased employee compensation costs, primarily due to increased research and development headcount;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$0.2 million in facilities costs; and</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32" w:name="page33"/>
    <w:bookmarkEnd w:id="32"/>
    <w:p>
      <w:pPr>
        <w:ind w:left="660" w:hanging="27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$0.2 million in increased laboratory supplies costs, partially offset by less than a $0.1 million decrease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June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82"/>
        <w:spacing w:after="0" w:line="308" w:lineRule="auto"/>
        <w:rPr>
          <w:sz w:val="20"/>
          <w:szCs w:val="20"/>
          <w:color w:val="auto"/>
        </w:rPr>
      </w:pPr>
      <w:r>
        <w:rPr>
          <w:rFonts w:ascii="Arial" w:cs="Arial" w:eastAsia="Arial" w:hAnsi="Arial"/>
          <w:sz w:val="17"/>
          <w:szCs w:val="17"/>
          <w:color w:val="auto"/>
        </w:rPr>
        <w:t>General and administrative expenses increased by $1.6 million from $5.1 million for the three months ended June 30, 2020 to $6.7 million for the three months ended June 30, 2021. The increase in general and administrative expenses was primarily attributable to the following:</w:t>
      </w:r>
    </w:p>
    <w:p>
      <w:pPr>
        <w:spacing w:after="0" w:line="38" w:lineRule="exact"/>
        <w:rPr>
          <w:sz w:val="20"/>
          <w:szCs w:val="20"/>
          <w:color w:val="auto"/>
        </w:rPr>
      </w:pPr>
    </w:p>
    <w:p>
      <w:pPr>
        <w:ind w:left="660" w:right="380" w:hanging="27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increased employee compensation costs, including stock-based compensation expense, primarily due to increased general and administrative headcount to support the growth of our organization;</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 increased professional services costs;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Other income, net decreased by $0.2 million from $0.2 million for the three months ended June 30, 2020 to less than $0.1 million for the three months ended June 30, 2021. The decrease in other income, net was primarily attributable to a decrease in investment income on our cash, cash equivalents, and marketable securities as a result of an overall decreased rate of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summarizes our results of operations for the six months ended June 30, 2021, along with the changes in those items in dollars: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Collaboration revenue increased by $6.4 million from $2.8 million for the six months ended June 30, 2020 to $9.2 million for the six months ended June 30, 2021.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six months ended June 30, 2021 and 2020, we recognized $4.9 million and $2.8 million of collaboration revenue under the Acceleron Collaboration Agreement, respectively. For the six months ended June 30, 2021, we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color w:val="auto"/>
        </w:rPr>
        <w:t>recognized $4.2 million of collaboration revenue under the MyoKardia Collaboration Agreement. For the six months ended June 30, 2020, we did not recognize any collaboration revenue under the MyoKardia Collaboration Agreement as it had not yet been executed.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2021:</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Facility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33,712</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82"/>
        <w:spacing w:after="0" w:line="308" w:lineRule="auto"/>
        <w:rPr>
          <w:sz w:val="20"/>
          <w:szCs w:val="20"/>
          <w:color w:val="auto"/>
        </w:rPr>
      </w:pPr>
      <w:r>
        <w:rPr>
          <w:rFonts w:ascii="Arial" w:cs="Arial" w:eastAsia="Arial" w:hAnsi="Arial"/>
          <w:sz w:val="17"/>
          <w:szCs w:val="17"/>
          <w:color w:val="auto"/>
        </w:rPr>
        <w:t>Research and development expense increased by $6.5 million from $27.3 million for the six months ended June 30, 2020 to $33.7 million for the six months ended June 30, 2021. The increase in research and development expense was primarily attributable to the following:</w:t>
      </w:r>
    </w:p>
    <w:p>
      <w:pPr>
        <w:spacing w:after="0" w:line="38" w:lineRule="exact"/>
        <w:rPr>
          <w:sz w:val="20"/>
          <w:szCs w:val="20"/>
          <w:color w:val="auto"/>
        </w:rPr>
      </w:pPr>
    </w:p>
    <w:p>
      <w:pPr>
        <w:ind w:left="660" w:right="20" w:hanging="274"/>
        <w:spacing w:after="0" w:line="31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$5.7 million in increased external research and development costs, primarily relating to our ongoing open label extension of our Phase 2b clinical trial of losmapimod for the treatment of FSHD, our ongoing Phase 2 open label clinical trial of losmapimod for the treatment of FSHD, our ongoing Phase 1 clinical trial of FTX-6058 in healthy adult volunteers and our planned Phase 1b clinical trial of FTX-6058 in patients with SCD;</w:t>
      </w:r>
    </w:p>
    <w:p>
      <w:pPr>
        <w:spacing w:after="0" w:line="40" w:lineRule="exact"/>
        <w:rPr>
          <w:rFonts w:ascii="Arial" w:cs="Arial" w:eastAsia="Arial" w:hAnsi="Arial"/>
          <w:sz w:val="16"/>
          <w:szCs w:val="16"/>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$0.6 million in increased laboratory supplies costs;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in increased employee compensation costs, primarily due to increased research and development headcount;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in increased facilities costs, partially offset by a $0.2 million decrease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general and administrative expenses for the six months ended June 30, 2021:</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12,183</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82"/>
        <w:spacing w:after="0" w:line="308" w:lineRule="auto"/>
        <w:rPr>
          <w:sz w:val="20"/>
          <w:szCs w:val="20"/>
          <w:color w:val="auto"/>
        </w:rPr>
      </w:pPr>
      <w:r>
        <w:rPr>
          <w:rFonts w:ascii="Arial" w:cs="Arial" w:eastAsia="Arial" w:hAnsi="Arial"/>
          <w:sz w:val="17"/>
          <w:szCs w:val="17"/>
          <w:color w:val="auto"/>
        </w:rPr>
        <w:t>General and administrative expenses increased by $2.0 million from $10.2 million for the six months ended June 30, 2020 to $12.2 million for the six months ended June 30, 2021. The increase in general and administrative expenses was primarily attributable to the following:</w:t>
      </w:r>
    </w:p>
    <w:p>
      <w:pPr>
        <w:spacing w:after="0" w:line="38" w:lineRule="exact"/>
        <w:rPr>
          <w:sz w:val="20"/>
          <w:szCs w:val="20"/>
          <w:color w:val="auto"/>
        </w:rPr>
      </w:pPr>
    </w:p>
    <w:p>
      <w:pPr>
        <w:ind w:left="660" w:right="320" w:hanging="27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 million in increased employee compensation costs, including stock-based compensation expense, primarily due to increased general and administrative headcount to support the growth of our organization;</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$0.8 million in increased professional services costs; and</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4" w:name="page35"/>
    <w:bookmarkEnd w:id="34"/>
    <w:p>
      <w:pPr>
        <w:ind w:left="660" w:hanging="27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$0.2 million in other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60" w:firstLine="382"/>
        <w:spacing w:after="0" w:line="263" w:lineRule="auto"/>
        <w:rPr>
          <w:sz w:val="20"/>
          <w:szCs w:val="20"/>
          <w:color w:val="auto"/>
        </w:rPr>
      </w:pPr>
      <w:r>
        <w:rPr>
          <w:rFonts w:ascii="Arial" w:cs="Arial" w:eastAsia="Arial" w:hAnsi="Arial"/>
          <w:sz w:val="18"/>
          <w:szCs w:val="18"/>
          <w:color w:val="auto"/>
        </w:rPr>
        <w:t>Other income, net decreased by $0.5 million from $0.6 million for the six months ended June 30, 2020 to less than $0.1 million for the six months ended June 30, 2021.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June 30, 2021, we have funded our operations primarily with aggregate gross proceeds of $357.0 million from the sale of shares of our common stock in public offerings, a private placement, and the ATM Offering, through issuances of convertible preferred stock, and from upfront payments received under our collaboration and license agreements. As of June 30, 2021, we had cash, cash equivalents, and marketable securities of $125.6 million.</w:t>
      </w:r>
    </w:p>
    <w:p>
      <w:pPr>
        <w:spacing w:after="0" w:line="178" w:lineRule="exact"/>
        <w:rPr>
          <w:sz w:val="20"/>
          <w:szCs w:val="20"/>
          <w:color w:val="auto"/>
        </w:rPr>
      </w:pPr>
    </w:p>
    <w:p>
      <w:pPr>
        <w:ind w:right="360" w:firstLine="382"/>
        <w:spacing w:after="0" w:line="259" w:lineRule="auto"/>
        <w:rPr>
          <w:sz w:val="20"/>
          <w:szCs w:val="20"/>
          <w:color w:val="auto"/>
        </w:rPr>
      </w:pPr>
      <w:r>
        <w:rPr>
          <w:rFonts w:ascii="Arial" w:cs="Arial" w:eastAsia="Arial" w:hAnsi="Arial"/>
          <w:sz w:val="18"/>
          <w:szCs w:val="18"/>
          <w:color w:val="auto"/>
        </w:rPr>
        <w:t>On July 22, 2019, we completed an IPO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net proceeds of $64.2 million, after deducting offering costs.</w:t>
      </w:r>
    </w:p>
    <w:p>
      <w:pPr>
        <w:spacing w:after="0" w:line="187" w:lineRule="exact"/>
        <w:rPr>
          <w:sz w:val="20"/>
          <w:szCs w:val="20"/>
          <w:color w:val="auto"/>
        </w:rPr>
      </w:pPr>
    </w:p>
    <w:p>
      <w:pPr>
        <w:ind w:right="160" w:firstLine="382"/>
        <w:spacing w:after="0" w:line="286" w:lineRule="auto"/>
        <w:rPr>
          <w:sz w:val="20"/>
          <w:szCs w:val="20"/>
          <w:color w:val="auto"/>
        </w:rPr>
      </w:pPr>
      <w:r>
        <w:rPr>
          <w:rFonts w:ascii="Arial" w:cs="Arial" w:eastAsia="Arial" w:hAnsi="Arial"/>
          <w:sz w:val="17"/>
          <w:szCs w:val="17"/>
          <w:color w:val="auto"/>
        </w:rPr>
        <w:t>In December 2019, we received a $10.0 million upfront payment upon execution of the Acceleron Collaboration Agreement and in January 2021 we received $2.0 million in specified research milestones under the Acceleron Collaboration Agreement. In July 2020, we received a $10.0 million upfront payment and a $2.5 million payment as prepaid research funding under the MyoKardia Collaboration Agreement.</w:t>
      </w:r>
    </w:p>
    <w:p>
      <w:pPr>
        <w:spacing w:after="0" w:line="165"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On August 11, 2020, we filed a shelf registration statement on Form S-3 with the SEC, which was declared effective on August 17, 2020, or the Shelf Registration Statement. Under the Shelf Registration Statement, we may offer and sell up to $250.0 million of a variety of securities including common stock, preferred stock, warrants, depositary shares, debt securities or units during the three-year period that commenced upon the Shelf Registration Statement becoming effective. In connection with the filing of the Shelf Registration Statement, we entered into an Equity Distribution Agreement with Piper Sandler &amp; Co., or Piper Sandler, as sales agent, pursuant to which we may offer and sell shares of our common stock with an aggregate offering price of up to $75.0 million under the ATM Offering. As of June 30, 2021, we have issued and sold 550,000 shares of common stock under the ATM Offering, resulting in net proceeds of $5.7 million after deducting offering costs.</w:t>
      </w:r>
    </w:p>
    <w:p>
      <w:pPr>
        <w:spacing w:after="0" w:line="177" w:lineRule="exact"/>
        <w:rPr>
          <w:sz w:val="20"/>
          <w:szCs w:val="20"/>
          <w:color w:val="auto"/>
        </w:rPr>
      </w:pPr>
    </w:p>
    <w:p>
      <w:pPr>
        <w:ind w:right="20" w:firstLine="382"/>
        <w:spacing w:after="0" w:line="342" w:lineRule="auto"/>
        <w:rPr>
          <w:sz w:val="20"/>
          <w:szCs w:val="20"/>
          <w:color w:val="auto"/>
        </w:rPr>
      </w:pPr>
      <w:r>
        <w:rPr>
          <w:rFonts w:ascii="Arial" w:cs="Arial" w:eastAsia="Arial" w:hAnsi="Arial"/>
          <w:sz w:val="16"/>
          <w:szCs w:val="16"/>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2021 and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94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(34,047)</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(56,630)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47,713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64,960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Net cash used in operating activities was $34.0 million during the six months ended June 30, 2021 compared to net cash used in operating activities of $29.3 million during the six months ended June 30, 2020. The increase in net cash used in operating activities of $4.7 million was primarily due to increased external research and development costs as we continue to advance our lead programs, increased employee compensation costs, and increased general and administrative costs to support the growth of our organization.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right="40" w:firstLine="382"/>
        <w:spacing w:after="0" w:line="311" w:lineRule="auto"/>
        <w:rPr>
          <w:sz w:val="20"/>
          <w:szCs w:val="20"/>
          <w:color w:val="auto"/>
        </w:rPr>
      </w:pPr>
      <w:r>
        <w:rPr>
          <w:rFonts w:ascii="Arial" w:cs="Arial" w:eastAsia="Arial" w:hAnsi="Arial"/>
          <w:sz w:val="16"/>
          <w:szCs w:val="16"/>
          <w:color w:val="auto"/>
        </w:rPr>
        <w:t>Net cash used in investing activities was $13.9 million during the six months ended June 30, 2021 compared to net cash used in investing activities of $56.6 million during the six months ended June 30, 2020. The decrease in net cash used in investing activities of $42.7 million was primarily due to lower net purchases of marketable securities during the six months ended June 30, 2021, as compared to during the six months ended June 30,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color w:val="auto"/>
        </w:rPr>
        <w:t>Net cash provided by financing activities was $47.7 million during the six months ended June 30, 2021 compared to net cash provided by financing activities of $65.0 million during the six months ended June 30, 2020. Net cash provided by financing activities during the six months ended June 30, 2021 primarily consisted of net proceeds of approximately $47.4 million from the completion of the public offering of our common stock in January 2021. Net cash provided by financing activities during the six months ended June 30, 2020 primarily consisted of net proceeds of approximately $64.4 million from the issuance of common stock in a private placement in June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right="80" w:firstLine="382"/>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June 30, 2021, will enable us to fund our operating expenses and capital expenditure requirements into the first quarter of 2023. However, we have based this estimate on assumptions that may prove to be wrong and we could exhaust our capital resources sooner than we expect.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660" w:right="260" w:hanging="274"/>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costs and results of our ongoing open label extension of our Phase 2b clinical trial of losmapimod for the treatment of FSHD, our ongoing Phase 2 open label clinical trial of losmapimod for the treatment of FSHD, our ongoing Phase 1 clinical trial of FTX-6058 in healthy adult volunteers and our planned Phase 1b clinical trial of FTX-6058 in patients with SCD;</w:t>
      </w:r>
    </w:p>
    <w:p>
      <w:pPr>
        <w:spacing w:after="0" w:line="75"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44" w:lineRule="exact"/>
        <w:rPr>
          <w:rFonts w:ascii="Arial" w:cs="Arial" w:eastAsia="Arial" w:hAnsi="Arial"/>
          <w:sz w:val="18"/>
          <w:szCs w:val="18"/>
          <w:color w:val="auto"/>
        </w:rPr>
      </w:pPr>
    </w:p>
    <w:p>
      <w:pPr>
        <w:ind w:left="660" w:right="120" w:hanging="274"/>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44" w:lineRule="exact"/>
        <w:rPr>
          <w:rFonts w:ascii="Arial" w:cs="Arial" w:eastAsia="Arial" w:hAnsi="Arial"/>
          <w:sz w:val="18"/>
          <w:szCs w:val="18"/>
          <w:color w:val="auto"/>
        </w:rPr>
      </w:pPr>
    </w:p>
    <w:p>
      <w:pPr>
        <w:ind w:left="660" w:right="840" w:hanging="274"/>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ind w:left="660" w:right="40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67" w:lineRule="exact"/>
        <w:rPr>
          <w:rFonts w:ascii="Arial" w:cs="Arial" w:eastAsia="Arial" w:hAnsi="Arial"/>
          <w:sz w:val="16"/>
          <w:szCs w:val="16"/>
          <w:color w:val="auto"/>
        </w:rPr>
      </w:pPr>
    </w:p>
    <w:p>
      <w:pPr>
        <w:ind w:left="660" w:right="200" w:hanging="27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right="140" w:firstLine="382"/>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60" w:firstLine="382"/>
        <w:spacing w:after="0" w:line="286" w:lineRule="auto"/>
        <w:rPr>
          <w:sz w:val="20"/>
          <w:szCs w:val="20"/>
          <w:color w:val="auto"/>
        </w:rPr>
      </w:pPr>
      <w:r>
        <w:rPr>
          <w:rFonts w:ascii="Arial" w:cs="Arial" w:eastAsia="Arial" w:hAnsi="Arial"/>
          <w:sz w:val="17"/>
          <w:szCs w:val="17"/>
          <w:color w:val="auto"/>
        </w:rPr>
        <w:t>During the three and six months ended June 30, 2021,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4,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76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2021, there were no material changes to our critical accounting policies from those described in our Annual Report on Form 10-K filed with the SEC on March 4,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382"/>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382"/>
        <w:spacing w:after="0" w:line="255"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cash equivalents are in the form of corporate bonds, commercial paper, and money market funds that are invested in U.S. Treasury securities and our investments are in short-term marketable securities, such as corporate bonds and commercial paper. As of June 30, 2021, we had cash, cash equivalents, and marketable securities of $125.6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92"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June 30, 2021, we had minimal or no liabilities denominated in foreign currencies.</w:t>
      </w:r>
    </w:p>
    <w:p>
      <w:pPr>
        <w:spacing w:after="0" w:line="187" w:lineRule="exact"/>
        <w:rPr>
          <w:sz w:val="20"/>
          <w:szCs w:val="20"/>
          <w:color w:val="auto"/>
        </w:rPr>
      </w:pPr>
    </w:p>
    <w:p>
      <w:pPr>
        <w:ind w:right="540" w:firstLine="382"/>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and six months ended June 30, 2021 and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Vice President, Finance and Accounting (our principal executive officer and principal financial officer, respectively), evaluated the effectiveness of our disclosure controls and procedures as of June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2021, our Chief Executive Officer and Vice President, Finance and Accounting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00" w:firstLine="382"/>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Since inception, we have incurred significant operating losses. Our net loss was $70.8 million for the year ended December 31, 2020 and $36.6 million for the six months ended June 30, 2021. As of June 30, 2021, we had an accumulated deficit of $258.3 million. To date, we have funded our operations primarily from the sale of shares of our common stock in public offerings, a private placement, and in “at-the-market” offerings,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4" w:lineRule="exact"/>
        <w:rPr>
          <w:sz w:val="20"/>
          <w:szCs w:val="20"/>
          <w:color w:val="auto"/>
        </w:rPr>
      </w:pPr>
    </w:p>
    <w:p>
      <w:pPr>
        <w:ind w:left="660" w:right="2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open label extension of our Phase 2b clinical trial of losmapimod for the treatment of FSHD and our ongoing Phase 2 open label clinical trial of losmapimod for the treatment of FSHD;</w:t>
      </w:r>
    </w:p>
    <w:p>
      <w:pPr>
        <w:spacing w:after="0" w:line="62" w:lineRule="exact"/>
        <w:rPr>
          <w:rFonts w:ascii="Arial" w:cs="Arial" w:eastAsia="Arial" w:hAnsi="Arial"/>
          <w:sz w:val="18"/>
          <w:szCs w:val="18"/>
          <w:color w:val="auto"/>
        </w:rPr>
      </w:pPr>
    </w:p>
    <w:p>
      <w:pPr>
        <w:ind w:left="660" w:right="4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Phase 1b clinical trial of FTX-6058 in patients with sickle cell disease, or SCD;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500" w:hanging="274"/>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660" w:right="440" w:hanging="274"/>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ind w:right="160" w:firstLine="382"/>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660" w:right="580" w:hanging="274"/>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open label extension of our Phase 2b clinical trial and our phase 2 open label clinical trial of losmapimod for the treatment of FSHD, continue our Phase 1 clinical trial of FTX-6058 in healthy adult volunteers, prepare for our planned Phase 1b clinical trial of FTX-6058 in patients with SCD,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right="280" w:hanging="274"/>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costs and results of our ongoing open label extension of our Phase 2b clinical trial of losmapimod for the treatment of FSHD, our ongoing Phase 2 open label clinical trial of losmapimod for the treatment of FSHD, our ongoing Phase 1 clinical trial of FTX-6058 in healthy adult volunteers and our planned Phase 1b clinical trial of FTX-6058 in patients with SCD;</w:t>
      </w:r>
    </w:p>
    <w:p>
      <w:pPr>
        <w:spacing w:after="0" w:line="75" w:lineRule="exact"/>
        <w:rPr>
          <w:rFonts w:ascii="Arial" w:cs="Arial" w:eastAsia="Arial" w:hAnsi="Arial"/>
          <w:sz w:val="18"/>
          <w:szCs w:val="18"/>
          <w:color w:val="auto"/>
        </w:rPr>
      </w:pPr>
    </w:p>
    <w:p>
      <w:pPr>
        <w:ind w:left="660" w:right="18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4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660" w:right="86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660" w:right="380" w:hanging="274"/>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660" w:hanging="274"/>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660" w:right="200" w:hanging="274"/>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As of June 30, 2021, we had cash, cash equivalents, and marketable securities of approximately $125.6 million. We believe that our cash, cash equivalents, and marketable securities as of June 30, 2021 will enable us to fund our operating expenses and capital expenditure requirements into the first quarter of 2023.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1"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jc w:val="both"/>
        <w:ind w:right="20" w:firstLine="382"/>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as our business grows, we may encounter unforeseen expenses, difficulties, complications, delays and other known and unknown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firstLine="382"/>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sz w:val="20"/>
          <w:szCs w:val="20"/>
          <w:color w:val="auto"/>
        </w:rPr>
      </w:pPr>
    </w:p>
    <w:p>
      <w:pPr>
        <w:ind w:right="60" w:firstLine="382"/>
        <w:spacing w:after="0" w:line="287" w:lineRule="auto"/>
        <w:rPr>
          <w:sz w:val="20"/>
          <w:szCs w:val="20"/>
          <w:color w:val="auto"/>
        </w:rPr>
      </w:pPr>
      <w:r>
        <w:rPr>
          <w:rFonts w:ascii="Arial" w:cs="Arial" w:eastAsia="Arial" w:hAnsi="Arial"/>
          <w:sz w:val="16"/>
          <w:szCs w:val="16"/>
          <w:color w:val="auto"/>
        </w:rPr>
        <w:t>In light of the COVID-19 pandemic, 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68" w:lineRule="exact"/>
        <w:rPr>
          <w:sz w:val="20"/>
          <w:szCs w:val="20"/>
          <w:color w:val="auto"/>
        </w:rPr>
      </w:pPr>
    </w:p>
    <w:p>
      <w:pPr>
        <w:ind w:right="220" w:firstLine="382"/>
        <w:spacing w:after="0" w:line="290" w:lineRule="auto"/>
        <w:rPr>
          <w:sz w:val="20"/>
          <w:szCs w:val="20"/>
          <w:color w:val="auto"/>
        </w:rPr>
      </w:pPr>
      <w:r>
        <w:rPr>
          <w:rFonts w:ascii="Arial" w:cs="Arial" w:eastAsia="Arial" w:hAnsi="Arial"/>
          <w:sz w:val="16"/>
          <w:szCs w:val="16"/>
          <w:color w:val="auto"/>
        </w:rPr>
        <w:t>Additionally, the impact of the COVID-19 outbreak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pandemic has on the ability of our CROs to deliver data sets and execute on experimentation could cause substantial delays for our discovery activities and materially impact our ability to fuel our pipeline with new product candidates.</w:t>
      </w:r>
    </w:p>
    <w:p>
      <w:pPr>
        <w:spacing w:after="0" w:line="165"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COVID-19 pandemic will be on our business. The extent of the impact of COVID-19 on our business, financial condition, results of operations and prospects will depend on future developments that are highly uncertain, including as a result of new information that may emerge concerning COVID-19 or any variant strains of the virus and actions to be taken to contain or mitigate the impact of COVID-19, including the supply, distribution and effectiveness of vaccines.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TCJA,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As part of Congress’ response to the COVID-19 pandemic, the Families First Coronavirus Response Act, or FFCR Act, was enacted on March 18, 2020, the CARES Act was enacted on March 27, 2020 and COVID-19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70"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Regulatory guidance under the TCJA, the FFCR Act, the CARES Act and the CAA is and continues to be forthcoming, and such guidance could ultimately increase or lessen impact of these laws on our business and financial condition. It is also possible that Congress will enact additional legislation in connection with the COVID-19 pandemic, and as a result of the changes in the U.S. presidential administration and control of the U.S. Senate, additional tax legislation may also be enacted; any such additional legislation could have an impact on our company. In addition, it is uncertain if and to what extent various states will conform to the TCJA, the FFCR Act, the CARES Act and the CAA.</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120" w:firstLine="382"/>
        <w:spacing w:after="0" w:line="275" w:lineRule="auto"/>
        <w:rPr>
          <w:sz w:val="20"/>
          <w:szCs w:val="20"/>
          <w:color w:val="auto"/>
        </w:rPr>
      </w:pPr>
      <w:r>
        <w:rPr>
          <w:rFonts w:ascii="Arial" w:cs="Arial" w:eastAsia="Arial" w:hAnsi="Arial"/>
          <w:sz w:val="17"/>
          <w:szCs w:val="17"/>
          <w:color w:val="auto"/>
        </w:rPr>
        <w:t>As of December 31, 2020, we had federal and state net operating loss carryforwards of $170.7 million and $170.2 million, respectively, which begin to expire in 2035. Approximately $139.7 million of the federal net operating losses can be carried forward indefinitely. As of December 31, 2020, we also had federal orphan drug credits of $3.0 million, which begin to expire in 2040. As of December 31, 2020, we also had federal and state research and development tax credit carryforwards of $4.6 million and $2.8 million, respectively, which begin to expire in 2035 and 2030, respectively. These net operating loss and tax credit carryforwards could expire unused and be unavailable to offset future income tax liabilities.</w:t>
      </w:r>
    </w:p>
    <w:p>
      <w:pPr>
        <w:spacing w:after="0" w:line="176" w:lineRule="exact"/>
        <w:rPr>
          <w:sz w:val="20"/>
          <w:szCs w:val="20"/>
          <w:color w:val="auto"/>
        </w:rPr>
      </w:pPr>
    </w:p>
    <w:p>
      <w:pPr>
        <w:ind w:right="120" w:firstLine="382"/>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sz w:val="20"/>
          <w:szCs w:val="20"/>
          <w:color w:val="auto"/>
        </w:rPr>
      </w:pPr>
    </w:p>
    <w:p>
      <w:pPr>
        <w:ind w:right="180" w:firstLine="382"/>
        <w:spacing w:after="0" w:line="255"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FTX-6058 in healthy adult volunteers.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4" w:lineRule="exact"/>
        <w:rPr>
          <w:sz w:val="20"/>
          <w:szCs w:val="20"/>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660" w:right="180" w:hanging="274"/>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investigational new drug applications, or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660" w:right="360" w:hanging="27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maintaining coverage, adequate pricing and adequate reimbursement from third-party payors, including government payors;</w:t>
      </w:r>
    </w:p>
    <w:p>
      <w:pPr>
        <w:spacing w:after="0" w:line="128" w:lineRule="exact"/>
        <w:rPr>
          <w:rFonts w:ascii="Arial" w:cs="Arial" w:eastAsia="Arial" w:hAnsi="Arial"/>
          <w:sz w:val="17"/>
          <w:szCs w:val="17"/>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8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ind w:right="240" w:firstLine="382"/>
        <w:spacing w:after="0" w:line="254" w:lineRule="auto"/>
        <w:rPr>
          <w:sz w:val="20"/>
          <w:szCs w:val="20"/>
          <w:color w:val="auto"/>
        </w:rPr>
      </w:pPr>
      <w:r>
        <w:rPr>
          <w:rFonts w:ascii="Arial" w:cs="Arial" w:eastAsia="Arial" w:hAnsi="Arial"/>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2" w:lineRule="exact"/>
        <w:rPr>
          <w:sz w:val="20"/>
          <w:szCs w:val="20"/>
          <w:color w:val="auto"/>
        </w:rPr>
      </w:pPr>
    </w:p>
    <w:p>
      <w:pPr>
        <w:ind w:right="140" w:firstLine="382"/>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firstLine="382"/>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have entered into a right of reference and license agreement, or the GSK Agreement, as amended,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1"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660" w:right="1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660" w:right="6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660" w:right="620" w:hanging="274"/>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660" w:right="360" w:hanging="274"/>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67" w:lineRule="exact"/>
        <w:rPr>
          <w:rFonts w:ascii="Arial" w:cs="Arial" w:eastAsia="Arial" w:hAnsi="Arial"/>
          <w:sz w:val="16"/>
          <w:szCs w:val="16"/>
          <w:color w:val="auto"/>
        </w:rPr>
      </w:pPr>
    </w:p>
    <w:p>
      <w:pPr>
        <w:ind w:left="660" w:right="680" w:hanging="274"/>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660" w:right="8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44" w:lineRule="exact"/>
        <w:rPr>
          <w:rFonts w:ascii="Arial" w:cs="Arial" w:eastAsia="Arial" w:hAnsi="Arial"/>
          <w:sz w:val="18"/>
          <w:szCs w:val="18"/>
          <w:color w:val="auto"/>
        </w:rPr>
      </w:pPr>
    </w:p>
    <w:p>
      <w:pPr>
        <w:ind w:left="660" w:right="6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660" w:right="2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660" w:right="40" w:hanging="274"/>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660" w:right="700" w:hanging="27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460" w:firstLine="382"/>
        <w:spacing w:after="0" w:line="308" w:lineRule="auto"/>
        <w:rPr>
          <w:sz w:val="20"/>
          <w:szCs w:val="20"/>
          <w:color w:val="auto"/>
        </w:rPr>
      </w:pPr>
      <w:r>
        <w:rPr>
          <w:rFonts w:ascii="Arial" w:cs="Arial" w:eastAsia="Arial" w:hAnsi="Arial"/>
          <w:sz w:val="17"/>
          <w:szCs w:val="17"/>
          <w:color w:val="auto"/>
        </w:rPr>
        <w:t>For example, in the wake of COVID-19,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184"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muscle fat infiltration, reachable workspace and patient global impression of change tests we intend to use in our losmapimod clinical trials, none of which have been used in prior trials of drugs to treat FSHD to our knowledge. The FDA or other regulatory authorities may not consider the endpoints of our clinical trials to provide clinically meaningful results, even where we believe such results are clinically meaningful. For example, we intend to meet with regulators to discuss the design of our future clinical trials and registration strategy for losmapimod for FSHD, including our proposed endpoints for these trials, but the FDA may ultimately require that we use endpoints that are different from endpoints measured in our ReDUX4 trial. The FDA may also determine that the measurement interval for our ReDUX4 trial was too short to evaluate the potential clinical benefit of losmapimod for FSHD.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efficacy endpoint we select for evaluation is not sufficiently predictive of clinical benefit to support accelerated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firstLine="382"/>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300" w:firstLine="382"/>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52"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ind w:right="100" w:firstLine="382"/>
        <w:spacing w:after="0" w:line="257"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firstLine="382"/>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8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ind w:right="320" w:firstLine="382"/>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52"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right="100" w:firstLine="382"/>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40"/>
        <w:spacing w:after="0" w:line="342" w:lineRule="auto"/>
        <w:rPr>
          <w:sz w:val="20"/>
          <w:szCs w:val="20"/>
          <w:color w:val="auto"/>
        </w:rPr>
      </w:pPr>
      <w:r>
        <w:rPr>
          <w:rFonts w:ascii="Arial" w:cs="Arial" w:eastAsia="Arial" w:hAnsi="Arial"/>
          <w:sz w:val="16"/>
          <w:szCs w:val="16"/>
          <w:b w:val="1"/>
          <w:bCs w:val="1"/>
          <w:i w:val="1"/>
          <w:iCs w:val="1"/>
          <w:color w:val="auto"/>
        </w:rPr>
        <w:t>We are conducting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124"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We are currently conducting an open label extension of our Phase 2b clinical trial and a Phase 2 open label clinical trial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84"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660" w:hanging="274"/>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660" w:right="60" w:hanging="274"/>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5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0" w:name="page51"/>
    <w:bookmarkEnd w:id="50"/>
    <w:p>
      <w:pPr>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46"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660" w:right="320" w:hanging="27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660" w:right="120" w:hanging="274"/>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Agios Pharmaceuticals, Inc., Forma Therapeutics Holdings, Inc., Takeda Pharmaceutical Company Limited, Pfizer, Inc., CSL Behring, Intellia Therapeutics, Inc., Editas Medicine, Inc., Sangamo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1" w:name="page52"/>
    <w:bookmarkEnd w:id="51"/>
    <w:p>
      <w:pPr>
        <w:ind w:right="160"/>
        <w:spacing w:after="0" w:line="257" w:lineRule="auto"/>
        <w:rPr>
          <w:sz w:val="20"/>
          <w:szCs w:val="20"/>
          <w:color w:val="auto"/>
        </w:rPr>
      </w:pPr>
      <w:r>
        <w:rPr>
          <w:rFonts w:ascii="Arial" w:cs="Arial" w:eastAsia="Arial" w:hAnsi="Arial"/>
          <w:sz w:val="18"/>
          <w:szCs w:val="18"/>
          <w:color w:val="auto"/>
        </w:rPr>
        <w:t>Therapeutics Inc., or Sangamo (in collaboration with Bioverativ Inc.) and CRISPR Therapeutics AG (in collaboration with Vertex Pharmaceuticals, Inc.) are developing therapeutic approaches for patients with sickle cell disease, or SCD. Acceleron (in collaboration with Celgene Corp.), Bellicum Pharmaceuticals, Inc., Kiadis Pharma, Imara Inc., Agios Pharmaceuticals, Inc., Forma Therapeutics Holdings, Inc., Ionis Pharmaceuticals, Inc., Orchard Therapeutics plc, Sangamo (in collaboration with Bioverativ, Inc.) and CRISPR Therapeutics AG (in collaboration with Vertex Pharmaceuticals, Inc.) are developing therapeutic approaches for patients with ß-thalassemia.</w:t>
      </w:r>
    </w:p>
    <w:p>
      <w:pPr>
        <w:spacing w:after="0" w:line="188"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31"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79"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4" w:lineRule="exact"/>
        <w:rPr>
          <w:sz w:val="20"/>
          <w:szCs w:val="20"/>
          <w:color w:val="auto"/>
        </w:rPr>
      </w:pPr>
    </w:p>
    <w:p>
      <w:pPr>
        <w:ind w:right="240" w:firstLine="382"/>
        <w:spacing w:after="0" w:line="257" w:lineRule="auto"/>
        <w:rPr>
          <w:sz w:val="20"/>
          <w:szCs w:val="20"/>
          <w:color w:val="auto"/>
        </w:rPr>
      </w:pPr>
      <w:r>
        <w:rPr>
          <w:rFonts w:ascii="Arial" w:cs="Arial" w:eastAsia="Arial" w:hAnsi="Arial"/>
          <w:sz w:val="18"/>
          <w:szCs w:val="18"/>
          <w:color w:val="auto"/>
        </w:rPr>
        <w:t>We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40"/>
        <w:spacing w:after="0" w:line="254" w:lineRule="auto"/>
        <w:rPr>
          <w:sz w:val="20"/>
          <w:szCs w:val="20"/>
          <w:color w:val="auto"/>
        </w:rPr>
      </w:pPr>
      <w:r>
        <w:rPr>
          <w:rFonts w:ascii="Arial" w:cs="Arial" w:eastAsia="Arial" w:hAnsi="Arial"/>
          <w:sz w:val="18"/>
          <w:szCs w:val="18"/>
          <w:color w:val="auto"/>
        </w:rPr>
        <w:t>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92"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70"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right="120" w:firstLine="382"/>
        <w:spacing w:after="0" w:line="291"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60"/>
        <w:spacing w:after="0" w:line="279" w:lineRule="auto"/>
        <w:rPr>
          <w:sz w:val="20"/>
          <w:szCs w:val="20"/>
          <w:color w:val="auto"/>
        </w:rPr>
      </w:pPr>
      <w:r>
        <w:rPr>
          <w:rFonts w:ascii="Arial" w:cs="Arial" w:eastAsia="Arial" w:hAnsi="Arial"/>
          <w:sz w:val="17"/>
          <w:szCs w:val="17"/>
          <w:color w:val="auto"/>
        </w:rPr>
        <w:t>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1"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44" w:lineRule="exact"/>
        <w:rPr>
          <w:rFonts w:ascii="Arial" w:cs="Arial" w:eastAsia="Arial" w:hAnsi="Arial"/>
          <w:sz w:val="18"/>
          <w:szCs w:val="18"/>
          <w:color w:val="auto"/>
        </w:rPr>
      </w:pPr>
    </w:p>
    <w:p>
      <w:pPr>
        <w:ind w:left="660" w:right="300" w:hanging="27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trade protection measures, import or export licensing requirements or other restrictive actions by U.S. or foreign governments;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55" w:lineRule="exact"/>
        <w:rPr>
          <w:rFonts w:ascii="Arial" w:cs="Arial" w:eastAsia="Arial" w:hAnsi="Arial"/>
          <w:sz w:val="17"/>
          <w:szCs w:val="17"/>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7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5540" w:right="4780" w:hanging="5154"/>
        <w:spacing w:after="0" w:line="659" w:lineRule="auto"/>
        <w:tabs>
          <w:tab w:leader="none" w:pos="6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decreased demand for any product candidates or products that we may develop;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4" w:name="page55"/>
    <w:bookmarkEnd w:id="54"/>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We currently rely on third-party clinical research organizations to conduct our ongoing open label extension of our Phase 2b clinical trial of losmapimod for the treatment of FSHD, our ongoing Phase 2 open label clinical trial of losmapimod for the treatment of FSHD and our ongoing Phase 1 clinical trial of FTX-6058. We plan to rely on third-party clinical research organizations or third-party research collaboratives to conduct any future clinical trials, including our planned Phase 1b clinical trial of FTX-6058 in patients with SCD.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6" w:lineRule="exact"/>
        <w:rPr>
          <w:sz w:val="20"/>
          <w:szCs w:val="20"/>
          <w:color w:val="auto"/>
        </w:rPr>
      </w:pPr>
    </w:p>
    <w:p>
      <w:pPr>
        <w:ind w:right="140" w:firstLine="382"/>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contract with, and plan to continue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open label extension of our Phase 2b clinical trial of losmapimod for the treatment of FSHD and our ongoing Phase 2 open label clinical trial of losmapimod for the treatment of FSHD and that we have received a sufficient quantity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5" w:name="page56"/>
    <w:bookmarkEnd w:id="55"/>
    <w:p>
      <w:pPr>
        <w:ind w:right="60"/>
        <w:spacing w:after="0" w:line="259" w:lineRule="auto"/>
        <w:rPr>
          <w:sz w:val="20"/>
          <w:szCs w:val="20"/>
          <w:color w:val="auto"/>
        </w:rPr>
      </w:pPr>
      <w:r>
        <w:rPr>
          <w:rFonts w:ascii="Arial" w:cs="Arial" w:eastAsia="Arial" w:hAnsi="Arial"/>
          <w:sz w:val="18"/>
          <w:szCs w:val="18"/>
          <w:color w:val="auto"/>
        </w:rPr>
        <w:t>losmapimod API to complete further clinical trials in FSHD, we cannot be sure we have correctly estimated our drug product and API requirements or that such drug product or API will not expire before we want to use it. We have also engaged CMOs to prepare our own API and to manufacture losmapimod tablets. While we believe that we have all the necessary information from GSK to enable any required technology transfer to a CMO, there can be no assurances that we will be able to effect such transfer in a timely manner.</w:t>
      </w:r>
    </w:p>
    <w:p>
      <w:pPr>
        <w:spacing w:after="0" w:line="79" w:lineRule="exact"/>
        <w:rPr>
          <w:sz w:val="20"/>
          <w:szCs w:val="20"/>
          <w:color w:val="auto"/>
        </w:rPr>
      </w:pPr>
    </w:p>
    <w:p>
      <w:pPr>
        <w:ind w:right="100" w:firstLine="382"/>
        <w:spacing w:after="0" w:line="342" w:lineRule="auto"/>
        <w:rPr>
          <w:sz w:val="20"/>
          <w:szCs w:val="20"/>
          <w:color w:val="auto"/>
        </w:rPr>
      </w:pPr>
      <w:r>
        <w:rPr>
          <w:rFonts w:ascii="Arial" w:cs="Arial" w:eastAsia="Arial" w:hAnsi="Arial"/>
          <w:sz w:val="16"/>
          <w:szCs w:val="16"/>
          <w:color w:val="auto"/>
        </w:rPr>
        <w:t>In addition, although we believe we have obtained sufficient quantities of FTX-6058 from a CMO for the completion of our ongoing Phase 1 clinical trial, we cannot be sure we have correctly estimated our drug product requirements, which could delay, prevent or impair our development efforts.</w:t>
      </w:r>
    </w:p>
    <w:p>
      <w:pPr>
        <w:spacing w:after="0" w:line="124" w:lineRule="exact"/>
        <w:rPr>
          <w:sz w:val="20"/>
          <w:szCs w:val="20"/>
          <w:color w:val="auto"/>
        </w:rPr>
      </w:pPr>
    </w:p>
    <w:p>
      <w:pPr>
        <w:ind w:firstLine="382"/>
        <w:spacing w:after="0" w:line="265"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0" w:lineRule="exact"/>
        <w:rPr>
          <w:sz w:val="20"/>
          <w:szCs w:val="20"/>
          <w:color w:val="auto"/>
        </w:rPr>
      </w:pPr>
    </w:p>
    <w:p>
      <w:pPr>
        <w:ind w:right="600" w:firstLine="382"/>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140" w:firstLine="382"/>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120" w:firstLine="382"/>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100" w:firstLine="382"/>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184"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220" w:firstLine="382"/>
        <w:spacing w:after="0" w:line="308"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8" w:lineRule="exact"/>
        <w:rPr>
          <w:sz w:val="20"/>
          <w:szCs w:val="20"/>
          <w:color w:val="auto"/>
        </w:rPr>
      </w:pPr>
    </w:p>
    <w:p>
      <w:pPr>
        <w:ind w:left="660" w:hanging="27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660" w:right="48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660" w:right="60" w:hanging="274"/>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660" w:right="2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60" w:right="36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660" w:right="10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60" w:right="220" w:hanging="274"/>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660" w:right="6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660" w:right="22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660" w:right="120" w:hanging="274"/>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660" w:right="340" w:hanging="274"/>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44" w:lineRule="exact"/>
        <w:rPr>
          <w:rFonts w:ascii="Arial" w:cs="Arial" w:eastAsia="Arial" w:hAnsi="Arial"/>
          <w:sz w:val="18"/>
          <w:szCs w:val="18"/>
          <w:color w:val="auto"/>
        </w:rPr>
      </w:pPr>
    </w:p>
    <w:p>
      <w:pPr>
        <w:ind w:left="66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660" w:right="300" w:hanging="27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firstLine="382"/>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one of our collaborators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70"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67"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w:t>
      </w:r>
    </w:p>
    <w:p>
      <w:pPr>
        <w:spacing w:after="0" w:line="174" w:lineRule="exact"/>
        <w:rPr>
          <w:sz w:val="20"/>
          <w:szCs w:val="20"/>
          <w:color w:val="auto"/>
        </w:rPr>
      </w:pPr>
    </w:p>
    <w:p>
      <w:pPr>
        <w:ind w:right="420" w:firstLine="382"/>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9"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80"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Currently, our patent portfolio related to FTX-6058 includes one issued U.S. patent, two U.S. non-provisional applications, one PCT application, and three U.S. provisional applications. In order to continue to pursue protection based on the PCT application, we will need to nationalize the PCT application into corresponding foreign applications prior to the expiration deadline of the PCT application. Even then, further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66" w:lineRule="exact"/>
        <w:rPr>
          <w:sz w:val="20"/>
          <w:szCs w:val="20"/>
          <w:color w:val="auto"/>
        </w:rPr>
      </w:pPr>
    </w:p>
    <w:p>
      <w:pPr>
        <w:ind w:right="40" w:firstLine="382"/>
        <w:spacing w:after="0" w:line="270"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right="360"/>
        <w:spacing w:after="0" w:line="263" w:lineRule="auto"/>
        <w:rPr>
          <w:sz w:val="20"/>
          <w:szCs w:val="20"/>
          <w:color w:val="auto"/>
        </w:rPr>
      </w:pPr>
      <w:r>
        <w:rPr>
          <w:rFonts w:ascii="Arial" w:cs="Arial" w:eastAsia="Arial" w:hAnsi="Arial"/>
          <w:sz w:val="18"/>
          <w:szCs w:val="18"/>
          <w:color w:val="auto"/>
        </w:rPr>
        <w:t>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4"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70"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320" w:firstLine="382"/>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60"/>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00"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70"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right="140" w:firstLine="382"/>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70"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40"/>
        <w:spacing w:after="0" w:line="286" w:lineRule="auto"/>
        <w:rPr>
          <w:sz w:val="20"/>
          <w:szCs w:val="20"/>
          <w:color w:val="auto"/>
        </w:rPr>
      </w:pPr>
      <w:r>
        <w:rPr>
          <w:rFonts w:ascii="Arial" w:cs="Arial" w:eastAsia="Arial" w:hAnsi="Arial"/>
          <w:sz w:val="17"/>
          <w:szCs w:val="17"/>
          <w:color w:val="auto"/>
        </w:rPr>
        <w:t>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5"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382"/>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70"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80"/>
        <w:spacing w:after="0" w:line="272" w:lineRule="auto"/>
        <w:rPr>
          <w:sz w:val="20"/>
          <w:szCs w:val="20"/>
          <w:color w:val="auto"/>
        </w:rPr>
      </w:pPr>
      <w:r>
        <w:rPr>
          <w:rFonts w:ascii="Arial" w:cs="Arial" w:eastAsia="Arial" w:hAnsi="Arial"/>
          <w:sz w:val="17"/>
          <w:szCs w:val="17"/>
          <w:color w:val="auto"/>
        </w:rPr>
        <w:t>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85"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00"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27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660" w:right="200" w:hanging="274"/>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80" w:firstLine="382"/>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right="120" w:firstLine="382"/>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16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49"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180" w:firstLine="382"/>
        <w:spacing w:after="0" w:line="296"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60" w:right="220" w:hanging="274"/>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660" w:right="140" w:hanging="27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660" w:right="340" w:hanging="27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60" w:right="340" w:hanging="27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left="660" w:right="32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660" w:right="18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660" w:right="10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660" w:right="2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44" w:lineRule="exact"/>
        <w:rPr>
          <w:rFonts w:ascii="Arial" w:cs="Arial" w:eastAsia="Arial" w:hAnsi="Arial"/>
          <w:sz w:val="18"/>
          <w:szCs w:val="18"/>
          <w:color w:val="auto"/>
        </w:rPr>
      </w:pPr>
    </w:p>
    <w:p>
      <w:pPr>
        <w:ind w:left="660" w:right="4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660" w:right="660" w:hanging="274"/>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ind w:right="80" w:firstLine="382"/>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firstLine="382"/>
        <w:spacing w:after="0" w:line="254"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 The Trump Administration also took several executive actions that had the potential to impose significant burdens on, or otherwise materially delay, the FDA’s ability to engage in routine regulatory and oversight activities. Those Executive Orders were rescinded by President Biden, but future executive actions from this or a subsequent administration could impose similar burdens on the FDA.</w:t>
      </w:r>
    </w:p>
    <w:p>
      <w:pPr>
        <w:spacing w:after="0" w:line="192"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70" w:lineRule="exact"/>
        <w:rPr>
          <w:sz w:val="20"/>
          <w:szCs w:val="20"/>
          <w:color w:val="auto"/>
        </w:rPr>
      </w:pPr>
    </w:p>
    <w:p>
      <w:pPr>
        <w:ind w:right="180" w:firstLine="382"/>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95" w:lineRule="exact"/>
        <w:rPr>
          <w:sz w:val="20"/>
          <w:szCs w:val="20"/>
          <w:color w:val="auto"/>
        </w:rPr>
      </w:pPr>
    </w:p>
    <w:p>
      <w:pPr>
        <w:ind w:right="100" w:firstLine="382"/>
        <w:spacing w:after="0" w:line="291"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More recently,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 The FDA may further reevaluate the Orphan Drug Act and its regulations and policies. We do not know if, when or how the FDA may change the orphan drug regulations and policies in the future, and it is uncertain how any changes might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The FDA granted fast track designation to losmapimod for the treatment of FSHD, and we may seek Fast Track designation for some of our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3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184"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ind w:right="20" w:firstLine="382"/>
        <w:spacing w:after="0" w:line="288"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The United Kingdom and European Union entered into a Trade and Cooperation Agreement in connection with Brexit, which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4"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52" w:lineRule="exact"/>
        <w:rPr>
          <w:sz w:val="20"/>
          <w:szCs w:val="20"/>
          <w:color w:val="auto"/>
        </w:rPr>
      </w:pPr>
    </w:p>
    <w:p>
      <w:pPr>
        <w:ind w:right="520" w:firstLine="382"/>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ind w:right="140" w:firstLine="382"/>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30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660" w:right="60" w:hanging="274"/>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660" w:right="20" w:hanging="274"/>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left="660" w:right="100" w:hanging="27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660" w:right="160" w:hanging="274"/>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27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660" w:right="160" w:hanging="274"/>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660" w:hanging="274"/>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8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84"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100"/>
        <w:spacing w:after="0" w:line="259" w:lineRule="auto"/>
        <w:rPr>
          <w:sz w:val="20"/>
          <w:szCs w:val="20"/>
          <w:color w:val="auto"/>
        </w:rPr>
      </w:pPr>
      <w:r>
        <w:rPr>
          <w:rFonts w:ascii="Arial" w:cs="Arial" w:eastAsia="Arial" w:hAnsi="Arial"/>
          <w:sz w:val="18"/>
          <w:szCs w:val="18"/>
          <w:color w:val="auto"/>
        </w:rPr>
        <w:t>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24" w:lineRule="exact"/>
        <w:rPr>
          <w:sz w:val="20"/>
          <w:szCs w:val="20"/>
          <w:color w:val="auto"/>
        </w:rPr>
      </w:pPr>
    </w:p>
    <w:p>
      <w:pPr>
        <w:jc w:val="both"/>
        <w:ind w:right="180" w:firstLine="382"/>
        <w:spacing w:after="0" w:line="293"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w:t>
      </w:r>
    </w:p>
    <w:p>
      <w:pPr>
        <w:spacing w:after="0" w:line="164" w:lineRule="exact"/>
        <w:rPr>
          <w:sz w:val="20"/>
          <w:szCs w:val="20"/>
          <w:color w:val="auto"/>
        </w:rPr>
      </w:pPr>
    </w:p>
    <w:p>
      <w:pPr>
        <w:ind w:right="480" w:firstLine="382"/>
        <w:spacing w:after="0" w:line="27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w:t>
      </w:r>
    </w:p>
    <w:p>
      <w:pPr>
        <w:spacing w:after="0" w:line="170"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stay in effect through 2030 under the Coronavirus Aid, Relief, and Economic Security Act, or the CARES Act. The CARES Act suspended the 2% Medicare sequester from May 1, 2020 through December 31, 2020.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Since the enactment of the ACA, there have been, and continue to be, numerous legal challenges and Congressional actions to repeal and replace provisions of the law. For example, with enactment of the TCJA in 2017, Congress repealed the “individual mandate.” The repeal of this provision, which requires most Americans to carry a minimal level of health insurance, became effective in 2019. On November 10, 2020, the Supreme Court heard oral arguments as to whether the individual mandate portion of the ACA is an essential and inseverable feature of the ACA, and therefore because the mandate was repealed as part of the TCJA, the remaining provisions of the ACA are invalid as well. On February 10, 2021, the Biden Administration withdrew the federal government’s support for overturning the ACA. On June 17, 2021, the Supreme Court rejected this challenge to the ACA after finding that the plaintiffs do not have standing to challenge the constitutionality of the statute. It is unclear how such litigation and other efforts to repeal and replace the ACA will impact the ACA.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firstLine="382"/>
        <w:spacing w:after="0" w:line="269"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Litigation and legislation over the ACA are likely to continue, with unpredictable and uncertain results.</w:t>
      </w:r>
    </w:p>
    <w:p>
      <w:pPr>
        <w:spacing w:after="0" w:line="225"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The Biden Administration has frozen certain of the previous administration’s measures to reform drug prices, pending further review. It remains to be seen how the Biden Administration will address pricing of prescription pharmaceuticals, but under Medicare Part D, the Biden Administration may seek to establish a ceiling for the launch prices of all branded, biologic, and certain generic drugs by referencing the average price of these drugs in other developed countries. At the same time, the Biden Administration may seek to limit Medicare Part D and public option drug prices through a tax penalty on manufacturers for increases in the cost of drugs and biologics above the general inflation rate. The American Rescue Plan Act of 2021, comprehensive COVID-19 relief legislation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171"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70" w:lineRule="exact"/>
        <w:rPr>
          <w:sz w:val="20"/>
          <w:szCs w:val="20"/>
          <w:color w:val="auto"/>
        </w:rPr>
      </w:pPr>
    </w:p>
    <w:p>
      <w:pPr>
        <w:ind w:right="220" w:firstLine="382"/>
        <w:spacing w:after="0" w:line="255" w:lineRule="auto"/>
        <w:rPr>
          <w:sz w:val="20"/>
          <w:szCs w:val="20"/>
          <w:color w:val="auto"/>
        </w:rPr>
      </w:pPr>
      <w:r>
        <w:rPr>
          <w:rFonts w:ascii="Arial" w:cs="Arial" w:eastAsia="Arial" w:hAnsi="Arial"/>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20"/>
        <w:spacing w:after="0" w:line="311" w:lineRule="auto"/>
        <w:rPr>
          <w:sz w:val="20"/>
          <w:szCs w:val="20"/>
          <w:color w:val="auto"/>
        </w:rPr>
      </w:pPr>
      <w:r>
        <w:rPr>
          <w:rFonts w:ascii="Arial" w:cs="Arial" w:eastAsia="Arial" w:hAnsi="Arial"/>
          <w:sz w:val="16"/>
          <w:szCs w:val="16"/>
          <w:color w:val="auto"/>
        </w:rPr>
        <w:t>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49"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120" w:firstLine="382"/>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71"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140" w:firstLine="382"/>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4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00"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40" w:firstLine="382"/>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have had recent executive transitions, including of our chief executive officer and chief scientific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ind w:right="100"/>
        <w:spacing w:after="0" w:line="271" w:lineRule="auto"/>
        <w:rPr>
          <w:sz w:val="20"/>
          <w:szCs w:val="20"/>
          <w:color w:val="auto"/>
        </w:rPr>
      </w:pPr>
      <w:r>
        <w:rPr>
          <w:rFonts w:ascii="Arial" w:cs="Arial" w:eastAsia="Arial" w:hAnsi="Arial"/>
          <w:sz w:val="17"/>
          <w:szCs w:val="17"/>
          <w:color w:val="auto"/>
        </w:rPr>
        <w:t>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70"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As of August 3, 2021, our executive officers and directors and our stockholders who owned more than 5% of our outstanding common stock in the aggregate beneficially owned shares representing approximately 52.8%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60"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00"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660" w:hanging="27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660" w:right="320" w:hanging="274"/>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660" w:hanging="274"/>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jc w:val="both"/>
        <w:ind w:left="660" w:right="60" w:hanging="274"/>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660" w:right="360" w:hanging="274"/>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right="120" w:firstLine="382"/>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9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24"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23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660" w:hanging="274"/>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167" w:lineRule="exact"/>
        <w:rPr>
          <w:rFonts w:ascii="Arial" w:cs="Arial" w:eastAsia="Arial" w:hAnsi="Arial"/>
          <w:sz w:val="16"/>
          <w:szCs w:val="16"/>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78" w:name="page79"/>
    <w:bookmarkEnd w:id="78"/>
    <w:p>
      <w:pPr>
        <w:ind w:left="660" w:right="120" w:hanging="274"/>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660" w:hanging="27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200" w:firstLine="382"/>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70"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right="100" w:firstLine="382"/>
        <w:spacing w:after="0" w:line="308" w:lineRule="auto"/>
        <w:rPr>
          <w:sz w:val="20"/>
          <w:szCs w:val="20"/>
          <w:color w:val="auto"/>
        </w:rPr>
      </w:pPr>
      <w:r>
        <w:rPr>
          <w:rFonts w:ascii="Arial" w:cs="Arial" w:eastAsia="Arial" w:hAnsi="Arial"/>
          <w:sz w:val="17"/>
          <w:szCs w:val="17"/>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46"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can be freely sold in the public market upon issuance, subject to volume limitations applicable to affiliates.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660" w:hanging="274"/>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55" w:lineRule="exact"/>
        <w:rPr>
          <w:rFonts w:ascii="Arial" w:cs="Arial" w:eastAsia="Arial" w:hAnsi="Arial"/>
          <w:sz w:val="17"/>
          <w:szCs w:val="17"/>
          <w:color w:val="auto"/>
        </w:rPr>
      </w:pPr>
    </w:p>
    <w:p>
      <w:pPr>
        <w:ind w:left="660" w:hanging="274"/>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rFonts w:ascii="Arial" w:cs="Arial" w:eastAsia="Arial" w:hAnsi="Arial"/>
          <w:sz w:val="16"/>
          <w:szCs w:val="16"/>
          <w:color w:val="auto"/>
        </w:rPr>
      </w:pPr>
    </w:p>
    <w:p>
      <w:pPr>
        <w:ind w:left="660" w:hanging="27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660" w:right="380" w:hanging="274"/>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60" w:firstLine="382"/>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right="80" w:firstLine="382"/>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0" w:name="page81"/>
    <w:bookmarkEnd w:id="80"/>
    <w:p>
      <w:pPr>
        <w:ind w:right="20"/>
        <w:spacing w:after="0" w:line="257" w:lineRule="auto"/>
        <w:rPr>
          <w:sz w:val="20"/>
          <w:szCs w:val="20"/>
          <w:color w:val="auto"/>
        </w:rPr>
      </w:pPr>
      <w:r>
        <w:rPr>
          <w:rFonts w:ascii="Arial" w:cs="Arial" w:eastAsia="Arial" w:hAnsi="Arial"/>
          <w:sz w:val="18"/>
          <w:szCs w:val="18"/>
          <w:color w:val="auto"/>
        </w:rPr>
        <w:t>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0"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00"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sell any securities that were not registered under the Securities Act during the three months ended June 30,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 Total 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(d) Approximate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 Total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 Average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Purchased(1)</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April 1, 2021 through April 30, 2021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578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May 1, 2021 through May 31,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 2021 through June 30, 2021</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right="500" w:hanging="372"/>
        <w:spacing w:after="0" w:line="263"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2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ind w:left="10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gridSpan w:val="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Employment Agreement, dated May 10, 2021, by and between the Registrant and Christopher Morabito.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Pursuant to Section 302 of the Sarbanes-Oxley Act of 2002.</w:t>
              </w:r>
            </w:hyperlink>
          </w:p>
        </w:tc>
        <w:tc>
          <w:tcPr>
            <w:tcW w:w="6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10"/>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Act of 2002.</w:t>
              </w:r>
            </w:hyperlink>
          </w:p>
        </w:tc>
        <w:tc>
          <w:tcPr>
            <w:tcW w:w="9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of 2002.</w:t>
              </w:r>
            </w:hyperlink>
          </w:p>
        </w:tc>
        <w:tc>
          <w:tcPr>
            <w:tcW w:w="9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340" w:type="dxa"/>
            <w:vAlign w:val="bottom"/>
            <w:gridSpan w:val="10"/>
          </w:tcPr>
          <w:p>
            <w:pPr>
              <w:spacing w:after="0"/>
              <w:rPr>
                <w:sz w:val="20"/>
                <w:szCs w:val="20"/>
                <w:color w:val="auto"/>
              </w:rPr>
            </w:pPr>
            <w:r>
              <w:rPr>
                <w:rFonts w:ascii="Arial" w:cs="Arial" w:eastAsia="Arial" w:hAnsi="Arial"/>
                <w:sz w:val="18"/>
                <w:szCs w:val="18"/>
                <w:color w:val="auto"/>
                <w:w w:val="96"/>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4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49"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color w:val="auto"/>
              </w:rPr>
              <w:t>FULCRUM THERAPEUTICS, INC.</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August 10, 2021</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2"/>
        </w:trPr>
        <w:tc>
          <w:tcPr>
            <w:tcW w:w="3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r>
        <w:trPr>
          <w:trHeight w:val="230"/>
        </w:trPr>
        <w:tc>
          <w:tcPr>
            <w:tcW w:w="3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August 10, 2021</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5620" w:type="dxa"/>
            <w:vAlign w:val="bottom"/>
          </w:tcPr>
          <w:p>
            <w:pPr>
              <w:jc w:val="center"/>
              <w:spacing w:after="0"/>
              <w:rPr>
                <w:sz w:val="20"/>
                <w:szCs w:val="20"/>
                <w:color w:val="auto"/>
              </w:rPr>
            </w:pPr>
            <w:r>
              <w:rPr>
                <w:rFonts w:ascii="Arial" w:cs="Arial" w:eastAsia="Arial" w:hAnsi="Arial"/>
                <w:sz w:val="18"/>
                <w:szCs w:val="18"/>
                <w:color w:val="auto"/>
                <w:w w:val="88"/>
              </w:rPr>
              <w:t>/s/ Peter Thomson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7880"/>
        <w:spacing w:after="0"/>
        <w:rPr>
          <w:sz w:val="20"/>
          <w:szCs w:val="20"/>
          <w:color w:val="auto"/>
        </w:rPr>
      </w:pPr>
      <w:r>
        <w:rPr>
          <w:rFonts w:ascii="Arial" w:cs="Arial" w:eastAsia="Arial" w:hAnsi="Arial"/>
          <w:sz w:val="18"/>
          <w:szCs w:val="18"/>
          <w:color w:val="auto"/>
        </w:rPr>
        <w:t>Peter Thomson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Vice President, Finance and Accounting (Principal Financial Officer and</w:t>
      </w:r>
    </w:p>
    <w:p>
      <w:pPr>
        <w:spacing w:after="0" w:line="3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5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EMPLOYMENT AGREEMENT (the “Agreement”), is made as of May 10, 2021</w:t>
      </w:r>
    </w:p>
    <w:p>
      <w:pPr>
        <w:spacing w:after="0" w:line="8" w:lineRule="exact"/>
        <w:rPr>
          <w:sz w:val="20"/>
          <w:szCs w:val="20"/>
          <w:color w:val="auto"/>
        </w:rPr>
      </w:pPr>
    </w:p>
    <w:p>
      <w:pPr>
        <w:ind w:right="60" w:firstLine="8"/>
        <w:spacing w:after="0" w:line="236" w:lineRule="auto"/>
        <w:tabs>
          <w:tab w:leader="none" w:pos="126"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Executive’s first day of employment, after all eligibility criteria have been met) by and between Fulcrum Therapeutics, Inc. (the “Company”), and Christopher Morabito (the “Executive”) (together, the “Parties”).</w:t>
      </w:r>
    </w:p>
    <w:p>
      <w:pPr>
        <w:spacing w:after="0" w:line="18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WHEREAS, the Company desires to employ the Executive as its Chief Medical Officer; and</w:t>
      </w:r>
    </w:p>
    <w:p>
      <w:pPr>
        <w:spacing w:after="0" w:line="206" w:lineRule="exact"/>
        <w:rPr>
          <w:sz w:val="20"/>
          <w:szCs w:val="20"/>
          <w:color w:val="auto"/>
        </w:rPr>
      </w:pPr>
    </w:p>
    <w:p>
      <w:pPr>
        <w:ind w:right="880" w:firstLine="846"/>
        <w:spacing w:after="0" w:line="250" w:lineRule="auto"/>
        <w:rPr>
          <w:sz w:val="20"/>
          <w:szCs w:val="20"/>
          <w:color w:val="auto"/>
        </w:rPr>
      </w:pPr>
      <w:r>
        <w:rPr>
          <w:rFonts w:ascii="Arial" w:cs="Arial" w:eastAsia="Arial" w:hAnsi="Arial"/>
          <w:sz w:val="22"/>
          <w:szCs w:val="22"/>
          <w:color w:val="auto"/>
        </w:rPr>
        <w:t>WHEREAS, the Executive has agreed to accept such employment on the terms and conditions set forth in this Agreement;</w:t>
      </w:r>
    </w:p>
    <w:p>
      <w:pPr>
        <w:spacing w:after="0" w:line="175" w:lineRule="exact"/>
        <w:rPr>
          <w:sz w:val="20"/>
          <w:szCs w:val="20"/>
          <w:color w:val="auto"/>
        </w:rPr>
      </w:pPr>
    </w:p>
    <w:p>
      <w:pPr>
        <w:ind w:right="240" w:firstLine="846"/>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ind w:right="60" w:firstLine="8"/>
        <w:spacing w:after="0"/>
        <w:tabs>
          <w:tab w:leader="none" w:pos="216"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(“Date of Hire”). Following the Effective Date,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shall continue to be an employee of the Company until such employment relationship is terminated in accordance with Section 7 hereof (the “Term of Employment”).</w:t>
      </w:r>
    </w:p>
    <w:p>
      <w:pPr>
        <w:spacing w:after="0" w:line="186" w:lineRule="exact"/>
        <w:rPr>
          <w:rFonts w:ascii="Arial" w:cs="Arial" w:eastAsia="Arial" w:hAnsi="Arial"/>
          <w:sz w:val="22"/>
          <w:szCs w:val="22"/>
          <w:color w:val="auto"/>
        </w:rPr>
      </w:pPr>
    </w:p>
    <w:p>
      <w:pPr>
        <w:jc w:val="both"/>
        <w:ind w:right="300" w:firstLine="8"/>
        <w:spacing w:after="0" w:line="328" w:lineRule="auto"/>
        <w:tabs>
          <w:tab w:leader="none" w:pos="216"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Position</w:t>
      </w:r>
      <w:r>
        <w:rPr>
          <w:rFonts w:ascii="Arial" w:cs="Arial" w:eastAsia="Arial" w:hAnsi="Arial"/>
          <w:sz w:val="19"/>
          <w:szCs w:val="19"/>
          <w:color w:val="auto"/>
        </w:rPr>
        <w:t>. During the Term of Employment, the Executive shall serve as the Chief Medical Officer of the Company, working</w:t>
      </w:r>
      <w:r>
        <w:rPr>
          <w:rFonts w:ascii="Arial" w:cs="Arial" w:eastAsia="Arial" w:hAnsi="Arial"/>
          <w:sz w:val="19"/>
          <w:szCs w:val="19"/>
          <w:i w:val="1"/>
          <w:iCs w:val="1"/>
          <w:color w:val="auto"/>
        </w:rPr>
        <w:t xml:space="preserve"> </w:t>
      </w:r>
      <w:r>
        <w:rPr>
          <w:rFonts w:ascii="Arial" w:cs="Arial" w:eastAsia="Arial" w:hAnsi="Arial"/>
          <w:sz w:val="19"/>
          <w:szCs w:val="19"/>
          <w:color w:val="auto"/>
        </w:rPr>
        <w:t>out of the Company’s office in Cambridge, Massachusetts, and travelling as reasonably required by the Executive’s job duties.</w:t>
      </w:r>
    </w:p>
    <w:p>
      <w:pPr>
        <w:spacing w:after="0" w:line="104" w:lineRule="exact"/>
        <w:rPr>
          <w:rFonts w:ascii="Arial" w:cs="Arial" w:eastAsia="Arial" w:hAnsi="Arial"/>
          <w:sz w:val="19"/>
          <w:szCs w:val="19"/>
          <w:color w:val="auto"/>
        </w:rPr>
      </w:pPr>
    </w:p>
    <w:p>
      <w:pPr>
        <w:ind w:right="60" w:firstLine="8"/>
        <w:spacing w:after="0" w:line="273" w:lineRule="auto"/>
        <w:tabs>
          <w:tab w:leader="none" w:pos="216"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 duties</w:t>
      </w:r>
      <w:r>
        <w:rPr>
          <w:rFonts w:ascii="Arial" w:cs="Arial" w:eastAsia="Arial" w:hAnsi="Arial"/>
          <w:sz w:val="19"/>
          <w:szCs w:val="19"/>
          <w:i w:val="1"/>
          <w:iCs w:val="1"/>
          <w:color w:val="auto"/>
        </w:rPr>
        <w:t xml:space="preserve"> </w:t>
      </w:r>
      <w:r>
        <w:rPr>
          <w:rFonts w:ascii="Arial" w:cs="Arial" w:eastAsia="Arial" w:hAnsi="Arial"/>
          <w:sz w:val="19"/>
          <w:szCs w:val="19"/>
          <w:color w:val="auto"/>
        </w:rPr>
        <w:t>consistent with the Executive’s position as Chief Medical Officer. The Executive shall report to the President, Research &amp; Development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155" w:lineRule="exact"/>
        <w:rPr>
          <w:rFonts w:ascii="Arial" w:cs="Arial" w:eastAsia="Arial" w:hAnsi="Arial"/>
          <w:sz w:val="19"/>
          <w:szCs w:val="19"/>
          <w:color w:val="auto"/>
        </w:rPr>
      </w:pPr>
    </w:p>
    <w:p>
      <w:pPr>
        <w:ind w:right="560" w:firstLine="8"/>
        <w:spacing w:after="0" w:line="250" w:lineRule="auto"/>
        <w:tabs>
          <w:tab w:leader="none" w:pos="216"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Term of Employment, the Company will provide to the Executive the following:</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Base Salary</w:t>
      </w:r>
      <w:r>
        <w:rPr>
          <w:rFonts w:ascii="Arial" w:cs="Arial" w:eastAsia="Arial" w:hAnsi="Arial"/>
          <w:sz w:val="19"/>
          <w:szCs w:val="19"/>
          <w:color w:val="auto"/>
        </w:rPr>
        <w:t>. Effective as of the Effective Date, the Executive shall receive a base salary at the annualized rate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$425,000 (the “Base Salary). The Executive’s Base Salary shall be paid in equal installments in accordance with the Company’s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regularly established payroll procedures.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4" w:name="page85"/>
    <w:bookmarkEnd w:id="84"/>
    <w:p>
      <w:pPr>
        <w:ind w:right="640"/>
        <w:spacing w:after="0" w:line="250" w:lineRule="auto"/>
        <w:rPr>
          <w:sz w:val="20"/>
          <w:szCs w:val="20"/>
          <w:color w:val="auto"/>
        </w:rPr>
      </w:pPr>
      <w:r>
        <w:rPr>
          <w:rFonts w:ascii="Arial" w:cs="Arial" w:eastAsia="Arial" w:hAnsi="Arial"/>
          <w:sz w:val="22"/>
          <w:szCs w:val="22"/>
          <w:color w:val="auto"/>
        </w:rPr>
        <w:t>Executive’s Base Salary will be reviewed on an annual or more frequent basis by the Board and is subject to change in the discretion of the Board.</w:t>
      </w:r>
    </w:p>
    <w:p>
      <w:pPr>
        <w:spacing w:after="0" w:line="175" w:lineRule="exact"/>
        <w:rPr>
          <w:sz w:val="20"/>
          <w:szCs w:val="20"/>
          <w:color w:val="auto"/>
        </w:rPr>
      </w:pPr>
    </w:p>
    <w:p>
      <w:pPr>
        <w:ind w:right="20" w:firstLine="854"/>
        <w:spacing w:after="0" w:line="271" w:lineRule="auto"/>
        <w:tabs>
          <w:tab w:leader="none" w:pos="1152"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 annual</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bonus of up to 40%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140" w:firstLine="854"/>
        <w:spacing w:after="0" w:line="250" w:lineRule="auto"/>
        <w:tabs>
          <w:tab w:leader="none" w:pos="1139"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as the Board shall, in its sole discretion, determine.</w:t>
      </w:r>
    </w:p>
    <w:p>
      <w:pPr>
        <w:spacing w:after="0" w:line="174" w:lineRule="exact"/>
        <w:rPr>
          <w:rFonts w:ascii="Arial" w:cs="Arial" w:eastAsia="Arial" w:hAnsi="Arial"/>
          <w:sz w:val="22"/>
          <w:szCs w:val="22"/>
          <w:color w:val="auto"/>
        </w:rPr>
      </w:pPr>
    </w:p>
    <w:p>
      <w:pPr>
        <w:ind w:right="400" w:firstLine="854"/>
        <w:spacing w:after="0" w:line="250" w:lineRule="auto"/>
        <w:tabs>
          <w:tab w:leader="none" w:pos="1152"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174" w:lineRule="exact"/>
        <w:rPr>
          <w:rFonts w:ascii="Arial" w:cs="Arial" w:eastAsia="Arial" w:hAnsi="Arial"/>
          <w:sz w:val="22"/>
          <w:szCs w:val="22"/>
          <w:color w:val="auto"/>
        </w:rPr>
      </w:pPr>
    </w:p>
    <w:p>
      <w:pPr>
        <w:ind w:firstLine="854"/>
        <w:spacing w:after="0" w:line="236" w:lineRule="auto"/>
        <w:tabs>
          <w:tab w:leader="none" w:pos="1139"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you shall have the right, on the same basis</w:t>
      </w:r>
      <w:r>
        <w:rPr>
          <w:rFonts w:ascii="Arial" w:cs="Arial" w:eastAsia="Arial" w:hAnsi="Arial"/>
          <w:sz w:val="22"/>
          <w:szCs w:val="22"/>
          <w:i w:val="1"/>
          <w:iCs w:val="1"/>
          <w:color w:val="auto"/>
        </w:rPr>
        <w:t xml:space="preserve"> </w:t>
      </w:r>
      <w:r>
        <w:rPr>
          <w:rFonts w:ascii="Arial" w:cs="Arial" w:eastAsia="Arial" w:hAnsi="Arial"/>
          <w:sz w:val="22"/>
          <w:szCs w:val="22"/>
          <w:color w:val="auto"/>
        </w:rPr>
        <w:t>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you elect to participate in such plans.</w:t>
      </w:r>
    </w:p>
    <w:p>
      <w:pPr>
        <w:spacing w:after="0" w:line="187" w:lineRule="exact"/>
        <w:rPr>
          <w:rFonts w:ascii="Arial" w:cs="Arial" w:eastAsia="Arial" w:hAnsi="Arial"/>
          <w:sz w:val="22"/>
          <w:szCs w:val="22"/>
          <w:color w:val="auto"/>
        </w:rPr>
      </w:pPr>
    </w:p>
    <w:p>
      <w:pPr>
        <w:ind w:left="1120" w:hanging="266"/>
        <w:spacing w:after="0"/>
        <w:tabs>
          <w:tab w:leader="none" w:pos="1120"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40" w:lineRule="exact"/>
        <w:rPr>
          <w:rFonts w:ascii="Arial" w:cs="Arial" w:eastAsia="Arial" w:hAnsi="Arial"/>
          <w:sz w:val="19"/>
          <w:szCs w:val="19"/>
          <w:color w:val="auto"/>
        </w:rPr>
      </w:pPr>
    </w:p>
    <w:p>
      <w:pPr>
        <w:ind w:right="220" w:firstLine="8"/>
        <w:spacing w:after="0" w:line="250" w:lineRule="auto"/>
        <w:tabs>
          <w:tab w:leader="none" w:pos="216"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 pursuant to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4" w:lineRule="exact"/>
        <w:rPr>
          <w:rFonts w:ascii="Arial" w:cs="Arial" w:eastAsia="Arial" w:hAnsi="Arial"/>
          <w:sz w:val="22"/>
          <w:szCs w:val="22"/>
          <w:color w:val="auto"/>
        </w:rPr>
      </w:pPr>
    </w:p>
    <w:p>
      <w:pPr>
        <w:ind w:right="200" w:firstLine="8"/>
        <w:spacing w:after="0" w:line="328" w:lineRule="auto"/>
        <w:tabs>
          <w:tab w:leader="none" w:pos="216"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Restrictive Covenants Agreement</w:t>
      </w:r>
      <w:r>
        <w:rPr>
          <w:rFonts w:ascii="Arial" w:cs="Arial" w:eastAsia="Arial" w:hAnsi="Arial"/>
          <w:sz w:val="19"/>
          <w:szCs w:val="19"/>
          <w:color w:val="auto"/>
        </w:rPr>
        <w:t>. The Executive hereby acknowledges that in connection with entering into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shall be required to enter into an Employee Confidentiality and Assignment Agreement with the Company.</w:t>
      </w:r>
    </w:p>
    <w:p>
      <w:pPr>
        <w:spacing w:after="0" w:line="104" w:lineRule="exact"/>
        <w:rPr>
          <w:rFonts w:ascii="Arial" w:cs="Arial" w:eastAsia="Arial" w:hAnsi="Arial"/>
          <w:sz w:val="19"/>
          <w:szCs w:val="19"/>
          <w:color w:val="auto"/>
        </w:rPr>
      </w:pPr>
    </w:p>
    <w:p>
      <w:pPr>
        <w:ind w:right="20" w:firstLine="8"/>
        <w:spacing w:after="0" w:line="250" w:lineRule="auto"/>
        <w:tabs>
          <w:tab w:leader="none" w:pos="216"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 any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85" w:name="page86"/>
    <w:bookmarkEnd w:id="85"/>
    <w:p>
      <w:pPr>
        <w:ind w:right="320" w:firstLine="854"/>
        <w:spacing w:after="0" w:line="287" w:lineRule="auto"/>
        <w:tabs>
          <w:tab w:leader="none" w:pos="1139" w:val="left"/>
        </w:tabs>
        <w:numPr>
          <w:ilvl w:val="1"/>
          <w:numId w:val="56"/>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42" w:lineRule="exact"/>
        <w:rPr>
          <w:rFonts w:ascii="Arial" w:cs="Arial" w:eastAsia="Arial" w:hAnsi="Arial"/>
          <w:sz w:val="19"/>
          <w:szCs w:val="19"/>
          <w:color w:val="auto"/>
        </w:rPr>
      </w:pPr>
    </w:p>
    <w:p>
      <w:pPr>
        <w:ind w:right="320" w:firstLine="854"/>
        <w:spacing w:after="0" w:line="250" w:lineRule="auto"/>
        <w:tabs>
          <w:tab w:leader="none" w:pos="1152" w:val="left"/>
        </w:tabs>
        <w:numPr>
          <w:ilvl w:val="1"/>
          <w:numId w:val="56"/>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174" w:lineRule="exact"/>
        <w:rPr>
          <w:rFonts w:ascii="Arial" w:cs="Arial" w:eastAsia="Arial" w:hAnsi="Arial"/>
          <w:sz w:val="22"/>
          <w:szCs w:val="22"/>
          <w:color w:val="auto"/>
        </w:rPr>
      </w:pPr>
    </w:p>
    <w:p>
      <w:pPr>
        <w:ind w:left="1680" w:right="140" w:hanging="835"/>
        <w:spacing w:after="0" w:line="297" w:lineRule="auto"/>
        <w:tabs>
          <w:tab w:leader="none" w:pos="16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33" w:lineRule="exact"/>
        <w:rPr>
          <w:rFonts w:ascii="Arial" w:cs="Arial" w:eastAsia="Arial" w:hAnsi="Arial"/>
          <w:sz w:val="19"/>
          <w:szCs w:val="19"/>
          <w:color w:val="auto"/>
        </w:rPr>
      </w:pPr>
    </w:p>
    <w:p>
      <w:pPr>
        <w:ind w:left="1680" w:right="160" w:hanging="835"/>
        <w:spacing w:after="0" w:line="250" w:lineRule="auto"/>
        <w:tabs>
          <w:tab w:leader="none" w:pos="16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174" w:lineRule="exact"/>
        <w:rPr>
          <w:rFonts w:ascii="Arial" w:cs="Arial" w:eastAsia="Arial" w:hAnsi="Arial"/>
          <w:sz w:val="22"/>
          <w:szCs w:val="22"/>
          <w:color w:val="auto"/>
        </w:rPr>
      </w:pPr>
    </w:p>
    <w:p>
      <w:pPr>
        <w:ind w:left="1680" w:right="140" w:hanging="835"/>
        <w:spacing w:after="0" w:line="250" w:lineRule="auto"/>
        <w:tabs>
          <w:tab w:leader="none" w:pos="16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or</w:t>
      </w:r>
    </w:p>
    <w:p>
      <w:pPr>
        <w:spacing w:after="0" w:line="174" w:lineRule="exact"/>
        <w:rPr>
          <w:rFonts w:ascii="Arial" w:cs="Arial" w:eastAsia="Arial" w:hAnsi="Arial"/>
          <w:sz w:val="22"/>
          <w:szCs w:val="22"/>
          <w:color w:val="auto"/>
        </w:rPr>
      </w:pPr>
    </w:p>
    <w:p>
      <w:pPr>
        <w:ind w:left="1680" w:right="120" w:hanging="835"/>
        <w:spacing w:after="0" w:line="250" w:lineRule="auto"/>
        <w:tabs>
          <w:tab w:leader="none" w:pos="16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174" w:lineRule="exact"/>
        <w:rPr>
          <w:rFonts w:ascii="Arial" w:cs="Arial" w:eastAsia="Arial" w:hAnsi="Arial"/>
          <w:sz w:val="22"/>
          <w:szCs w:val="22"/>
          <w:color w:val="auto"/>
        </w:rPr>
      </w:pPr>
    </w:p>
    <w:p>
      <w:pPr>
        <w:ind w:right="160" w:firstLine="854"/>
        <w:spacing w:after="0" w:line="297" w:lineRule="auto"/>
        <w:tabs>
          <w:tab w:leader="none" w:pos="1139" w:val="left"/>
        </w:tabs>
        <w:numPr>
          <w:ilvl w:val="1"/>
          <w:numId w:val="60"/>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34" w:lineRule="exact"/>
        <w:rPr>
          <w:sz w:val="20"/>
          <w:szCs w:val="20"/>
          <w:color w:val="auto"/>
        </w:rPr>
      </w:pPr>
    </w:p>
    <w:p>
      <w:pPr>
        <w:ind w:left="1680" w:right="180" w:hanging="835"/>
        <w:spacing w:after="0"/>
        <w:tabs>
          <w:tab w:leader="none" w:pos="16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86" w:lineRule="exact"/>
        <w:rPr>
          <w:rFonts w:ascii="Arial" w:cs="Arial" w:eastAsia="Arial" w:hAnsi="Arial"/>
          <w:sz w:val="22"/>
          <w:szCs w:val="22"/>
          <w:color w:val="auto"/>
        </w:rPr>
      </w:pPr>
    </w:p>
    <w:p>
      <w:pPr>
        <w:ind w:left="1680" w:hanging="835"/>
        <w:spacing w:after="0"/>
        <w:tabs>
          <w:tab w:leader="none" w:pos="16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06" w:lineRule="exact"/>
        <w:rPr>
          <w:rFonts w:ascii="Arial" w:cs="Arial" w:eastAsia="Arial" w:hAnsi="Arial"/>
          <w:sz w:val="22"/>
          <w:szCs w:val="22"/>
          <w:color w:val="auto"/>
        </w:rPr>
      </w:pPr>
    </w:p>
    <w:p>
      <w:pPr>
        <w:ind w:left="1680" w:right="100" w:hanging="835"/>
        <w:spacing w:after="0" w:line="250" w:lineRule="auto"/>
        <w:tabs>
          <w:tab w:leader="none" w:pos="16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175" w:lineRule="exact"/>
        <w:rPr>
          <w:sz w:val="20"/>
          <w:szCs w:val="20"/>
          <w:color w:val="auto"/>
        </w:rPr>
      </w:pPr>
    </w:p>
    <w:p>
      <w:pPr>
        <w:ind w:left="1680" w:hanging="835"/>
        <w:spacing w:after="0"/>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material breach of this Agreement by the Company not otherwise covered by this paragraph;</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6" w:name="page87"/>
    <w:bookmarkEnd w:id="86"/>
    <w:p>
      <w:pPr>
        <w:ind w:left="212" w:hanging="212"/>
        <w:spacing w:after="0"/>
        <w:tabs>
          <w:tab w:leader="none" w:pos="212"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 w:right="100" w:firstLine="854"/>
        <w:spacing w:after="0" w:line="272" w:lineRule="auto"/>
        <w:tabs>
          <w:tab w:leader="none" w:pos="1181"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60" w:lineRule="exact"/>
        <w:rPr>
          <w:rFonts w:ascii="Arial" w:cs="Arial" w:eastAsia="Arial" w:hAnsi="Arial"/>
          <w:sz w:val="19"/>
          <w:szCs w:val="19"/>
          <w:color w:val="auto"/>
        </w:rPr>
      </w:pPr>
    </w:p>
    <w:p>
      <w:pPr>
        <w:ind w:left="-8" w:firstLine="854"/>
        <w:spacing w:after="0" w:line="244" w:lineRule="auto"/>
        <w:tabs>
          <w:tab w:leader="none" w:pos="1144" w:val="left"/>
        </w:tabs>
        <w:numPr>
          <w:ilvl w:val="1"/>
          <w:numId w:val="63"/>
        </w:numPr>
        <w:rPr>
          <w:rFonts w:ascii="Arial" w:cs="Arial" w:eastAsia="Arial" w:hAnsi="Arial"/>
          <w:sz w:val="21"/>
          <w:szCs w:val="21"/>
          <w:color w:val="auto"/>
        </w:rPr>
      </w:pPr>
      <w:r>
        <w:rPr>
          <w:rFonts w:ascii="Arial" w:cs="Arial" w:eastAsia="Arial" w:hAnsi="Arial"/>
          <w:sz w:val="21"/>
          <w:szCs w:val="21"/>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21"/>
          <w:szCs w:val="21"/>
          <w:color w:val="auto"/>
        </w:rPr>
        <w:t>If the Executive’s employment is terminated by the Company without Cause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(but in no event longer than Nine (9)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5" w:lineRule="exact"/>
        <w:rPr>
          <w:rFonts w:ascii="Arial" w:cs="Arial" w:eastAsia="Arial" w:hAnsi="Arial"/>
          <w:sz w:val="21"/>
          <w:szCs w:val="21"/>
          <w:color w:val="auto"/>
        </w:rPr>
      </w:pPr>
    </w:p>
    <w:p>
      <w:pPr>
        <w:ind w:left="-8" w:right="120" w:firstLine="854"/>
        <w:spacing w:after="0" w:line="273" w:lineRule="auto"/>
        <w:tabs>
          <w:tab w:leader="none" w:pos="1131"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then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313690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87" w:name="page88"/>
    <w:bookmarkEnd w:id="87"/>
    <w:p>
      <w:pPr>
        <w:ind w:right="140"/>
        <w:spacing w:after="0" w:line="236" w:lineRule="auto"/>
        <w:rPr>
          <w:sz w:val="20"/>
          <w:szCs w:val="20"/>
          <w:color w:val="auto"/>
        </w:rPr>
      </w:pPr>
      <w:r>
        <w:rPr>
          <w:rFonts w:ascii="Arial" w:cs="Arial" w:eastAsia="Arial" w:hAnsi="Arial"/>
          <w:sz w:val="22"/>
          <w:szCs w:val="22"/>
          <w:color w:val="auto"/>
        </w:rPr>
        <w:t>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87" w:lineRule="exact"/>
        <w:rPr>
          <w:sz w:val="20"/>
          <w:szCs w:val="20"/>
          <w:color w:val="auto"/>
        </w:rPr>
      </w:pPr>
    </w:p>
    <w:p>
      <w:pPr>
        <w:ind w:firstLine="854"/>
        <w:spacing w:after="0" w:line="272" w:lineRule="auto"/>
        <w:tabs>
          <w:tab w:leader="none" w:pos="1152"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60" w:lineRule="exact"/>
        <w:rPr>
          <w:rFonts w:ascii="Arial" w:cs="Arial" w:eastAsia="Arial" w:hAnsi="Arial"/>
          <w:sz w:val="19"/>
          <w:szCs w:val="19"/>
          <w:color w:val="auto"/>
        </w:rPr>
      </w:pPr>
    </w:p>
    <w:p>
      <w:pPr>
        <w:ind w:firstLine="854"/>
        <w:spacing w:after="0" w:line="270" w:lineRule="auto"/>
        <w:tabs>
          <w:tab w:leader="none" w:pos="1139"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8" w:name="page89"/>
    <w:bookmarkEnd w:id="88"/>
    <w:p>
      <w:pPr>
        <w:ind w:right="20"/>
        <w:spacing w:after="0" w:line="268" w:lineRule="auto"/>
        <w:rPr>
          <w:sz w:val="20"/>
          <w:szCs w:val="20"/>
          <w:color w:val="auto"/>
        </w:rPr>
      </w:pPr>
      <w:r>
        <w:rPr>
          <w:rFonts w:ascii="Arial" w:cs="Arial" w:eastAsia="Arial" w:hAnsi="Arial"/>
          <w:sz w:val="19"/>
          <w:szCs w:val="19"/>
          <w:color w:val="auto"/>
        </w:rPr>
        <w:t>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w:t>
      </w:r>
    </w:p>
    <w:p>
      <w:pPr>
        <w:spacing w:after="0" w:line="5" w:lineRule="exact"/>
        <w:rPr>
          <w:sz w:val="20"/>
          <w:szCs w:val="20"/>
          <w:color w:val="auto"/>
        </w:rPr>
      </w:pPr>
    </w:p>
    <w:p>
      <w:pPr>
        <w:ind w:right="300" w:firstLine="8"/>
        <w:spacing w:after="0" w:line="245" w:lineRule="auto"/>
        <w:tabs>
          <w:tab w:leader="none" w:pos="306"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80" w:lineRule="exact"/>
        <w:rPr>
          <w:sz w:val="20"/>
          <w:szCs w:val="20"/>
          <w:color w:val="auto"/>
        </w:rPr>
      </w:pPr>
    </w:p>
    <w:p>
      <w:pPr>
        <w:ind w:right="80" w:firstLine="8"/>
        <w:spacing w:after="0" w:line="297" w:lineRule="auto"/>
        <w:tabs>
          <w:tab w:leader="none" w:pos="216"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Absence of Restrictions</w:t>
      </w:r>
      <w:r>
        <w:rPr>
          <w:rFonts w:ascii="Arial" w:cs="Arial" w:eastAsia="Arial" w:hAnsi="Arial"/>
          <w:sz w:val="19"/>
          <w:szCs w:val="19"/>
          <w:color w:val="auto"/>
        </w:rPr>
        <w:t>. The Executive represents and warrants that the Executive is not bound by any employment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33" w:lineRule="exact"/>
        <w:rPr>
          <w:rFonts w:ascii="Arial" w:cs="Arial" w:eastAsia="Arial" w:hAnsi="Arial"/>
          <w:sz w:val="19"/>
          <w:szCs w:val="19"/>
          <w:color w:val="auto"/>
        </w:rPr>
      </w:pPr>
    </w:p>
    <w:p>
      <w:pPr>
        <w:ind w:right="160" w:firstLine="8"/>
        <w:spacing w:after="0" w:line="238" w:lineRule="auto"/>
        <w:tabs>
          <w:tab w:leader="none" w:pos="324"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Company:</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Fulcrum Therapeutics, Inc.</w:t>
      </w:r>
    </w:p>
    <w:p>
      <w:pPr>
        <w:ind w:left="860"/>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86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89" w:name="page90"/>
    <w:bookmarkEnd w:id="89"/>
    <w:p>
      <w:pPr>
        <w:ind w:left="-8" w:right="20" w:firstLine="8"/>
        <w:spacing w:after="0" w:line="279" w:lineRule="auto"/>
        <w:tabs>
          <w:tab w:leader="none" w:pos="308"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Applicable Law; Jury Trial Waiver</w:t>
      </w:r>
      <w:r>
        <w:rPr>
          <w:rFonts w:ascii="Arial" w:cs="Arial" w:eastAsia="Arial" w:hAnsi="Arial"/>
          <w:sz w:val="19"/>
          <w:szCs w:val="19"/>
          <w:color w:val="auto"/>
        </w:rPr>
        <w:t>. This Agreement shall be governed by and construed in accordance with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State of Massachusetts (without reference to the conflict of laws provisions thereof). Any action, suit or other legal proceeding arising under or relating to any provision of this Agreement shall be commenced only in a court of the State of Massachusetts (or, if appropriate, a federal court located within the State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50" w:lineRule="exact"/>
        <w:rPr>
          <w:rFonts w:ascii="Arial" w:cs="Arial" w:eastAsia="Arial" w:hAnsi="Arial"/>
          <w:sz w:val="19"/>
          <w:szCs w:val="19"/>
          <w:color w:val="auto"/>
        </w:rPr>
      </w:pPr>
    </w:p>
    <w:p>
      <w:pPr>
        <w:ind w:left="-8" w:right="140" w:firstLine="8"/>
        <w:spacing w:after="0" w:line="238"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84" w:lineRule="exact"/>
        <w:rPr>
          <w:rFonts w:ascii="Arial" w:cs="Arial" w:eastAsia="Arial" w:hAnsi="Arial"/>
          <w:sz w:val="22"/>
          <w:szCs w:val="22"/>
          <w:color w:val="auto"/>
        </w:rPr>
      </w:pPr>
    </w:p>
    <w:p>
      <w:pPr>
        <w:ind w:left="-8" w:firstLine="8"/>
        <w:spacing w:after="0"/>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At-Will Employment</w:t>
      </w:r>
      <w:r>
        <w:rPr>
          <w:rFonts w:ascii="Arial" w:cs="Arial" w:eastAsia="Arial" w:hAnsi="Arial"/>
          <w:sz w:val="22"/>
          <w:szCs w:val="22"/>
          <w:color w:val="auto"/>
        </w:rPr>
        <w:t>. During the Term of Employment, the Executive will continue to be an at-will employee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which means that, notwithstanding any other provision set forth herein, the employment relationship can be terminated by either Party for any reason, at any time, with or without prior notice and with or without Cause.</w:t>
      </w:r>
    </w:p>
    <w:p>
      <w:pPr>
        <w:spacing w:after="0" w:line="186" w:lineRule="exact"/>
        <w:rPr>
          <w:rFonts w:ascii="Arial" w:cs="Arial" w:eastAsia="Arial" w:hAnsi="Arial"/>
          <w:sz w:val="22"/>
          <w:szCs w:val="22"/>
          <w:color w:val="auto"/>
        </w:rPr>
      </w:pPr>
    </w:p>
    <w:p>
      <w:pPr>
        <w:ind w:left="-8" w:right="20" w:firstLine="8"/>
        <w:spacing w:after="0" w:line="238"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 review</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84" w:lineRule="exact"/>
        <w:rPr>
          <w:rFonts w:ascii="Arial" w:cs="Arial" w:eastAsia="Arial" w:hAnsi="Arial"/>
          <w:sz w:val="22"/>
          <w:szCs w:val="22"/>
          <w:color w:val="auto"/>
        </w:rPr>
      </w:pPr>
    </w:p>
    <w:p>
      <w:pPr>
        <w:ind w:left="-8" w:right="140" w:firstLine="8"/>
        <w:spacing w:after="0" w:line="236"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7" w:lineRule="exact"/>
        <w:rPr>
          <w:rFonts w:ascii="Arial" w:cs="Arial" w:eastAsia="Arial" w:hAnsi="Arial"/>
          <w:sz w:val="22"/>
          <w:szCs w:val="22"/>
          <w:color w:val="auto"/>
        </w:rPr>
      </w:pPr>
    </w:p>
    <w:p>
      <w:pPr>
        <w:jc w:val="both"/>
        <w:ind w:left="-8" w:right="60" w:firstLine="8"/>
        <w:spacing w:after="0" w:line="238"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 way</w:t>
      </w:r>
      <w:r>
        <w:rPr>
          <w:rFonts w:ascii="Arial" w:cs="Arial" w:eastAsia="Arial" w:hAnsi="Arial"/>
          <w:sz w:val="22"/>
          <w:szCs w:val="22"/>
          <w:i w:val="1"/>
          <w:iCs w:val="1"/>
          <w:color w:val="auto"/>
        </w:rPr>
        <w:t xml:space="preserve"> </w:t>
      </w:r>
      <w:r>
        <w:rPr>
          <w:rFonts w:ascii="Arial" w:cs="Arial" w:eastAsia="Arial" w:hAnsi="Arial"/>
          <w:sz w:val="22"/>
          <w:szCs w:val="22"/>
          <w:color w:val="auto"/>
        </w:rPr>
        <w:t>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84" w:lineRule="exact"/>
        <w:rPr>
          <w:rFonts w:ascii="Arial" w:cs="Arial" w:eastAsia="Arial" w:hAnsi="Arial"/>
          <w:sz w:val="22"/>
          <w:szCs w:val="22"/>
          <w:color w:val="auto"/>
        </w:rPr>
      </w:pPr>
    </w:p>
    <w:p>
      <w:pPr>
        <w:ind w:left="-8" w:right="120" w:firstLine="8"/>
        <w:spacing w:after="0" w:line="238"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4" w:lineRule="exact"/>
        <w:rPr>
          <w:rFonts w:ascii="Arial" w:cs="Arial" w:eastAsia="Arial" w:hAnsi="Arial"/>
          <w:sz w:val="22"/>
          <w:szCs w:val="22"/>
          <w:color w:val="auto"/>
        </w:rPr>
      </w:pPr>
    </w:p>
    <w:p>
      <w:pPr>
        <w:ind w:left="-8" w:right="100" w:firstLine="8"/>
        <w:spacing w:after="0" w:line="297" w:lineRule="auto"/>
        <w:tabs>
          <w:tab w:leader="none" w:pos="316"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300355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90" w:name="page91"/>
    <w:bookmarkEnd w:id="90"/>
    <w:p>
      <w:pPr>
        <w:ind w:right="240"/>
        <w:spacing w:after="0" w:line="287" w:lineRule="auto"/>
        <w:rPr>
          <w:sz w:val="20"/>
          <w:szCs w:val="20"/>
          <w:color w:val="auto"/>
        </w:rPr>
      </w:pPr>
      <w:r>
        <w:rPr>
          <w:rFonts w:ascii="Arial" w:cs="Arial" w:eastAsia="Arial" w:hAnsi="Arial"/>
          <w:sz w:val="19"/>
          <w:szCs w:val="19"/>
          <w:color w:val="auto"/>
        </w:rPr>
        <w:t>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43" w:lineRule="exact"/>
        <w:rPr>
          <w:sz w:val="20"/>
          <w:szCs w:val="20"/>
          <w:color w:val="auto"/>
        </w:rPr>
      </w:pPr>
    </w:p>
    <w:p>
      <w:pPr>
        <w:ind w:firstLine="8"/>
        <w:spacing w:after="0"/>
        <w:tabs>
          <w:tab w:leader="none" w:pos="324" w:val="left"/>
        </w:tabs>
        <w:numPr>
          <w:ilvl w:val="0"/>
          <w:numId w:val="68"/>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348" w:right="55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Kim Hazen</w:t>
            </w:r>
          </w:p>
        </w:tc>
      </w:tr>
      <w:tr>
        <w:trPr>
          <w:trHeight w:val="480"/>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Kim Hazen</w:t>
            </w:r>
          </w:p>
        </w:tc>
      </w:tr>
      <w:tr>
        <w:trPr>
          <w:trHeight w:val="479"/>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SVP, Human Resources</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Christopher Morabito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Christopher Morabito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66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2812415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12" w:lineRule="exact"/>
        <w:rPr>
          <w:sz w:val="20"/>
          <w:szCs w:val="20"/>
          <w:color w:val="auto"/>
        </w:rPr>
      </w:pPr>
    </w:p>
    <w:p>
      <w:pPr>
        <w:ind w:firstLine="854"/>
        <w:spacing w:after="0" w:line="238" w:lineRule="auto"/>
        <w:tabs>
          <w:tab w:leader="none" w:pos="1656"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11" w:lineRule="exact"/>
        <w:rPr>
          <w:rFonts w:ascii="Arial" w:cs="Arial" w:eastAsia="Arial" w:hAnsi="Arial"/>
          <w:sz w:val="22"/>
          <w:szCs w:val="22"/>
          <w:color w:val="auto"/>
        </w:rPr>
      </w:pPr>
    </w:p>
    <w:p>
      <w:pPr>
        <w:ind w:left="860" w:right="240" w:firstLine="776"/>
        <w:spacing w:after="0" w:line="276" w:lineRule="auto"/>
        <w:tabs>
          <w:tab w:leader="none" w:pos="2530" w:val="left"/>
        </w:tabs>
        <w:numPr>
          <w:ilvl w:val="1"/>
          <w:numId w:val="69"/>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provided under the Agreement shall be treated as a separate “payment” for purposes of Section 409A of the Internal Revenue Code (“Section</w:t>
      </w:r>
    </w:p>
    <w:p>
      <w:pPr>
        <w:spacing w:after="0" w:line="1" w:lineRule="exact"/>
        <w:rPr>
          <w:rFonts w:ascii="Arial" w:cs="Arial" w:eastAsia="Arial" w:hAnsi="Arial"/>
          <w:sz w:val="19"/>
          <w:szCs w:val="19"/>
          <w:color w:val="auto"/>
        </w:rPr>
      </w:pPr>
    </w:p>
    <w:p>
      <w:pPr>
        <w:ind w:left="860" w:right="440"/>
        <w:spacing w:after="0" w:line="236" w:lineRule="auto"/>
        <w:rPr>
          <w:rFonts w:ascii="Arial" w:cs="Arial" w:eastAsia="Arial" w:hAnsi="Arial"/>
          <w:sz w:val="19"/>
          <w:szCs w:val="19"/>
          <w:color w:val="auto"/>
        </w:rPr>
      </w:pPr>
      <w:r>
        <w:rPr>
          <w:rFonts w:ascii="Arial" w:cs="Arial" w:eastAsia="Arial" w:hAnsi="Arial"/>
          <w:sz w:val="22"/>
          <w:szCs w:val="22"/>
          <w:color w:val="auto"/>
        </w:rPr>
        <w:t>409A”). Neither the Company nor the Executive shall have the right to accelerate or defer the delivery of any such payments except to the extent specifically permitted or required by Section 409A.</w:t>
      </w:r>
    </w:p>
    <w:p>
      <w:pPr>
        <w:spacing w:after="0" w:line="213" w:lineRule="exact"/>
        <w:rPr>
          <w:rFonts w:ascii="Arial" w:cs="Arial" w:eastAsia="Arial" w:hAnsi="Arial"/>
          <w:sz w:val="19"/>
          <w:szCs w:val="19"/>
          <w:color w:val="auto"/>
        </w:rPr>
      </w:pPr>
    </w:p>
    <w:p>
      <w:pPr>
        <w:ind w:left="860" w:right="260" w:firstLine="776"/>
        <w:spacing w:after="0"/>
        <w:tabs>
          <w:tab w:leader="none" w:pos="254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13" w:lineRule="exact"/>
        <w:rPr>
          <w:rFonts w:ascii="Arial" w:cs="Arial" w:eastAsia="Arial" w:hAnsi="Arial"/>
          <w:sz w:val="22"/>
          <w:szCs w:val="22"/>
          <w:color w:val="auto"/>
        </w:rPr>
      </w:pPr>
    </w:p>
    <w:p>
      <w:pPr>
        <w:ind w:left="860" w:right="120" w:firstLine="776"/>
        <w:spacing w:after="0" w:line="250" w:lineRule="auto"/>
        <w:tabs>
          <w:tab w:leader="none" w:pos="2530"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201" w:lineRule="exact"/>
        <w:rPr>
          <w:rFonts w:ascii="Arial" w:cs="Arial" w:eastAsia="Arial" w:hAnsi="Arial"/>
          <w:sz w:val="22"/>
          <w:szCs w:val="22"/>
          <w:color w:val="auto"/>
        </w:rPr>
      </w:pPr>
    </w:p>
    <w:p>
      <w:pPr>
        <w:ind w:left="2220" w:right="60" w:hanging="417"/>
        <w:spacing w:after="0" w:line="235" w:lineRule="auto"/>
        <w:tabs>
          <w:tab w:leader="none" w:pos="2220" w:val="left"/>
        </w:tabs>
        <w:numPr>
          <w:ilvl w:val="2"/>
          <w:numId w:val="69"/>
        </w:numPr>
        <w:rPr>
          <w:rFonts w:ascii="Arial" w:cs="Arial" w:eastAsia="Arial" w:hAnsi="Arial"/>
          <w:sz w:val="22"/>
          <w:szCs w:val="22"/>
          <w:color w:val="auto"/>
        </w:rPr>
      </w:pPr>
      <w:r>
        <w:rPr>
          <w:rFonts w:ascii="Arial" w:cs="Arial" w:eastAsia="Arial" w:hAnsi="Arial"/>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14" w:lineRule="exact"/>
        <w:rPr>
          <w:rFonts w:ascii="Arial" w:cs="Arial" w:eastAsia="Arial" w:hAnsi="Arial"/>
          <w:sz w:val="22"/>
          <w:szCs w:val="22"/>
          <w:color w:val="auto"/>
        </w:rPr>
      </w:pPr>
    </w:p>
    <w:p>
      <w:pPr>
        <w:ind w:left="2220" w:hanging="417"/>
        <w:spacing w:after="0" w:line="272" w:lineRule="auto"/>
        <w:tabs>
          <w:tab w:leader="none" w:pos="2220" w:val="left"/>
        </w:tabs>
        <w:numPr>
          <w:ilvl w:val="2"/>
          <w:numId w:val="69"/>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jc w:val="both"/>
        <w:ind w:left="2220" w:right="240"/>
        <w:spacing w:after="0"/>
        <w:rPr>
          <w:sz w:val="20"/>
          <w:szCs w:val="20"/>
          <w:color w:val="auto"/>
        </w:rPr>
      </w:pPr>
      <w:r>
        <w:rPr>
          <w:rFonts w:ascii="Arial" w:cs="Arial" w:eastAsia="Arial" w:hAnsi="Arial"/>
          <w:sz w:val="22"/>
          <w:szCs w:val="22"/>
          <w:color w:val="auto"/>
        </w:rPr>
        <w:t>that qualify for the exception under Treasury Regulation Section 1.409A-1(b)(9)(iii) must be paid no later than the last day of the Executive’s second taxable year following the taxable year in which the separation from service occurs.</w:t>
      </w:r>
    </w:p>
    <w:p>
      <w:pPr>
        <w:spacing w:after="0" w:line="213" w:lineRule="exact"/>
        <w:rPr>
          <w:sz w:val="20"/>
          <w:szCs w:val="20"/>
          <w:color w:val="auto"/>
        </w:rPr>
      </w:pPr>
    </w:p>
    <w:p>
      <w:pPr>
        <w:ind w:right="20" w:firstLine="854"/>
        <w:spacing w:after="0" w:line="252" w:lineRule="auto"/>
        <w:tabs>
          <w:tab w:leader="none" w:pos="1656"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0" w:lineRule="exact"/>
        <w:rPr>
          <w:rFonts w:ascii="Arial" w:cs="Arial" w:eastAsia="Arial" w:hAnsi="Arial"/>
          <w:sz w:val="21"/>
          <w:szCs w:val="21"/>
          <w:color w:val="auto"/>
        </w:rPr>
      </w:pPr>
    </w:p>
    <w:p>
      <w:pPr>
        <w:ind w:right="40" w:firstLine="854"/>
        <w:spacing w:after="0" w:line="277" w:lineRule="auto"/>
        <w:tabs>
          <w:tab w:leader="none" w:pos="1656"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rFonts w:ascii="Arial" w:cs="Arial" w:eastAsia="Arial" w:hAnsi="Arial"/>
          <w:sz w:val="19"/>
          <w:szCs w:val="19"/>
          <w:color w:val="auto"/>
        </w:rPr>
      </w:pPr>
    </w:p>
    <w:p>
      <w:pPr>
        <w:ind w:firstLine="854"/>
        <w:spacing w:after="0" w:line="297" w:lineRule="auto"/>
        <w:tabs>
          <w:tab w:leader="none" w:pos="1656"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60" w:lineRule="exact"/>
        <w:rPr>
          <w:rFonts w:ascii="Arial" w:cs="Arial" w:eastAsia="Arial" w:hAnsi="Arial"/>
          <w:sz w:val="19"/>
          <w:szCs w:val="19"/>
          <w:color w:val="auto"/>
        </w:rPr>
      </w:pPr>
    </w:p>
    <w:p>
      <w:pPr>
        <w:ind w:left="1660" w:hanging="806"/>
        <w:spacing w:after="0"/>
        <w:tabs>
          <w:tab w:leader="none" w:pos="16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160"/>
          </w:cols>
          <w:pgMar w:left="320" w:top="348" w:right="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10, 2021</w:t>
            </w:r>
          </w:p>
        </w:tc>
        <w:tc>
          <w:tcPr>
            <w:tcW w:w="7040" w:type="dxa"/>
            <w:vAlign w:val="bottom"/>
            <w:gridSpan w:val="2"/>
          </w:tcPr>
          <w:p>
            <w:pPr>
              <w:ind w:left="2560"/>
              <w:spacing w:after="0"/>
              <w:rPr>
                <w:sz w:val="20"/>
                <w:szCs w:val="20"/>
                <w:color w:val="auto"/>
              </w:rPr>
            </w:pPr>
            <w:r>
              <w:rPr>
                <w:rFonts w:ascii="Arial" w:cs="Arial" w:eastAsia="Arial" w:hAnsi="Arial"/>
                <w:sz w:val="18"/>
                <w:szCs w:val="18"/>
                <w:color w:val="auto"/>
              </w:rPr>
              <w:t>By: /s/ Bryan Stuart</w:t>
            </w:r>
          </w:p>
        </w:tc>
      </w:tr>
      <w:tr>
        <w:trPr>
          <w:trHeight w:val="195"/>
        </w:trPr>
        <w:tc>
          <w:tcPr>
            <w:tcW w:w="4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Peter Thomson, certify that:</w:t>
      </w:r>
    </w:p>
    <w:p>
      <w:pPr>
        <w:spacing w:after="0" w:line="117" w:lineRule="exact"/>
        <w:rPr>
          <w:sz w:val="20"/>
          <w:szCs w:val="20"/>
          <w:color w:val="auto"/>
        </w:rPr>
      </w:pPr>
    </w:p>
    <w:p>
      <w:pPr>
        <w:ind w:left="800" w:hanging="182"/>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10, 2021</w:t>
            </w:r>
          </w:p>
        </w:tc>
        <w:tc>
          <w:tcPr>
            <w:tcW w:w="7040" w:type="dxa"/>
            <w:vAlign w:val="bottom"/>
            <w:gridSpan w:val="2"/>
          </w:tcPr>
          <w:p>
            <w:pPr>
              <w:ind w:left="2560"/>
              <w:spacing w:after="0"/>
              <w:rPr>
                <w:sz w:val="20"/>
                <w:szCs w:val="20"/>
                <w:color w:val="auto"/>
              </w:rPr>
            </w:pPr>
            <w:r>
              <w:rPr>
                <w:rFonts w:ascii="Arial" w:cs="Arial" w:eastAsia="Arial" w:hAnsi="Arial"/>
                <w:sz w:val="18"/>
                <w:szCs w:val="18"/>
                <w:color w:val="auto"/>
              </w:rPr>
              <w:t>By: /s/ Peter Thomson</w:t>
            </w:r>
          </w:p>
        </w:tc>
      </w:tr>
      <w:tr>
        <w:trPr>
          <w:trHeight w:val="195"/>
        </w:trPr>
        <w:tc>
          <w:tcPr>
            <w:tcW w:w="4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Thomson</w:t>
            </w:r>
          </w:p>
        </w:tc>
      </w:tr>
      <w:tr>
        <w:trPr>
          <w:trHeight w:val="216"/>
        </w:trPr>
        <w:tc>
          <w:tcPr>
            <w:tcW w:w="4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Vice President, Finance and Accounting</w:t>
            </w:r>
          </w:p>
        </w:tc>
      </w:tr>
      <w:tr>
        <w:trPr>
          <w:trHeight w:val="230"/>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June 30, 2021,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June 30, 2021, as filed with the Securities and Exchange Commission on the date hereof (the “Report”), the undersigned, Peter Thomson, Vice President, Finance and Accounting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Thomson</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Finance and Accounting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lvl w:ilvl="1">
      <w:lvlJc w:val="left"/>
      <w:lvlText w:val="(%2)"/>
      <w:numFmt w:val="lowerLetter"/>
      <w:start w:val="2"/>
    </w:lvl>
  </w:abstractNum>
  <w:abstractNum w:abstractNumId="54">
    <w:nsid w:val="5FF87E05"/>
    <w:multiLevelType w:val="hybridMultilevel"/>
    <w:lvl w:ilvl="0">
      <w:lvlJc w:val="left"/>
      <w:lvlText w:val="%1."/>
      <w:numFmt w:val="decimal"/>
      <w:start w:val="5"/>
    </w:lvl>
    <w:lvl w:ilvl="1">
      <w:lvlJc w:val="left"/>
      <w:lvlText w:val="%2"/>
      <w:numFmt w:val="lowerLetter"/>
      <w:start w:val="1"/>
    </w:lvl>
  </w:abstractNum>
  <w:abstractNum w:abstractNumId="55">
    <w:nsid w:val="2F305DEF"/>
    <w:multiLevelType w:val="hybridMultilevel"/>
    <w:lvl w:ilvl="0">
      <w:lvlJc w:val="left"/>
      <w:lvlText w:val="%1"/>
      <w:numFmt w:val="lowerRoman"/>
      <w:start w:val="1"/>
    </w:lvl>
    <w:lvl w:ilvl="1">
      <w:lvlJc w:val="left"/>
      <w:lvlText w:val="(%2)"/>
      <w:numFmt w:val="lowerLetter"/>
      <w:start w:val="1"/>
    </w:lvl>
  </w:abstractNum>
  <w:abstractNum w:abstractNumId="56">
    <w:nsid w:val="25A70BF7"/>
    <w:multiLevelType w:val="hybridMultilevel"/>
    <w:lvl w:ilvl="0">
      <w:lvlJc w:val="left"/>
      <w:lvlText w:val="%1"/>
      <w:numFmt w:val="lowerRoman"/>
      <w:start w:val="1"/>
    </w:lvl>
    <w:lvl w:ilvl="1">
      <w:lvlJc w:val="left"/>
      <w:lvlText w:val="(%2)"/>
      <w:numFmt w:val="lowerLetter"/>
      <w:start w:val="9"/>
    </w:lvl>
  </w:abstractNum>
  <w:abstractNum w:abstractNumId="57">
    <w:nsid w:val="1DBABF00"/>
    <w:multiLevelType w:val="hybridMultilevel"/>
    <w:lvl w:ilvl="0">
      <w:lvlJc w:val="left"/>
      <w:lvlText w:val="%1"/>
      <w:numFmt w:val="lowerRoman"/>
      <w:start w:val="1"/>
    </w:lvl>
    <w:lvl w:ilvl="1">
      <w:lvlJc w:val="left"/>
      <w:lvlText w:val="(%2)"/>
      <w:numFmt w:val="lowerLetter"/>
      <w:start w:val="35"/>
    </w:lvl>
  </w:abstractNum>
  <w:abstractNum w:abstractNumId="58">
    <w:nsid w:val="4AD084E9"/>
    <w:multiLevelType w:val="hybridMultilevel"/>
    <w:lvl w:ilvl="0">
      <w:lvlJc w:val="left"/>
      <w:lvlText w:val="%1"/>
      <w:numFmt w:val="lowerRoman"/>
      <w:start w:val="1"/>
    </w:lvl>
    <w:lvl w:ilvl="1">
      <w:lvlJc w:val="left"/>
      <w:lvlText w:val="(%2)"/>
      <w:numFmt w:val="lowerLetter"/>
      <w:start w:val="61"/>
    </w:lvl>
  </w:abstractNum>
  <w:abstractNum w:abstractNumId="59">
    <w:nsid w:val="1F48EAA1"/>
    <w:multiLevelType w:val="hybridMultilevel"/>
    <w:lvl w:ilvl="0">
      <w:lvlJc w:val="left"/>
      <w:lvlText w:val="(%1)"/>
      <w:numFmt w:val="lowerRoman"/>
      <w:start w:val="4"/>
    </w:lvl>
    <w:lvl w:ilvl="1">
      <w:lvlJc w:val="left"/>
      <w:lvlText w:val="(%2)"/>
      <w:numFmt w:val="lowerLetter"/>
      <w:start w:val="3"/>
    </w:lvl>
  </w:abstractNum>
  <w:abstractNum w:abstractNumId="60">
    <w:nsid w:val="1381823A"/>
    <w:multiLevelType w:val="hybridMultilevel"/>
    <w:lvl w:ilvl="0">
      <w:lvlJc w:val="left"/>
      <w:lvlText w:val="(%1)"/>
      <w:numFmt w:val="lowerRoman"/>
      <w:start w:val="1"/>
    </w:lvl>
  </w:abstractNum>
  <w:abstractNum w:abstractNumId="61">
    <w:nsid w:val="5DB70AE5"/>
    <w:multiLevelType w:val="hybridMultilevel"/>
    <w:lvl w:ilvl="0">
      <w:lvlJc w:val="left"/>
      <w:lvlText w:val="(%1)"/>
      <w:numFmt w:val="lowerRoman"/>
      <w:start w:val="3"/>
    </w:lvl>
  </w:abstractNum>
  <w:abstractNum w:abstractNumId="62">
    <w:nsid w:val="100F8FCA"/>
    <w:multiLevelType w:val="hybridMultilevel"/>
    <w:lvl w:ilvl="0">
      <w:lvlJc w:val="left"/>
      <w:lvlText w:val="%1."/>
      <w:numFmt w:val="decimal"/>
      <w:start w:val="8"/>
    </w:lvl>
    <w:lvl w:ilvl="1">
      <w:lvlJc w:val="left"/>
      <w:lvlText w:val="(%2)"/>
      <w:numFmt w:val="lowerLetter"/>
      <w:start w:val="1"/>
    </w:lvl>
  </w:abstractNum>
  <w:abstractNum w:abstractNumId="63">
    <w:nsid w:val="6590700B"/>
    <w:multiLevelType w:val="hybridMultilevel"/>
    <w:lvl w:ilvl="0">
      <w:lvlJc w:val="left"/>
      <w:lvlText w:val="(%1)"/>
      <w:numFmt w:val="lowerLetter"/>
      <w:start w:val="4"/>
    </w:lvl>
  </w:abstractNum>
  <w:abstractNum w:abstractNumId="64">
    <w:nsid w:val="15014ACB"/>
    <w:multiLevelType w:val="hybridMultilevel"/>
    <w:lvl w:ilvl="0">
      <w:lvlJc w:val="left"/>
      <w:lvlText w:val="(%1)"/>
      <w:numFmt w:val="lowerLetter"/>
      <w:start w:val="25"/>
    </w:lvl>
  </w:abstractNum>
  <w:abstractNum w:abstractNumId="65">
    <w:nsid w:val="5F5E7FD0"/>
    <w:multiLevelType w:val="hybridMultilevel"/>
    <w:lvl w:ilvl="0">
      <w:lvlJc w:val="left"/>
      <w:lvlText w:val="%1."/>
      <w:numFmt w:val="decimal"/>
      <w:start w:val="9"/>
    </w:lvl>
  </w:abstractNum>
  <w:abstractNum w:abstractNumId="66">
    <w:nsid w:val="98A3148"/>
    <w:multiLevelType w:val="hybridMultilevel"/>
    <w:lvl w:ilvl="0">
      <w:lvlJc w:val="left"/>
      <w:lvlText w:val="%1."/>
      <w:numFmt w:val="decimal"/>
      <w:start w:val="11"/>
    </w:lvl>
  </w:abstractNum>
  <w:abstractNum w:abstractNumId="67">
    <w:nsid w:val="799D0247"/>
    <w:multiLevelType w:val="hybridMultilevel"/>
    <w:lvl w:ilvl="0">
      <w:lvlJc w:val="left"/>
      <w:lvlText w:val="%1."/>
      <w:numFmt w:val="decimal"/>
      <w:start w:val="19"/>
    </w:lvl>
  </w:abstractNum>
  <w:abstractNum w:abstractNumId="68">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42C296BD"/>
    <w:multiLevelType w:val="hybridMultilevel"/>
    <w:lvl w:ilvl="0">
      <w:lvlJc w:val="left"/>
      <w:lvlText w:val="%1."/>
      <w:numFmt w:val="decimal"/>
      <w:start w:val="2"/>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2021-08-10T06:12:28Z</dcterms:created>
  <dcterms:modified xsi:type="dcterms:W3CDTF">2021-08-10T06:12:28Z</dcterms:modified>
</cp:coreProperties>
</file>