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141605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9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169545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 of</w:t>
      </w:r>
    </w:p>
    <w:p>
      <w:pPr>
        <w:jc w:val="center"/>
        <w:ind w:right="2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August 26,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165735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Fulcrum Therapeutics,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0" w:type="dxa"/>
        <w:tblCellMar>
          <w:top w:w="0" w:type="dxa"/>
          <w:left w:w="0" w:type="dxa"/>
          <w:bottom w:w="0" w:type="dxa"/>
          <w:right w:w="0" w:type="dxa"/>
        </w:tblCellMar>
      </w:tblPr>
      <w:tr>
        <w:trPr>
          <w:trHeight w:val="212"/>
        </w:trPr>
        <w:tc>
          <w:tcPr>
            <w:tcW w:w="4060" w:type="dxa"/>
            <w:vAlign w:val="bottom"/>
          </w:tcPr>
          <w:p>
            <w:pPr>
              <w:jc w:val="center"/>
              <w:ind w:right="2259"/>
              <w:spacing w:after="0"/>
              <w:rPr>
                <w:sz w:val="20"/>
                <w:szCs w:val="20"/>
                <w:color w:val="auto"/>
              </w:rPr>
            </w:pPr>
            <w:r>
              <w:rPr>
                <w:rFonts w:ascii="Arial" w:cs="Arial" w:eastAsia="Arial" w:hAnsi="Arial"/>
                <w:sz w:val="18"/>
                <w:szCs w:val="18"/>
                <w:b w:val="1"/>
                <w:bCs w:val="1"/>
                <w:color w:val="auto"/>
                <w:w w:val="91"/>
              </w:rPr>
              <w:t>Delaware</w:t>
            </w:r>
          </w:p>
        </w:tc>
        <w:tc>
          <w:tcPr>
            <w:tcW w:w="2300" w:type="dxa"/>
            <w:vAlign w:val="bottom"/>
          </w:tcPr>
          <w:p>
            <w:pPr>
              <w:ind w:left="160"/>
              <w:spacing w:after="0"/>
              <w:rPr>
                <w:sz w:val="20"/>
                <w:szCs w:val="20"/>
                <w:color w:val="auto"/>
              </w:rPr>
            </w:pPr>
            <w:r>
              <w:rPr>
                <w:rFonts w:ascii="Arial" w:cs="Arial" w:eastAsia="Arial" w:hAnsi="Arial"/>
                <w:sz w:val="18"/>
                <w:szCs w:val="18"/>
                <w:b w:val="1"/>
                <w:bCs w:val="1"/>
                <w:color w:val="auto"/>
              </w:rPr>
              <w:t>001-38978</w:t>
            </w:r>
          </w:p>
        </w:tc>
        <w:tc>
          <w:tcPr>
            <w:tcW w:w="2440" w:type="dxa"/>
            <w:vAlign w:val="bottom"/>
          </w:tcPr>
          <w:p>
            <w:pPr>
              <w:jc w:val="right"/>
              <w:ind w:right="41"/>
              <w:spacing w:after="0"/>
              <w:rPr>
                <w:sz w:val="20"/>
                <w:szCs w:val="20"/>
                <w:color w:val="auto"/>
              </w:rPr>
            </w:pPr>
            <w:r>
              <w:rPr>
                <w:rFonts w:ascii="Arial" w:cs="Arial" w:eastAsia="Arial" w:hAnsi="Arial"/>
                <w:sz w:val="18"/>
                <w:szCs w:val="18"/>
                <w:b w:val="1"/>
                <w:bCs w:val="1"/>
                <w:color w:val="auto"/>
              </w:rPr>
              <w:t>47-4839948</w:t>
            </w:r>
          </w:p>
        </w:tc>
      </w:tr>
      <w:tr>
        <w:trPr>
          <w:trHeight w:val="149"/>
        </w:trPr>
        <w:tc>
          <w:tcPr>
            <w:tcW w:w="4060" w:type="dxa"/>
            <w:vAlign w:val="bottom"/>
          </w:tcPr>
          <w:p>
            <w:pPr>
              <w:jc w:val="center"/>
              <w:ind w:right="22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0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(Commission</w:t>
            </w:r>
          </w:p>
        </w:tc>
        <w:tc>
          <w:tcPr>
            <w:tcW w:w="244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60" w:type="dxa"/>
            <w:vAlign w:val="bottom"/>
          </w:tcPr>
          <w:p>
            <w:pPr>
              <w:jc w:val="center"/>
              <w:ind w:right="2279"/>
              <w:spacing w:after="0"/>
              <w:rPr>
                <w:sz w:val="20"/>
                <w:szCs w:val="20"/>
                <w:color w:val="auto"/>
              </w:rPr>
            </w:pPr>
            <w:r>
              <w:rPr>
                <w:rFonts w:ascii="Arial" w:cs="Arial" w:eastAsia="Arial" w:hAnsi="Arial"/>
                <w:sz w:val="14"/>
                <w:szCs w:val="14"/>
                <w:b w:val="1"/>
                <w:bCs w:val="1"/>
                <w:color w:val="auto"/>
                <w:w w:val="94"/>
              </w:rPr>
              <w:t>of Incorporation)</w:t>
            </w:r>
          </w:p>
        </w:tc>
        <w:tc>
          <w:tcPr>
            <w:tcW w:w="2300" w:type="dxa"/>
            <w:vAlign w:val="bottom"/>
          </w:tcPr>
          <w:p>
            <w:pPr>
              <w:ind w:left="140"/>
              <w:spacing w:after="0"/>
              <w:rPr>
                <w:sz w:val="20"/>
                <w:szCs w:val="20"/>
                <w:color w:val="auto"/>
              </w:rPr>
            </w:pPr>
            <w:r>
              <w:rPr>
                <w:rFonts w:ascii="Arial" w:cs="Arial" w:eastAsia="Arial" w:hAnsi="Arial"/>
                <w:sz w:val="14"/>
                <w:szCs w:val="14"/>
                <w:b w:val="1"/>
                <w:bCs w:val="1"/>
                <w:color w:val="auto"/>
              </w:rPr>
              <w:t>File Number)</w:t>
            </w:r>
          </w:p>
        </w:tc>
        <w:tc>
          <w:tcPr>
            <w:tcW w:w="2440" w:type="dxa"/>
            <w:vAlign w:val="bottom"/>
          </w:tcPr>
          <w:p>
            <w:pPr>
              <w:jc w:val="center"/>
              <w:ind w:left="124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060" w:type="dxa"/>
            <w:vAlign w:val="bottom"/>
          </w:tcPr>
          <w:p>
            <w:pPr>
              <w:jc w:val="center"/>
              <w:ind w:left="1219"/>
              <w:spacing w:after="0"/>
              <w:rPr>
                <w:sz w:val="20"/>
                <w:szCs w:val="20"/>
                <w:color w:val="auto"/>
              </w:rPr>
            </w:pPr>
            <w:r>
              <w:rPr>
                <w:rFonts w:ascii="Arial" w:cs="Arial" w:eastAsia="Arial" w:hAnsi="Arial"/>
                <w:sz w:val="18"/>
                <w:szCs w:val="18"/>
                <w:b w:val="1"/>
                <w:bCs w:val="1"/>
                <w:color w:val="auto"/>
                <w:w w:val="90"/>
              </w:rPr>
              <w:t>26 Landsdowne Street</w:t>
            </w:r>
          </w:p>
        </w:tc>
        <w:tc>
          <w:tcPr>
            <w:tcW w:w="23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5"/>
        </w:trPr>
        <w:tc>
          <w:tcPr>
            <w:tcW w:w="4060" w:type="dxa"/>
            <w:vAlign w:val="bottom"/>
          </w:tcPr>
          <w:p>
            <w:pPr>
              <w:jc w:val="center"/>
              <w:ind w:left="1219"/>
              <w:spacing w:after="0"/>
              <w:rPr>
                <w:sz w:val="20"/>
                <w:szCs w:val="20"/>
                <w:color w:val="auto"/>
              </w:rPr>
            </w:pPr>
            <w:r>
              <w:rPr>
                <w:rFonts w:ascii="Arial" w:cs="Arial" w:eastAsia="Arial" w:hAnsi="Arial"/>
                <w:sz w:val="18"/>
                <w:szCs w:val="18"/>
                <w:b w:val="1"/>
                <w:bCs w:val="1"/>
                <w:color w:val="auto"/>
                <w:w w:val="89"/>
              </w:rPr>
              <w:t>Cambridge, Massachusetts</w:t>
            </w:r>
          </w:p>
        </w:tc>
        <w:tc>
          <w:tcPr>
            <w:tcW w:w="2300" w:type="dxa"/>
            <w:vAlign w:val="bottom"/>
          </w:tcPr>
          <w:p>
            <w:pPr>
              <w:spacing w:after="0"/>
              <w:rPr>
                <w:sz w:val="19"/>
                <w:szCs w:val="19"/>
                <w:color w:val="auto"/>
              </w:rPr>
            </w:pPr>
          </w:p>
        </w:tc>
        <w:tc>
          <w:tcPr>
            <w:tcW w:w="2440" w:type="dxa"/>
            <w:vAlign w:val="bottom"/>
          </w:tcPr>
          <w:p>
            <w:pPr>
              <w:jc w:val="right"/>
              <w:ind w:right="261"/>
              <w:spacing w:after="0"/>
              <w:rPr>
                <w:sz w:val="20"/>
                <w:szCs w:val="20"/>
                <w:color w:val="auto"/>
              </w:rPr>
            </w:pPr>
            <w:r>
              <w:rPr>
                <w:rFonts w:ascii="Arial" w:cs="Arial" w:eastAsia="Arial" w:hAnsi="Arial"/>
                <w:sz w:val="18"/>
                <w:szCs w:val="18"/>
                <w:b w:val="1"/>
                <w:bCs w:val="1"/>
                <w:color w:val="auto"/>
              </w:rPr>
              <w:t>02139</w:t>
            </w:r>
          </w:p>
        </w:tc>
      </w:tr>
      <w:tr>
        <w:trPr>
          <w:trHeight w:val="186"/>
        </w:trPr>
        <w:tc>
          <w:tcPr>
            <w:tcW w:w="4060" w:type="dxa"/>
            <w:vAlign w:val="bottom"/>
          </w:tcPr>
          <w:p>
            <w:pPr>
              <w:jc w:val="center"/>
              <w:ind w:left="119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300" w:type="dxa"/>
            <w:vAlign w:val="bottom"/>
          </w:tcPr>
          <w:p>
            <w:pPr>
              <w:spacing w:after="0"/>
              <w:rPr>
                <w:sz w:val="16"/>
                <w:szCs w:val="16"/>
                <w:color w:val="auto"/>
              </w:rPr>
            </w:pPr>
          </w:p>
        </w:tc>
        <w:tc>
          <w:tcPr>
            <w:tcW w:w="2440" w:type="dxa"/>
            <w:vAlign w:val="bottom"/>
          </w:tcPr>
          <w:p>
            <w:pPr>
              <w:jc w:val="center"/>
              <w:ind w:left="124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(617) 651-8851</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142240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98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191"/>
        </w:trPr>
        <w:tc>
          <w:tcPr>
            <w:tcW w:w="38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par value $0.001</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FULC</w:t>
            </w:r>
          </w:p>
        </w:tc>
        <w:tc>
          <w:tcPr>
            <w:tcW w:w="100" w:type="dxa"/>
            <w:vAlign w:val="bottom"/>
          </w:tcPr>
          <w:p>
            <w:pPr>
              <w:spacing w:after="0"/>
              <w:rPr>
                <w:sz w:val="16"/>
                <w:szCs w:val="16"/>
                <w:color w:val="auto"/>
              </w:rPr>
            </w:pPr>
          </w:p>
        </w:tc>
        <w:tc>
          <w:tcPr>
            <w:tcW w:w="34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Nasdaq Global Market</w:t>
            </w:r>
          </w:p>
        </w:tc>
        <w:tc>
          <w:tcPr>
            <w:tcW w:w="0" w:type="dxa"/>
            <w:vAlign w:val="bottom"/>
          </w:tcPr>
          <w:p>
            <w:pPr>
              <w:spacing w:after="0"/>
              <w:rPr>
                <w:sz w:val="1"/>
                <w:szCs w:val="1"/>
                <w:color w:val="auto"/>
              </w:rPr>
            </w:pPr>
          </w:p>
        </w:tc>
      </w:tr>
      <w:tr>
        <w:trPr>
          <w:trHeight w:val="234"/>
        </w:trPr>
        <w:tc>
          <w:tcPr>
            <w:tcW w:w="39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85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41" w:right="419" w:bottom="1440" w:gutter="0" w:footer="0" w:header="0"/>
        </w:sectPr>
      </w:pPr>
    </w:p>
    <w:bookmarkStart w:id="1" w:name="page2"/>
    <w:bookmarkEnd w:id="1"/>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August 26, 2019, Fulcrum Therapeutics, Inc. (the “Company”) announced its financial results for the quarter ended June 30, 2019. The full text of the press release issued in connection with the announcement is being furnished as Exhibit 99.1 to this Current Report on Form 8-K and is incorporated herein by reference.</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information in this Item 2.02, including Exhibit 99.1 attached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31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440" w:hanging="436"/>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furnished herewith:</w:t>
      </w:r>
    </w:p>
    <w:p>
      <w:pPr>
        <w:spacing w:after="0" w:line="252" w:lineRule="exact"/>
        <w:rPr>
          <w:sz w:val="20"/>
          <w:szCs w:val="20"/>
          <w:color w:val="auto"/>
        </w:rPr>
      </w:pPr>
    </w:p>
    <w:p>
      <w:pPr>
        <w:spacing w:after="0"/>
        <w:tabs>
          <w:tab w:leader="none" w:pos="6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issued by the Company on August 26, 2019</w:t>
        </w:r>
      </w:hyperlink>
    </w:p>
    <w:p>
      <w:pPr>
        <w:sectPr>
          <w:pgSz w:w="11900" w:h="16838" w:orient="portrait"/>
          <w:cols w:equalWidth="0" w:num="1">
            <w:col w:w="11000"/>
          </w:cols>
          <w:pgMar w:left="440" w:top="270" w:right="45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7580" w:type="dxa"/>
            <w:vAlign w:val="bottom"/>
            <w:gridSpan w:val="2"/>
          </w:tcPr>
          <w:p>
            <w:pPr>
              <w:ind w:left="1820"/>
              <w:spacing w:after="0"/>
              <w:rPr>
                <w:sz w:val="20"/>
                <w:szCs w:val="20"/>
                <w:color w:val="auto"/>
              </w:rPr>
            </w:pPr>
            <w:r>
              <w:rPr>
                <w:rFonts w:ascii="Arial" w:cs="Arial" w:eastAsia="Arial" w:hAnsi="Arial"/>
                <w:sz w:val="18"/>
                <w:szCs w:val="18"/>
                <w:color w:val="auto"/>
              </w:rPr>
              <w:t>FULCRUM THERAPEUTICS, INC.</w:t>
            </w:r>
          </w:p>
        </w:tc>
      </w:tr>
      <w:tr>
        <w:trPr>
          <w:trHeight w:val="432"/>
        </w:trPr>
        <w:tc>
          <w:tcPr>
            <w:tcW w:w="3460" w:type="dxa"/>
            <w:vAlign w:val="bottom"/>
          </w:tcPr>
          <w:p>
            <w:pPr>
              <w:spacing w:after="0"/>
              <w:rPr>
                <w:sz w:val="20"/>
                <w:szCs w:val="20"/>
                <w:color w:val="auto"/>
              </w:rPr>
            </w:pPr>
            <w:r>
              <w:rPr>
                <w:rFonts w:ascii="Arial" w:cs="Arial" w:eastAsia="Arial" w:hAnsi="Arial"/>
                <w:sz w:val="18"/>
                <w:szCs w:val="18"/>
                <w:color w:val="auto"/>
              </w:rPr>
              <w:t>Date: August 26, 2019</w:t>
            </w:r>
          </w:p>
        </w:tc>
        <w:tc>
          <w:tcPr>
            <w:tcW w:w="7580" w:type="dxa"/>
            <w:vAlign w:val="bottom"/>
            <w:gridSpan w:val="2"/>
          </w:tcPr>
          <w:p>
            <w:pPr>
              <w:ind w:left="1820"/>
              <w:spacing w:after="0"/>
              <w:rPr>
                <w:sz w:val="20"/>
                <w:szCs w:val="20"/>
                <w:color w:val="auto"/>
              </w:rPr>
            </w:pPr>
            <w:r>
              <w:rPr>
                <w:rFonts w:ascii="Arial" w:cs="Arial" w:eastAsia="Arial" w:hAnsi="Arial"/>
                <w:sz w:val="18"/>
                <w:szCs w:val="18"/>
                <w:color w:val="auto"/>
              </w:rPr>
              <w:t>By:    /s/ Robert J. Gould</w:t>
            </w:r>
          </w:p>
        </w:tc>
      </w:tr>
      <w:tr>
        <w:trPr>
          <w:trHeight w:val="195"/>
        </w:trPr>
        <w:tc>
          <w:tcPr>
            <w:tcW w:w="34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32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Name: Robert J. Gould</w:t>
            </w:r>
          </w:p>
        </w:tc>
      </w:tr>
      <w:tr>
        <w:trPr>
          <w:trHeight w:val="230"/>
        </w:trPr>
        <w:tc>
          <w:tcPr>
            <w:tcW w:w="34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Title: President and Chief Executive Officer</w:t>
            </w:r>
          </w:p>
        </w:tc>
      </w:tr>
    </w:tbl>
    <w:p>
      <w:pPr>
        <w:sectPr>
          <w:pgSz w:w="11900" w:h="16838" w:orient="portrait"/>
          <w:cols w:equalWidth="0" w:num="1">
            <w:col w:w="11040"/>
          </w:cols>
          <w:pgMar w:left="440" w:top="270"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1861185" cy="4546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6118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Fulcrum Therapeutics Reports Second Quarter 2019 Financial Results and</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Recent Business Highlights</w:t>
      </w:r>
    </w:p>
    <w:p>
      <w:pPr>
        <w:spacing w:after="0" w:line="202" w:lineRule="exact"/>
        <w:rPr>
          <w:sz w:val="20"/>
          <w:szCs w:val="20"/>
          <w:color w:val="auto"/>
        </w:rPr>
      </w:pPr>
    </w:p>
    <w:p>
      <w:pPr>
        <w:jc w:val="center"/>
        <w:ind w:left="460" w:right="2600"/>
        <w:spacing w:after="0" w:line="455" w:lineRule="auto"/>
        <w:rPr>
          <w:sz w:val="20"/>
          <w:szCs w:val="20"/>
          <w:color w:val="auto"/>
        </w:rPr>
      </w:pPr>
      <w:r>
        <w:rPr>
          <w:rFonts w:ascii="Arial" w:cs="Arial" w:eastAsia="Arial" w:hAnsi="Arial"/>
          <w:sz w:val="16"/>
          <w:szCs w:val="16"/>
          <w:b w:val="1"/>
          <w:bCs w:val="1"/>
          <w:color w:val="auto"/>
        </w:rPr>
        <w:t>– Completed initial public offering, raising $72.0 million in gross proceeds – – Initiated ReDUX4, a Phase 2b clinical trial of losmapimod in FSHD – – Initiated a Phase 2 open label clinical trial of losmapimod in FSHD –</w:t>
      </w:r>
    </w:p>
    <w:p>
      <w:pPr>
        <w:spacing w:after="0" w:line="38"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CAMBRIDGE, Mass. – Aug. 26, 2019 (GLOBE NEWSWIRE) – Fulcrum Therapeutics, Inc. (Nasdaq: FULC), a clinical-stage biopharmaceutical company focused on improving the lives of patients with genetically defined rare diseases, today provided a business update and reported financial results for the second quarter of 2019.</w:t>
      </w:r>
    </w:p>
    <w:p>
      <w:pPr>
        <w:spacing w:after="0" w:line="18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“Over the second quarter we continued to make strides in advancing our pipeline, positioning us well for the completion of our initial public offering in July,” said Robert J. Gould, Ph.D., Fulcrum’s president and chief executive officer. “The capital raised will enable the continued execution of our strategy to discover, develop, and commercialize small molecule therapies to treat the root cause of genetically defined rare diseases. We are pleased to have announced the initiation of the Phase 2b ReDUX4 clinical trial and to announce today the initiation of the Phase 2 open label clinical trial of our lead product candidate, losmapimod, for the treatment of patients with facioscapulohumeral muscular dystrophy (FSHD). FSHD is a progressive disease for which there are currently no approved treatments. We look forward to sharing results from our Phase 1 clinical trial of losmapimod in FSHD patients and healthy volunteers at the Annual Congress of the World Muscle Society to be held in Copenhagen, Denmark October 1st – 5th, 2019.”</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Second Quarter 2019 and Recent Business Highlights</w:t>
      </w:r>
    </w:p>
    <w:p>
      <w:pPr>
        <w:spacing w:after="0" w:line="135" w:lineRule="exact"/>
        <w:rPr>
          <w:sz w:val="20"/>
          <w:szCs w:val="20"/>
          <w:color w:val="auto"/>
        </w:rPr>
      </w:pPr>
    </w:p>
    <w:p>
      <w:pPr>
        <w:ind w:left="980" w:hanging="436"/>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August 2019, Fulcrum announced that it initiated ReDUX4, its Phase 2b clinical trial evaluating losmapimod for the treatment of FSHD.</w:t>
      </w:r>
    </w:p>
    <w:p>
      <w:pPr>
        <w:spacing w:after="0" w:line="153" w:lineRule="exact"/>
        <w:rPr>
          <w:rFonts w:ascii="Arial" w:cs="Arial" w:eastAsia="Arial" w:hAnsi="Arial"/>
          <w:sz w:val="16"/>
          <w:szCs w:val="16"/>
          <w:color w:val="auto"/>
        </w:rPr>
      </w:pPr>
    </w:p>
    <w:p>
      <w:pPr>
        <w:ind w:left="980" w:hanging="436"/>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August 2019, Fulcrum announced that it initiated a Phase 2 open label clinical trial evaluating losmapimod for the treatment of FSHD.</w:t>
      </w:r>
    </w:p>
    <w:p>
      <w:pPr>
        <w:spacing w:after="0" w:line="153" w:lineRule="exact"/>
        <w:rPr>
          <w:rFonts w:ascii="Arial" w:cs="Arial" w:eastAsia="Arial" w:hAnsi="Arial"/>
          <w:sz w:val="16"/>
          <w:szCs w:val="16"/>
          <w:color w:val="auto"/>
        </w:rPr>
      </w:pPr>
    </w:p>
    <w:p>
      <w:pPr>
        <w:ind w:left="980" w:hanging="43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July 2019, Fulcrum completed its initial public offering of common stock, raising $72.0 million in gross proceeds.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Second Quarter 2019 Financial Results</w:t>
      </w:r>
    </w:p>
    <w:p>
      <w:pPr>
        <w:spacing w:after="0" w:line="131" w:lineRule="exact"/>
        <w:rPr>
          <w:sz w:val="20"/>
          <w:szCs w:val="20"/>
          <w:color w:val="auto"/>
        </w:rPr>
      </w:pPr>
    </w:p>
    <w:p>
      <w:pPr>
        <w:ind w:left="980" w:hanging="436"/>
        <w:spacing w:after="0" w:line="258"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Cash Position: </w:t>
      </w:r>
      <w:r>
        <w:rPr>
          <w:rFonts w:ascii="Arial" w:cs="Arial" w:eastAsia="Arial" w:hAnsi="Arial"/>
          <w:sz w:val="18"/>
          <w:szCs w:val="18"/>
          <w:color w:val="auto"/>
        </w:rPr>
        <w:t>As of June 30, 2019, cash and cash equivalents were $49.6 million, as compared to $72.8 million as of December 31, 2018.</w:t>
      </w:r>
      <w:r>
        <w:rPr>
          <w:rFonts w:ascii="Arial" w:cs="Arial" w:eastAsia="Arial" w:hAnsi="Arial"/>
          <w:sz w:val="18"/>
          <w:szCs w:val="18"/>
          <w:b w:val="1"/>
          <w:bCs w:val="1"/>
          <w:color w:val="auto"/>
        </w:rPr>
        <w:t xml:space="preserve"> </w:t>
      </w:r>
      <w:r>
        <w:rPr>
          <w:rFonts w:ascii="Arial" w:cs="Arial" w:eastAsia="Arial" w:hAnsi="Arial"/>
          <w:sz w:val="18"/>
          <w:szCs w:val="18"/>
          <w:color w:val="auto"/>
        </w:rPr>
        <w:t>Cash and cash equivalents as of June 30, 2019 do not include the proceeds from the Company’s initial public offering of common stock, which closed in July 2019. Based on its current plans, the Company expects that its existing cash and cash equivalents, including the proceeds from its July 2019 initial public offering, will be sufficient to enable it to fund its operating expenses and capital expenditure requirements into the third quarter of 2021.</w:t>
      </w:r>
    </w:p>
    <w:p>
      <w:pPr>
        <w:spacing w:after="0" w:line="89" w:lineRule="exact"/>
        <w:rPr>
          <w:rFonts w:ascii="Arial" w:cs="Arial" w:eastAsia="Arial" w:hAnsi="Arial"/>
          <w:sz w:val="18"/>
          <w:szCs w:val="18"/>
          <w:color w:val="auto"/>
        </w:rPr>
      </w:pPr>
    </w:p>
    <w:p>
      <w:pPr>
        <w:ind w:left="980" w:right="20" w:hanging="436"/>
        <w:spacing w:after="0" w:line="303"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R&amp;D Expenses: </w:t>
      </w:r>
      <w:r>
        <w:rPr>
          <w:rFonts w:ascii="Arial" w:cs="Arial" w:eastAsia="Arial" w:hAnsi="Arial"/>
          <w:sz w:val="16"/>
          <w:szCs w:val="16"/>
          <w:color w:val="auto"/>
        </w:rPr>
        <w:t>Research and development expenses were $10.9 million for the second quarter of 2019, as compared to $5.8 million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second quarter of 2018. The increase of $5.1 million was primarily due to increased costs related to the advancement of losmapimod for the treatment of FSHD, including increased external costs to support Fulcrum’s ongoing and planned clinical trials, as well as increased personnel-related costs due to additional headcount to support the growth of Fulcrum’s research and development organization.</w:t>
      </w:r>
    </w:p>
    <w:p>
      <w:pPr>
        <w:sectPr>
          <w:pgSz w:w="11900" w:h="16838" w:orient="portrait"/>
          <w:cols w:equalWidth="0" w:num="1">
            <w:col w:w="11020"/>
          </w:cols>
          <w:pgMar w:left="440" w:top="121" w:right="439" w:bottom="1440" w:gutter="0" w:footer="0" w:header="0"/>
        </w:sectPr>
      </w:pPr>
    </w:p>
    <w:bookmarkStart w:id="4" w:name="page5"/>
    <w:bookmarkEnd w:id="4"/>
    <w:p>
      <w:pPr>
        <w:ind w:left="980" w:right="220" w:hanging="436"/>
        <w:spacing w:after="0" w:line="266"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183515</wp:posOffset>
            </wp:positionV>
            <wp:extent cx="1861185" cy="4546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861185" cy="454660"/>
                    </a:xfrm>
                    <a:prstGeom prst="rect">
                      <a:avLst/>
                    </a:prstGeom>
                    <a:noFill/>
                  </pic:spPr>
                </pic:pic>
              </a:graphicData>
            </a:graphic>
          </wp:anchor>
        </w:drawing>
        <w:t xml:space="preserve">G&amp;A Expenses: </w:t>
      </w:r>
      <w:r>
        <w:rPr>
          <w:rFonts w:ascii="Arial" w:cs="Arial" w:eastAsia="Arial" w:hAnsi="Arial"/>
          <w:sz w:val="18"/>
          <w:szCs w:val="18"/>
          <w:color w:val="auto"/>
        </w:rPr>
        <w:t>General and administrative expenses were $2.6 million for the second quarter of 2019, as compared to $2.1 million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second quarter of 2018. The increase of $0.5 million was primarily due to increased personnel-related costs due to additional headcount, as well as increased consulting and professional fees.</w:t>
      </w:r>
    </w:p>
    <w:p>
      <w:pPr>
        <w:spacing w:after="0" w:line="81" w:lineRule="exact"/>
        <w:rPr>
          <w:rFonts w:ascii="Arial" w:cs="Arial" w:eastAsia="Arial" w:hAnsi="Arial"/>
          <w:sz w:val="18"/>
          <w:szCs w:val="18"/>
          <w:color w:val="auto"/>
        </w:rPr>
      </w:pPr>
    </w:p>
    <w:p>
      <w:pPr>
        <w:ind w:left="980" w:hanging="436"/>
        <w:spacing w:after="0"/>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Net Loss: </w:t>
      </w:r>
      <w:r>
        <w:rPr>
          <w:rFonts w:ascii="Arial" w:cs="Arial" w:eastAsia="Arial" w:hAnsi="Arial"/>
          <w:sz w:val="16"/>
          <w:szCs w:val="16"/>
          <w:color w:val="auto"/>
        </w:rPr>
        <w:t>Net loss was $13.2 million for the second quarter of 2019, as compared to a net loss of $7.8 million for the same period in 2018.</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FSHD</w:t>
      </w:r>
    </w:p>
    <w:p>
      <w:pPr>
        <w:spacing w:after="0" w:line="121"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FSHD is characterized by progressive skeletal muscle loss that initially causes weakness in muscles in the face, shoulders, arms and trunk, and progresses to weakness throughout the lower body. Skeletal muscle weakness results in significant physical limitations, including an inability to smile and difficulty using arms for activities, with many patients ultimately becoming dependent upon the use of a wheelchair for daily mobility.</w:t>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FSHD is caused by mis-expression of DUX4 in skeletal muscle, resulting in the presence of DUX4 proteins that are toxic to muscle tissue. Normally, DUX4-driven gene expression is limited to early embryonic development, after which time the DUX4 gene is silenced. In people with FSHD, the DUX4 gene is turned “on” as a result of a genetic mutation. The result is death of muscle and its replacement by fat, leading to skeletal muscle weakness and progressive disability. There are no approved therapies for FSHD, one of the most common forms of muscular dystrophy, with an estimated patient population of 16,000 to 38,000 in the United States alone.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Losmapimod</w:t>
      </w:r>
    </w:p>
    <w:p>
      <w:pPr>
        <w:spacing w:after="0" w:line="121"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Losmapimod is a selective p38α/ß mitogen activated protein kinase (MAPK) inhibitor that was exclusively in-licensed by Fulcrum Therapeutics following Fulcrum’s discovery of the role of p38α/ß inhibitors in the reduction of DUX4 expression and an extensive review of known compounds. Utilizing its internal product engine, Fulcrum discovered that inhibition of p38α/ß reduced expression of the DUX4 gene in muscle cells derived from patients with FSHD. Although losmapimod has never previously been explored in muscular dystrophies, it has been evaluated in more than 3,500 subjects in clinical trials across multiple other indications, including in several Phase 2 trials and a Phase 3 trial. No safety signals were attributed to losmapimod in any of these trials.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Fulcrum Therapeutics</w:t>
      </w:r>
    </w:p>
    <w:p>
      <w:pPr>
        <w:spacing w:after="0" w:line="121"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Fulcrum Therapeutics is a clinical-stage biopharmaceutical company focused on improving the lives of patients with genetically defined diseases in areas of high unmet medical need, with an initial focus on rare diseases. Fulcrum’s proprietary product engine identifies drug targets which can modulate gene expression to treat the known root cause of gene mis-expression. Please visit www.fulcrumtx.com.</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that involve substantial risks and uncertainties, including statements regarding the development status of the Company’s product candidates, the timing of availability of clinical trial data and the Company’s ability to fund its operations with cash on hand. All statements, other than statements of historical facts, contained in this press release, including statements regarding the Company’s strategy, future operations, future financial position, prospects, plans and objectives of</w:t>
      </w:r>
    </w:p>
    <w:p>
      <w:pPr>
        <w:sectPr>
          <w:pgSz w:w="11900" w:h="16838" w:orient="portrait"/>
          <w:cols w:equalWidth="0" w:num="1">
            <w:col w:w="11020"/>
          </w:cols>
          <w:pgMar w:left="440" w:top="1134" w:right="439" w:bottom="1440" w:gutter="0" w:footer="0" w:header="0"/>
        </w:sectPr>
      </w:pPr>
    </w:p>
    <w:bookmarkStart w:id="5" w:name="page6"/>
    <w:bookmarkEnd w:id="5"/>
    <w:p>
      <w:pPr>
        <w:ind w:right="6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183515</wp:posOffset>
            </wp:positionV>
            <wp:extent cx="1861185" cy="4546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861185" cy="454660"/>
                    </a:xfrm>
                    <a:prstGeom prst="rect">
                      <a:avLst/>
                    </a:prstGeom>
                    <a:noFill/>
                  </pic:spPr>
                </pic:pic>
              </a:graphicData>
            </a:graphic>
          </wp:anchor>
        </w:drawing>
        <w:t>management, are forward-looking statements.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risks associated with Fulcrum’s ability to obtain and maintain necessary approvals from the FDA and other regulatory authorities; continue to advance its product candidates in clinical trials; replicate in later clinical trials positive results found in preclinical studies and early-stage clinical trials of losmapimod and its other product candidates; advance the development of its product candidates under the timelines it anticipates in current and future clinical trials; obtain, maintain or protect intellectual property rights related to its product candidates; manage expenses; and raise the substantial additional capital needed to achieve its business objectives. For a discussion of other risks and uncertainties, and other important factors, any of which could cause the Company’s actual results to differ from those contained in the forward-looking statements, see the “Risk Factors” section, as well as discussions of potential risks, uncertainties and other important factors, in the Company’s most recent filings with the Securities and Exchange Commission. In addition, the forward-looking statements included in this press release represent the Company’s views as of the date hereof and should not be relied upon as representing the Company’s views as of any date subsequent to the date hereof. The Company anticipates that subsequent events and developments will cause the Company’s views to change. However, while the Company may elect to update these forward-looking statements at some point in the future, the Company specifically disclaims any obligation to do so.</w:t>
      </w: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Selected Consolidated Balance Sheet Data</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data)</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June 30,</w:t>
            </w:r>
          </w:p>
        </w:tc>
        <w:tc>
          <w:tcPr>
            <w:tcW w:w="1140" w:type="dxa"/>
            <w:vAlign w:val="bottom"/>
            <w:gridSpan w:val="4"/>
          </w:tcPr>
          <w:p>
            <w:pPr>
              <w:ind w:left="1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420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4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49,628</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72,797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45,023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69,866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65,151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85,771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165,136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139,670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4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(111,681)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(63,670)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632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440" w:hanging="436"/>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define working capital as current assets minus current liabilities.</w:t>
      </w:r>
    </w:p>
    <w:p>
      <w:pPr>
        <w:sectPr>
          <w:pgSz w:w="11900" w:h="16838" w:orient="portrait"/>
          <w:cols w:equalWidth="0" w:num="1">
            <w:col w:w="11040"/>
          </w:cols>
          <w:pgMar w:left="440" w:top="1138" w:right="41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183515</wp:posOffset>
            </wp:positionV>
            <wp:extent cx="1861185" cy="4546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861185" cy="454660"/>
                    </a:xfrm>
                    <a:prstGeom prst="rect">
                      <a:avLst/>
                    </a:prstGeom>
                    <a:noFill/>
                  </pic:spPr>
                </pic:pic>
              </a:graphicData>
            </a:graphic>
          </wp:anchor>
        </w:drawing>
        <w:t>Fulcrum Therapeutics,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data)</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gridSpan w:val="7"/>
          </w:tcPr>
          <w:p>
            <w:pPr>
              <w:jc w:val="right"/>
              <w:ind w:right="120"/>
              <w:spacing w:after="0"/>
              <w:rPr>
                <w:sz w:val="20"/>
                <w:szCs w:val="20"/>
                <w:color w:val="auto"/>
              </w:rPr>
            </w:pPr>
            <w:r>
              <w:rPr>
                <w:rFonts w:ascii="Arial" w:cs="Arial" w:eastAsia="Arial" w:hAnsi="Arial"/>
                <w:sz w:val="14"/>
                <w:szCs w:val="14"/>
                <w:b w:val="1"/>
                <w:bCs w:val="1"/>
                <w:color w:val="auto"/>
                <w:w w:val="98"/>
              </w:rPr>
              <w:t>Three Months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6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6"/>
              </w:rPr>
              <w:t>2018</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10,860</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5,788</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45,489</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11,361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4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13,494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7,849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50,721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15,159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(13,494)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(7,849)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(50,721)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(15,159)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Other income, net: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 (expense), net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(13,169)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(7,846)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(50,012)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(14,786)</w:t>
            </w: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8"/>
                <w:szCs w:val="18"/>
                <w:color w:val="auto"/>
              </w:rPr>
              <w:t>Cumulative convertible preferred stock dividends</w:t>
            </w: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28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(3,291)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7"/>
              </w:rPr>
              <w:t>(1,050)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(6,332)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(1,878)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(16,460)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(8,896)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(56,344)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(16,664)</w:t>
            </w: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8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(32.85</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2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4"/>
              </w:rPr>
              <w:t>Weighted average number of common shares used in net loss per share attributable to common</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 basic and diluted</w:t>
            </w:r>
          </w:p>
        </w:tc>
        <w:tc>
          <w:tcPr>
            <w:tcW w:w="4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1,186</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Christina Tartaglia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Stern IR,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christina.tartaglia@sternir.com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212-362-1200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Stephanie Simon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Ten Bridge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stephanie@tenbridgecommunications.com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617-581-9333</w:t>
      </w:r>
    </w:p>
    <w:sectPr>
      <w:pgSz w:w="11900" w:h="16838" w:orient="portrait"/>
      <w:cols w:equalWidth="0" w:num="1">
        <w:col w:w="11040"/>
      </w:cols>
      <w:pgMar w:left="440" w:top="113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2019-12-28T06:53:31Z</dcterms:created>
  <dcterms:modified xsi:type="dcterms:W3CDTF">2019-12-28T06:53:31Z</dcterms:modified>
</cp:coreProperties>
</file>