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Gould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30, 2026 and is scheduled to vest with respect to all shares on the first anniversary of the grant date or, if earlier, immediately prior to the first annual meeting of stockholders occurring after the grant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Robert J. Gould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7034"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3358</Characters>
  <CharactersWithSpaces>3917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