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207524d424b5.htm"/>
        <w:bookmarkStart w:id="1" w:name="ksd207524d424b5"/>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Filed Pursuant to Rule 424(b)(5) </w:t>
        <w:br/>
        <w:t>Registration No. 333-244136</w:t>
        <w:br/>
        <w:t xml:space="preserve">Registration No. 333-258740 </w:t>
      </w:r>
    </w:p>
    <w:p>
      <w:pPr>
        <w:pStyle w:val="TextBody"/>
        <w:spacing w:before="0" w:after="0"/>
        <w:jc w:val="left"/>
        <w:rPr/>
      </w:pPr>
      <w:r>
        <w:rPr/>
        <w:t> </w:t>
      </w:r>
    </w:p>
    <w:p>
      <w:pPr>
        <w:pStyle w:val="TextBody"/>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spacing w:before="0" w:after="0"/>
        <w:jc w:val="left"/>
        <w:rPr>
          <w:rFonts w:ascii="Times New Roman" w:hAnsi="Times New Roman"/>
          <w:b/>
          <w:sz w:val="20"/>
        </w:rPr>
      </w:pPr>
      <w:r>
        <w:rPr>
          <w:rFonts w:ascii="Times New Roman" w:hAnsi="Times New Roman"/>
          <w:b/>
          <w:sz w:val="20"/>
        </w:rPr>
        <w:t xml:space="preserve">(to Prospectus dated August 17, 2020) </w:t>
      </w:r>
    </w:p>
    <w:p>
      <w:pPr>
        <w:pStyle w:val="TextBody"/>
        <w:spacing w:before="240" w:after="0"/>
        <w:jc w:val="center"/>
        <w:rPr>
          <w:rFonts w:ascii="Times New Roman" w:hAnsi="Times New Roman"/>
          <w:b/>
          <w:sz w:val="36"/>
        </w:rPr>
      </w:pPr>
      <w:r>
        <w:rPr>
          <w:rFonts w:ascii="Times New Roman" w:hAnsi="Times New Roman"/>
          <w:b/>
          <w:sz w:val="36"/>
        </w:rPr>
        <w:t xml:space="preserve">6,600,000 Shares </w:t>
      </w:r>
    </w:p>
    <w:p>
      <w:pPr>
        <w:pStyle w:val="TextBody"/>
        <w:spacing w:before="0" w:after="0"/>
        <w:jc w:val="left"/>
        <w:rPr/>
      </w:pPr>
      <w:r>
        <w:rPr/>
        <w:t> </w:t>
      </w:r>
    </w:p>
    <w:p>
      <w:pPr>
        <w:pStyle w:val="TextBody"/>
        <w:spacing w:before="0" w:after="0"/>
        <w:jc w:val="center"/>
        <w:rPr/>
      </w:pPr>
      <w:r>
        <w:rPr/>
        <w:drawing>
          <wp:inline distT="0" distB="0" distL="0" distR="0">
            <wp:extent cx="323215" cy="7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3215" cy="7937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We are offering 6,600,000 shares of our common stock in this offering. </w:t>
      </w:r>
    </w:p>
    <w:p>
      <w:pPr>
        <w:pStyle w:val="TextBody"/>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FULC. The last reported sales price of our common stock on the Nasdaq Global Market on August 11, 2021 was $20.20 per share.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661"/>
        <w:gridCol w:w="356"/>
        <w:gridCol w:w="140"/>
        <w:gridCol w:w="620"/>
        <w:gridCol w:w="60"/>
        <w:gridCol w:w="356"/>
        <w:gridCol w:w="140"/>
        <w:gridCol w:w="1357"/>
        <w:gridCol w:w="65"/>
      </w:tblGrid>
      <w:tr>
        <w:trPr/>
        <w:tc>
          <w:tcPr>
            <w:tcW w:w="4661"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661"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76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Per</w:t>
            </w:r>
            <w:r>
              <w:rPr/>
              <w:br/>
            </w:r>
            <w:r>
              <w:rPr>
                <w:b/>
              </w:rPr>
              <w:t>Share</w:t>
            </w:r>
          </w:p>
        </w:tc>
        <w:tc>
          <w:tcPr>
            <w:tcW w:w="6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5" w:type="dxa"/>
            <w:tcBorders/>
            <w:shd w:fill="auto" w:val="clear"/>
            <w:vAlign w:val="bottom"/>
          </w:tcPr>
          <w:p>
            <w:pPr>
              <w:pStyle w:val="TableContents"/>
              <w:spacing w:before="0" w:after="283"/>
              <w:rPr/>
            </w:pPr>
            <w:r>
              <w:rPr/>
              <w:t> </w:t>
            </w:r>
          </w:p>
        </w:tc>
      </w:tr>
      <w:tr>
        <w:trPr/>
        <w:tc>
          <w:tcPr>
            <w:tcW w:w="4661" w:type="dxa"/>
            <w:tcBorders/>
            <w:shd w:fill="CCEEFF" w:val="clear"/>
          </w:tcPr>
          <w:p>
            <w:pPr>
              <w:pStyle w:val="TableContents"/>
              <w:spacing w:before="0" w:after="0"/>
              <w:rPr>
                <w:rFonts w:ascii="Times New Roman" w:hAnsi="Times New Roman"/>
                <w:sz w:val="20"/>
              </w:rPr>
            </w:pPr>
            <w:r>
              <w:rPr>
                <w:rFonts w:ascii="Times New Roman" w:hAnsi="Times New Roman"/>
                <w:sz w:val="20"/>
              </w:rPr>
              <w:t>Public offering price</w:t>
            </w:r>
          </w:p>
        </w:tc>
        <w:tc>
          <w:tcPr>
            <w:tcW w:w="3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20" w:type="dxa"/>
            <w:tcBorders/>
            <w:shd w:fill="CCEEFF" w:val="clear"/>
            <w:vAlign w:val="bottom"/>
          </w:tcPr>
          <w:p>
            <w:pPr>
              <w:pStyle w:val="TableContents"/>
              <w:spacing w:before="0" w:after="283"/>
              <w:jc w:val="right"/>
              <w:rPr/>
            </w:pPr>
            <w:r>
              <w:rPr/>
              <w:t>19.00</w:t>
            </w:r>
          </w:p>
        </w:tc>
        <w:tc>
          <w:tcPr>
            <w:tcW w:w="6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57" w:type="dxa"/>
            <w:tcBorders/>
            <w:shd w:fill="CCEEFF" w:val="clear"/>
            <w:vAlign w:val="bottom"/>
          </w:tcPr>
          <w:p>
            <w:pPr>
              <w:pStyle w:val="TableContents"/>
              <w:spacing w:before="0" w:after="283"/>
              <w:jc w:val="right"/>
              <w:rPr/>
            </w:pPr>
            <w:r>
              <w:rPr/>
              <w:t>125,400,000</w:t>
            </w:r>
          </w:p>
        </w:tc>
        <w:tc>
          <w:tcPr>
            <w:tcW w:w="65" w:type="dxa"/>
            <w:tcBorders/>
            <w:shd w:fill="CCEEFF" w:val="clear"/>
            <w:vAlign w:val="bottom"/>
          </w:tcPr>
          <w:p>
            <w:pPr>
              <w:pStyle w:val="TableContents"/>
              <w:spacing w:before="0" w:after="283"/>
              <w:rPr/>
            </w:pPr>
            <w:r>
              <w:rPr/>
              <w:t> </w:t>
            </w:r>
          </w:p>
        </w:tc>
      </w:tr>
      <w:tr>
        <w:trPr/>
        <w:tc>
          <w:tcPr>
            <w:tcW w:w="4661" w:type="dxa"/>
            <w:tcBorders/>
            <w:shd w:fill="auto" w:val="clear"/>
          </w:tcPr>
          <w:p>
            <w:pPr>
              <w:pStyle w:val="TableContents"/>
              <w:spacing w:before="0" w:after="0"/>
              <w:rPr>
                <w:rFonts w:ascii="Times New Roman" w:hAnsi="Times New Roman"/>
                <w:sz w:val="20"/>
              </w:rPr>
            </w:pPr>
            <w:r>
              <w:rPr>
                <w:rFonts w:ascii="Times New Roman" w:hAnsi="Times New Roman"/>
                <w:sz w:val="20"/>
              </w:rPr>
              <w:t>Underwriting discounts and commissions(1)</w:t>
            </w:r>
          </w:p>
        </w:tc>
        <w:tc>
          <w:tcPr>
            <w:tcW w:w="3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620" w:type="dxa"/>
            <w:tcBorders/>
            <w:shd w:fill="auto" w:val="clear"/>
            <w:vAlign w:val="bottom"/>
          </w:tcPr>
          <w:p>
            <w:pPr>
              <w:pStyle w:val="TableContents"/>
              <w:spacing w:before="0" w:after="283"/>
              <w:jc w:val="right"/>
              <w:rPr/>
            </w:pPr>
            <w:r>
              <w:rPr/>
              <w:t>1.14</w:t>
            </w:r>
          </w:p>
        </w:tc>
        <w:tc>
          <w:tcPr>
            <w:tcW w:w="60" w:type="dxa"/>
            <w:tcBorders/>
            <w:shd w:fill="auto" w:val="clear"/>
            <w:vAlign w:val="bottom"/>
          </w:tcPr>
          <w:p>
            <w:pPr>
              <w:pStyle w:val="TableContents"/>
              <w:spacing w:before="0" w:after="283"/>
              <w:rPr/>
            </w:pPr>
            <w:r>
              <w:rPr/>
              <w:t> </w:t>
            </w:r>
          </w:p>
        </w:tc>
        <w:tc>
          <w:tcPr>
            <w:tcW w:w="35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357" w:type="dxa"/>
            <w:tcBorders/>
            <w:shd w:fill="auto" w:val="clear"/>
            <w:vAlign w:val="bottom"/>
          </w:tcPr>
          <w:p>
            <w:pPr>
              <w:pStyle w:val="TableContents"/>
              <w:spacing w:before="0" w:after="283"/>
              <w:jc w:val="right"/>
              <w:rPr/>
            </w:pPr>
            <w:r>
              <w:rPr/>
              <w:t>7,524,000</w:t>
            </w:r>
          </w:p>
        </w:tc>
        <w:tc>
          <w:tcPr>
            <w:tcW w:w="65" w:type="dxa"/>
            <w:tcBorders/>
            <w:shd w:fill="auto" w:val="clear"/>
            <w:vAlign w:val="bottom"/>
          </w:tcPr>
          <w:p>
            <w:pPr>
              <w:pStyle w:val="TableContents"/>
              <w:spacing w:before="0" w:after="283"/>
              <w:rPr/>
            </w:pPr>
            <w:r>
              <w:rPr/>
              <w:t> </w:t>
            </w:r>
          </w:p>
        </w:tc>
      </w:tr>
      <w:tr>
        <w:trPr/>
        <w:tc>
          <w:tcPr>
            <w:tcW w:w="4661" w:type="dxa"/>
            <w:tcBorders/>
            <w:shd w:fill="CCEEFF" w:val="clear"/>
          </w:tcPr>
          <w:p>
            <w:pPr>
              <w:pStyle w:val="TableContents"/>
              <w:spacing w:before="0" w:after="0"/>
              <w:rPr>
                <w:rFonts w:ascii="Times New Roman" w:hAnsi="Times New Roman"/>
                <w:sz w:val="20"/>
              </w:rPr>
            </w:pPr>
            <w:r>
              <w:rPr>
                <w:rFonts w:ascii="Times New Roman" w:hAnsi="Times New Roman"/>
                <w:sz w:val="20"/>
              </w:rPr>
              <w:t>Proceeds to Fulcrum, before expenses</w:t>
            </w:r>
          </w:p>
        </w:tc>
        <w:tc>
          <w:tcPr>
            <w:tcW w:w="3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620" w:type="dxa"/>
            <w:tcBorders/>
            <w:shd w:fill="CCEEFF" w:val="clear"/>
            <w:vAlign w:val="bottom"/>
          </w:tcPr>
          <w:p>
            <w:pPr>
              <w:pStyle w:val="TableContents"/>
              <w:spacing w:before="0" w:after="283"/>
              <w:jc w:val="right"/>
              <w:rPr/>
            </w:pPr>
            <w:r>
              <w:rPr/>
              <w:t>17.86</w:t>
            </w:r>
          </w:p>
        </w:tc>
        <w:tc>
          <w:tcPr>
            <w:tcW w:w="60" w:type="dxa"/>
            <w:tcBorders/>
            <w:shd w:fill="CCEEFF" w:val="clear"/>
            <w:vAlign w:val="bottom"/>
          </w:tcPr>
          <w:p>
            <w:pPr>
              <w:pStyle w:val="TableContents"/>
              <w:spacing w:before="0" w:after="283"/>
              <w:rPr/>
            </w:pPr>
            <w:r>
              <w:rPr/>
              <w:t> </w:t>
            </w:r>
          </w:p>
        </w:tc>
        <w:tc>
          <w:tcPr>
            <w:tcW w:w="35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357" w:type="dxa"/>
            <w:tcBorders/>
            <w:shd w:fill="CCEEFF" w:val="clear"/>
            <w:vAlign w:val="bottom"/>
          </w:tcPr>
          <w:p>
            <w:pPr>
              <w:pStyle w:val="TableContents"/>
              <w:spacing w:before="0" w:after="283"/>
              <w:jc w:val="right"/>
              <w:rPr/>
            </w:pPr>
            <w:r>
              <w:rPr/>
              <w:t>117,876,000</w:t>
            </w:r>
          </w:p>
        </w:tc>
        <w:tc>
          <w:tcPr>
            <w:tcW w:w="65"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agreed to reimburse the underwriters for certain FINRA-related expenses. See Underwriting for additional information regarding the compensation payable to the underwriters. </w:t>
            </w:r>
          </w:p>
        </w:tc>
      </w:tr>
    </w:tbl>
    <w:p>
      <w:pPr>
        <w:pStyle w:val="TextBody"/>
        <w:spacing w:before="240" w:after="0"/>
        <w:jc w:val="left"/>
        <w:rPr>
          <w:rFonts w:ascii="Times New Roman" w:hAnsi="Times New Roman"/>
          <w:sz w:val="20"/>
        </w:rPr>
      </w:pPr>
      <w:r>
        <w:rPr>
          <w:rFonts w:ascii="Times New Roman" w:hAnsi="Times New Roman"/>
          <w:sz w:val="20"/>
        </w:rPr>
        <w:t xml:space="preserve">We have granted the underwriters an option for a period of 30 days to purchase up to an additional 990,000 of shares of our common stock. </w:t>
      </w:r>
    </w:p>
    <w:p>
      <w:pPr>
        <w:pStyle w:val="TextBody"/>
        <w:spacing w:before="240" w:after="0"/>
        <w:jc w:val="left"/>
        <w:rPr/>
      </w:pPr>
      <w:r>
        <w:rPr>
          <w:rFonts w:ascii="Times New Roman" w:hAnsi="Times New Roman"/>
          <w:b/>
          <w:sz w:val="24"/>
        </w:rPr>
        <w:t>Investing in our common stock involves risks. See </w:t>
      </w:r>
      <w:hyperlink w:anchor="suprom207524_3">
        <w:r>
          <w:rPr>
            <w:rStyle w:val="InternetLink"/>
            <w:rFonts w:ascii="Times New Roman" w:hAnsi="Times New Roman"/>
            <w:b/>
            <w:sz w:val="24"/>
            <w:u w:val="single"/>
          </w:rPr>
          <w:t>Risk Factors</w:t>
        </w:r>
      </w:hyperlink>
      <w:r>
        <w:rPr>
          <w:rFonts w:ascii="Times New Roman" w:hAnsi="Times New Roman"/>
          <w:b/>
          <w:sz w:val="24"/>
        </w:rPr>
        <w:t xml:space="preserve"> beginning on page S-11 of this prospectus supplement and in the documents incorporated by reference into this prospectus supplement.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The underwriters expect to deliver the shares of common stock to purchasers on or about August 16, 2021. </w:t>
      </w:r>
    </w:p>
    <w:p>
      <w:pPr>
        <w:pStyle w:val="TextBody"/>
        <w:spacing w:before="240" w:after="0"/>
        <w:jc w:val="center"/>
        <w:rPr>
          <w:rFonts w:ascii="Times New Roman" w:hAnsi="Times New Roman"/>
          <w:b/>
          <w:i/>
          <w:sz w:val="20"/>
        </w:rPr>
      </w:pPr>
      <w:r>
        <w:rPr>
          <w:rFonts w:ascii="Times New Roman" w:hAnsi="Times New Roman"/>
          <w:b/>
          <w:i/>
          <w:sz w:val="20"/>
        </w:rPr>
        <w:t xml:space="preserve">Joint Bookrunning Managers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368"/>
        <w:gridCol w:w="101"/>
        <w:gridCol w:w="3369"/>
        <w:gridCol w:w="101"/>
        <w:gridCol w:w="3266"/>
      </w:tblGrid>
      <w:tr>
        <w:trPr/>
        <w:tc>
          <w:tcPr>
            <w:tcW w:w="336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3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368" w:type="dxa"/>
            <w:tcBorders/>
            <w:shd w:fill="auto" w:val="clear"/>
            <w:vAlign w:val="bottom"/>
          </w:tcPr>
          <w:p>
            <w:pPr>
              <w:pStyle w:val="TableContents"/>
              <w:spacing w:before="0" w:after="283"/>
              <w:rPr>
                <w:b/>
              </w:rPr>
            </w:pPr>
            <w:r>
              <w:rPr>
                <w:b/>
              </w:rPr>
              <w:t>SVB Leerink</w:t>
            </w:r>
          </w:p>
        </w:tc>
        <w:tc>
          <w:tcPr>
            <w:tcW w:w="101" w:type="dxa"/>
            <w:tcBorders/>
            <w:shd w:fill="auto" w:val="clear"/>
            <w:vAlign w:val="bottom"/>
          </w:tcPr>
          <w:p>
            <w:pPr>
              <w:pStyle w:val="TableContents"/>
              <w:spacing w:before="0" w:after="283"/>
              <w:rPr/>
            </w:pPr>
            <w:r>
              <w:rPr/>
              <w:t> </w:t>
            </w:r>
          </w:p>
        </w:tc>
        <w:tc>
          <w:tcPr>
            <w:tcW w:w="3369" w:type="dxa"/>
            <w:tcBorders/>
            <w:shd w:fill="auto" w:val="clear"/>
            <w:vAlign w:val="bottom"/>
          </w:tcPr>
          <w:p>
            <w:pPr>
              <w:pStyle w:val="TableContents"/>
              <w:spacing w:before="0" w:after="283"/>
              <w:jc w:val="center"/>
              <w:rPr>
                <w:b/>
              </w:rPr>
            </w:pPr>
            <w:r>
              <w:rPr>
                <w:b/>
              </w:rPr>
              <w:t>Piper Sandler</w:t>
            </w:r>
          </w:p>
        </w:tc>
        <w:tc>
          <w:tcPr>
            <w:tcW w:w="101"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right"/>
              <w:rPr>
                <w:b/>
              </w:rPr>
            </w:pPr>
            <w:r>
              <w:rPr>
                <w:b/>
              </w:rPr>
              <w:t>Stifel</w:t>
            </w:r>
          </w:p>
        </w:tc>
      </w:tr>
    </w:tbl>
    <w:p>
      <w:pPr>
        <w:pStyle w:val="TextBody"/>
        <w:spacing w:before="240" w:after="0"/>
        <w:jc w:val="center"/>
        <w:rPr>
          <w:rFonts w:ascii="Times New Roman" w:hAnsi="Times New Roman"/>
          <w:b/>
          <w:i/>
          <w:sz w:val="20"/>
        </w:rPr>
      </w:pPr>
      <w:r>
        <w:rPr>
          <w:rFonts w:ascii="Times New Roman" w:hAnsi="Times New Roman"/>
          <w:b/>
          <w:i/>
          <w:sz w:val="20"/>
        </w:rPr>
        <w:t xml:space="preserve">Lead Manager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367"/>
        <w:gridCol w:w="102"/>
        <w:gridCol w:w="3368"/>
        <w:gridCol w:w="102"/>
        <w:gridCol w:w="3266"/>
      </w:tblGrid>
      <w:tr>
        <w:trPr/>
        <w:tc>
          <w:tcPr>
            <w:tcW w:w="336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367"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jc w:val="center"/>
              <w:rPr>
                <w:b/>
              </w:rPr>
            </w:pPr>
            <w:r>
              <w:rPr>
                <w:b/>
              </w:rPr>
              <w:t>H.C. Wainwright &amp; Co.</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supplement is August 11, 2021.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60"/>
        <w:gridCol w:w="143"/>
        <w:gridCol w:w="60"/>
        <w:gridCol w:w="480"/>
        <w:gridCol w:w="62"/>
      </w:tblGrid>
      <w:tr>
        <w:trPr/>
        <w:tc>
          <w:tcPr>
            <w:tcW w:w="946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40" w:type="dxa"/>
            <w:gridSpan w:val="2"/>
            <w:tcBorders/>
            <w:shd w:fill="auto" w:val="cle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rHeight w:val="120" w:hRule="atLeast"/>
        </w:trPr>
        <w:tc>
          <w:tcPr>
            <w:tcW w:w="9460" w:type="dxa"/>
            <w:tcBorders/>
            <w:shd w:fill="auto" w:val="clear"/>
            <w:vAlign w:val="center"/>
          </w:tcPr>
          <w:p>
            <w:pPr>
              <w:pStyle w:val="TableContents"/>
              <w:spacing w:before="0" w:after="283"/>
              <w:rPr>
                <w:sz w:val="4"/>
                <w:szCs w:val="4"/>
              </w:rPr>
            </w:pPr>
            <w:r>
              <w:rPr>
                <w:sz w:val="4"/>
                <w:szCs w:val="4"/>
              </w:rPr>
            </w:r>
          </w:p>
        </w:tc>
        <w:tc>
          <w:tcPr>
            <w:tcW w:w="745" w:type="dxa"/>
            <w:gridSpan w:val="4"/>
            <w:tcBorders/>
            <w:shd w:fill="auto" w:val="clear"/>
            <w:vAlign w:val="center"/>
          </w:tcPr>
          <w:p>
            <w:pPr>
              <w:pStyle w:val="TableContents"/>
              <w:spacing w:before="0" w:after="283"/>
              <w:rPr>
                <w:sz w:val="4"/>
                <w:szCs w:val="4"/>
              </w:rPr>
            </w:pPr>
            <w:r>
              <w:rPr>
                <w:sz w:val="4"/>
                <w:szCs w:val="4"/>
              </w:rPr>
            </w:r>
          </w:p>
        </w:tc>
      </w:tr>
      <w:tr>
        <w:trPr/>
        <w:tc>
          <w:tcPr>
            <w:tcW w:w="9460" w:type="dxa"/>
            <w:tcBorders/>
            <w:shd w:fill="auto" w:val="clear"/>
            <w:vAlign w:val="bottom"/>
          </w:tcPr>
          <w:p>
            <w:pPr>
              <w:pStyle w:val="TableContents"/>
              <w:spacing w:before="0" w:after="0"/>
              <w:rPr/>
            </w:pPr>
            <w:hyperlink w:anchor="suprom207524_1">
              <w:r>
                <w:rPr>
                  <w:rStyle w:val="InternetLink"/>
                  <w:rFonts w:ascii="Times New Roman" w:hAnsi="Times New Roman"/>
                  <w:sz w:val="20"/>
                </w:rPr>
                <w:t xml:space="preserve">ABOUT THIS PROSPECTUS SUPPLEMENT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S-ii</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2">
              <w:r>
                <w:rPr>
                  <w:rStyle w:val="InternetLink"/>
                  <w:rFonts w:ascii="Times New Roman" w:hAnsi="Times New Roman"/>
                  <w:sz w:val="20"/>
                </w:rPr>
                <w:t xml:space="preserve">PROSPECTUS SUPPLEMENT SUMMARY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3">
              <w:r>
                <w:rPr>
                  <w:rStyle w:val="InternetLink"/>
                  <w:rFonts w:ascii="Times New Roman" w:hAnsi="Times New Roman"/>
                  <w:sz w:val="20"/>
                </w:rPr>
                <w:t xml:space="preserve">RISK FACTORS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S-11</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4">
              <w:r>
                <w:rPr>
                  <w:rStyle w:val="InternetLink"/>
                  <w:rFonts w:ascii="Times New Roman" w:hAnsi="Times New Roman"/>
                  <w:sz w:val="20"/>
                </w:rPr>
                <w:t xml:space="preserve">CAUTIONARY NOTE REGARDING FORWARD-LOOKING STATEMENTS AND INDUSTRY DATA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S-12</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5">
              <w:r>
                <w:rPr>
                  <w:rStyle w:val="InternetLink"/>
                  <w:rFonts w:ascii="Times New Roman" w:hAnsi="Times New Roman"/>
                  <w:sz w:val="20"/>
                </w:rPr>
                <w:t xml:space="preserve">USE OF PROCEEDS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S-14</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6">
              <w:r>
                <w:rPr>
                  <w:rStyle w:val="InternetLink"/>
                  <w:rFonts w:ascii="Times New Roman" w:hAnsi="Times New Roman"/>
                  <w:sz w:val="20"/>
                </w:rPr>
                <w:t xml:space="preserve">DIVIDEND POLICY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S-15</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7">
              <w:r>
                <w:rPr>
                  <w:rStyle w:val="InternetLink"/>
                  <w:rFonts w:ascii="Times New Roman" w:hAnsi="Times New Roman"/>
                  <w:sz w:val="20"/>
                </w:rPr>
                <w:t xml:space="preserve">DILUTION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S-16</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8">
              <w:r>
                <w:rPr>
                  <w:rStyle w:val="InternetLink"/>
                  <w:rFonts w:ascii="Times New Roman" w:hAnsi="Times New Roman"/>
                  <w:sz w:val="20"/>
                </w:rPr>
                <w:t xml:space="preserve">MATERIAL U.S. FEDERAL INCOME AND ESTATE TAX CONSIDERATIONS FOR NON-U.S. HOLDERS OF COMMON STOCK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S-18</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9">
              <w:r>
                <w:rPr>
                  <w:rStyle w:val="InternetLink"/>
                  <w:rFonts w:ascii="Times New Roman" w:hAnsi="Times New Roman"/>
                  <w:sz w:val="20"/>
                </w:rPr>
                <w:t xml:space="preserve">UNDERWRITING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S-22</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10">
              <w:r>
                <w:rPr>
                  <w:rStyle w:val="InternetLink"/>
                  <w:rFonts w:ascii="Times New Roman" w:hAnsi="Times New Roman"/>
                  <w:sz w:val="20"/>
                </w:rPr>
                <w:t xml:space="preserve">LEGAL MATTERS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S-28</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11">
              <w:r>
                <w:rPr>
                  <w:rStyle w:val="InternetLink"/>
                  <w:rFonts w:ascii="Times New Roman" w:hAnsi="Times New Roman"/>
                  <w:sz w:val="20"/>
                </w:rPr>
                <w:t xml:space="preserve">EXPERTS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S-28</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12">
              <w:r>
                <w:rPr>
                  <w:rStyle w:val="InternetLink"/>
                  <w:rFonts w:ascii="Times New Roman" w:hAnsi="Times New Roman"/>
                  <w:sz w:val="20"/>
                </w:rPr>
                <w:t xml:space="preserve">WHERE YOU CAN FIND MORE INFORMATION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S-29</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rom207524_13">
              <w:r>
                <w:rPr>
                  <w:rStyle w:val="InternetLink"/>
                  <w:rFonts w:ascii="Times New Roman" w:hAnsi="Times New Roman"/>
                  <w:sz w:val="20"/>
                </w:rPr>
                <w:t xml:space="preserve">INCORPORATION OF CERTAIN INFORMATION BY REFERENCE </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S-29</w:t>
            </w:r>
          </w:p>
        </w:tc>
        <w:tc>
          <w:tcPr>
            <w:tcW w:w="62"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b/>
          <w:sz w:val="20"/>
        </w:rPr>
      </w:pPr>
      <w:r>
        <w:rPr>
          <w:rFonts w:ascii="Times New Roman" w:hAnsi="Times New Roman"/>
          <w:b/>
          <w:sz w:val="20"/>
        </w:rPr>
        <w:t xml:space="preserve">PROSPECTUS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54"/>
        <w:gridCol w:w="167"/>
        <w:gridCol w:w="60"/>
        <w:gridCol w:w="261"/>
        <w:gridCol w:w="63"/>
      </w:tblGrid>
      <w:tr>
        <w:trPr/>
        <w:tc>
          <w:tcPr>
            <w:tcW w:w="965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vAlign w:val="bottom"/>
          </w:tcPr>
          <w:p>
            <w:pPr>
              <w:pStyle w:val="TableContents"/>
              <w:spacing w:before="0" w:after="0"/>
              <w:rPr/>
            </w:pPr>
            <w:hyperlink w:anchor="toc207524_1">
              <w:r>
                <w:rPr>
                  <w:rStyle w:val="InternetLink"/>
                  <w:rFonts w:ascii="Times New Roman" w:hAnsi="Times New Roman"/>
                  <w:sz w:val="20"/>
                </w:rPr>
                <w:t xml:space="preserve">ABOUT THIS PROSPECTUS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2">
              <w:r>
                <w:rPr>
                  <w:rStyle w:val="InternetLink"/>
                  <w:rFonts w:ascii="Times New Roman" w:hAnsi="Times New Roman"/>
                  <w:sz w:val="20"/>
                </w:rPr>
                <w:t xml:space="preserve">WHERE YOU CAN FIND MORE INFORMATION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3">
              <w:r>
                <w:rPr>
                  <w:rStyle w:val="InternetLink"/>
                  <w:rFonts w:ascii="Times New Roman" w:hAnsi="Times New Roman"/>
                  <w:sz w:val="20"/>
                </w:rPr>
                <w:t xml:space="preserve">INCORPORATION OF CERTAIN DOCUMENTS BY REFERENCE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4">
              <w:r>
                <w:rPr>
                  <w:rStyle w:val="InternetLink"/>
                  <w:rFonts w:ascii="Times New Roman" w:hAnsi="Times New Roman"/>
                  <w:sz w:val="20"/>
                </w:rPr>
                <w:t xml:space="preserve">CAUTIONARY NOTE REGARDING FORWARD-LOOKING STATEMENTS AND INDUSTRY DATA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5">
              <w:r>
                <w:rPr>
                  <w:rStyle w:val="InternetLink"/>
                  <w:rFonts w:ascii="Times New Roman" w:hAnsi="Times New Roman"/>
                  <w:sz w:val="20"/>
                </w:rPr>
                <w:t xml:space="preserve">ABOUT FULCRUM THERAPEUTICS, INC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6">
              <w:r>
                <w:rPr>
                  <w:rStyle w:val="InternetLink"/>
                  <w:rFonts w:ascii="Times New Roman" w:hAnsi="Times New Roman"/>
                  <w:sz w:val="20"/>
                </w:rPr>
                <w:t xml:space="preserve">RISK FACTORS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7">
              <w:r>
                <w:rPr>
                  <w:rStyle w:val="InternetLink"/>
                  <w:rFonts w:ascii="Times New Roman" w:hAnsi="Times New Roman"/>
                  <w:sz w:val="20"/>
                </w:rPr>
                <w:t xml:space="preserve">USE OF PROCEEDS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8">
              <w:r>
                <w:rPr>
                  <w:rStyle w:val="InternetLink"/>
                  <w:rFonts w:ascii="Times New Roman" w:hAnsi="Times New Roman"/>
                  <w:sz w:val="20"/>
                </w:rPr>
                <w:t xml:space="preserve">DESCRIPTION OF DEBT SECURITIES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9">
              <w:r>
                <w:rPr>
                  <w:rStyle w:val="InternetLink"/>
                  <w:rFonts w:ascii="Times New Roman" w:hAnsi="Times New Roman"/>
                  <w:sz w:val="20"/>
                </w:rPr>
                <w:t xml:space="preserve">DESCRIPTION OF CAPITAL STOCK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10">
              <w:r>
                <w:rPr>
                  <w:rStyle w:val="InternetLink"/>
                  <w:rFonts w:ascii="Times New Roman" w:hAnsi="Times New Roman"/>
                  <w:sz w:val="20"/>
                </w:rPr>
                <w:t xml:space="preserve">DESCRIPTION OF DEPOSITARY SHARES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24</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11">
              <w:r>
                <w:rPr>
                  <w:rStyle w:val="InternetLink"/>
                  <w:rFonts w:ascii="Times New Roman" w:hAnsi="Times New Roman"/>
                  <w:sz w:val="20"/>
                </w:rPr>
                <w:t xml:space="preserve">DESCRIPTION OF UNITS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12">
              <w:r>
                <w:rPr>
                  <w:rStyle w:val="InternetLink"/>
                  <w:rFonts w:ascii="Times New Roman" w:hAnsi="Times New Roman"/>
                  <w:sz w:val="20"/>
                </w:rPr>
                <w:t xml:space="preserve">DESCRIPTION OF WARRANTS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13">
              <w:r>
                <w:rPr>
                  <w:rStyle w:val="InternetLink"/>
                  <w:rFonts w:ascii="Times New Roman" w:hAnsi="Times New Roman"/>
                  <w:sz w:val="20"/>
                </w:rPr>
                <w:t xml:space="preserve">FORMS OF SECURITIES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14">
              <w:r>
                <w:rPr>
                  <w:rStyle w:val="InternetLink"/>
                  <w:rFonts w:ascii="Times New Roman" w:hAnsi="Times New Roman"/>
                  <w:sz w:val="20"/>
                </w:rPr>
                <w:t xml:space="preserve">PLAN OF DISTRIBUTION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31</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15">
              <w:r>
                <w:rPr>
                  <w:rStyle w:val="InternetLink"/>
                  <w:rFonts w:ascii="Times New Roman" w:hAnsi="Times New Roman"/>
                  <w:sz w:val="20"/>
                </w:rPr>
                <w:t xml:space="preserve">LEGAL MATTERS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34</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vAlign w:val="bottom"/>
          </w:tcPr>
          <w:p>
            <w:pPr>
              <w:pStyle w:val="TableContents"/>
              <w:spacing w:before="0" w:after="0"/>
              <w:rPr/>
            </w:pPr>
            <w:hyperlink w:anchor="toc207524_16">
              <w:r>
                <w:rPr>
                  <w:rStyle w:val="InternetLink"/>
                  <w:rFonts w:ascii="Times New Roman" w:hAnsi="Times New Roman"/>
                  <w:sz w:val="20"/>
                </w:rPr>
                <w:t xml:space="preserve">EXPERTS </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34</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rom207524_1"/>
      <w:bookmarkEnd w:id="3"/>
      <w:r>
        <w:rPr>
          <w:rFonts w:ascii="Times New Roman" w:hAnsi="Times New Roman"/>
          <w:b/>
          <w:sz w:val="20"/>
        </w:rPr>
        <w:t xml:space="preserve">ABOUT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w:t>
      </w:r>
    </w:p>
    <w:p>
      <w:pPr>
        <w:pStyle w:val="TextBody"/>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 </w:t>
      </w:r>
    </w:p>
    <w:p>
      <w:pPr>
        <w:pStyle w:val="TextBody"/>
        <w:spacing w:before="240" w:after="0"/>
        <w:jc w:val="left"/>
        <w:rPr>
          <w:rFonts w:ascii="Times New Roman" w:hAnsi="Times New Roman"/>
          <w:sz w:val="20"/>
        </w:rPr>
      </w:pPr>
      <w:r>
        <w:rPr>
          <w:rFonts w:ascii="Times New Roman" w:hAnsi="Times New Roman"/>
          <w:sz w:val="20"/>
        </w:rPr>
        <w:t xml:space="preserve">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we, our and us refer, collectively, to Fulcrum Therapeutics, Inc., a Delaware corporation, and its consolidated subsidiary.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suprom207524_2"/>
      <w:bookmarkEnd w:id="4"/>
      <w:r>
        <w:rPr>
          <w:rFonts w:ascii="Times New Roman" w:hAnsi="Times New Roman"/>
          <w:b/>
          <w:sz w:val="20"/>
          <w:bdr w:val="single" w:sz="8" w:space="1" w:color="000000"/>
        </w:rPr>
        <w:t xml:space="preserve">PROSPECTUS SUPPLEMENT SUMMARY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supplement and the accompanying prospectus and in the documents we incorporate by reference herein and therein. This summary does not contain all of the information you should consider before investing in our common stock. You should read this entire prospectus supplement and accompanying prospectus carefully, especially the risks of investing in our common stock discussed under Risk Factors beginning on page S-11 of this prospectus supplement and in our Quarterly Report on Form 10-Q for the period ended June 30, 2021, along with our consolidated financial statements and notes to those consolidated financial statements and the other information incorporated by reference into this prospectus supplement and the accompanying prospectus, before making an investment decision.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or the ReDUX4 trial, and a Phase 2 open label clinical trial of losmapimod, our product candidate for FSHD, to evaluate the efficacy and safety of losmapimod in addressing the underlying cause of FSHD. We completed the ReDUX4 trial in January 2021 and presented full data from the trial at the FSHD International Research Congress on June 24, 2021. Approximately 99% of eligible participants elected to continue in the open label extension of our ReDUX4 trial for the treatment of FSHD. We plan to meet with health authorities, including the U.S. Food and Drug Administration, or FDA, in the second half of 2021 to determine the regulatory path for losmapimod in FSHD.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fourth quarter of 2020, we initiated a Phase 1 clinical trial of FTX-6058, our product candidate for certain hemoglobinopathies and a novel upregulator of fetal hemoglobin, to evaluate the safety, tolerability and pharmacokinetics of FTX-6058 in healthy adult volunteers. In August 2021, we presented data from the Phase 1 clinical trial. We anticipate initiating enrollment in a Phase 1b clinical trial of FTX-6058 in patients with SCD by the end of 2021. This Phase 1b clinical trial will be used to help inform a potential Phase 2/3 clinical trial, which we anticipate initiating in 2023. We also plan to submit an investigational new drug application, or IND, for FTX-6058 for the treatment of patients with non-SCD hemoglobinopathies (e.g., beta-thalassemia) by year-end 2021. We anticipate initiating a clinical trial in non-SCD hemoglobinopathies in 2022.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FTX-6058 for SCD and ß-thalassemia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FTX-6058 is our novel small molecule designed to bind embryonic ectoderm development, or EED, and inhibit the transcriptional silencing activity of the polycomb repressive complex 2, or PRC2. FTX-6058 is a small molecule designed to upregulate fetal hemoglobin in patients with SCD and ß-thalassemia. SCD is a genetic blood disorder caused by a mutation in the ß-subunit gene, or HBB gene. This mutation results in the formation of abnormal hemoglobin, which causes red blood cells, or RBCs, to change from a round shape into a sickle shape that significantly impairs their function. ß-thalassemia is a rare blood disorder caused by various genetic mutations in the HBB gene that can significantly impair the production of RBCs.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designed FTX-6058 to compensate for the root cause of these hemoglobinopathies by inducing the expression of the two </w:t>
      </w:r>
      <w:r>
        <w:rPr>
          <w:rFonts w:ascii="SYMBOL" w:hAnsi="SYMBOL"/>
          <w:sz w:val="20"/>
          <w:bdr w:val="single" w:sz="8" w:space="1" w:color="000000"/>
        </w:rPr>
        <w:t>g</w:t>
      </w:r>
      <w:r>
        <w:rPr>
          <w:rFonts w:ascii="Times New Roman" w:hAnsi="Times New Roman"/>
          <w:sz w:val="20"/>
          <w:bdr w:val="single" w:sz="8" w:space="1" w:color="000000"/>
        </w:rPr>
        <w:t xml:space="preserve">-globin genes, HBG1/2, whose expression is normally silenced shortly after birth. The HBG1/2 genes encode for </w:t>
      </w:r>
      <w:r>
        <w:rPr>
          <w:rFonts w:ascii="SYMBOL" w:hAnsi="SYMBOL"/>
          <w:sz w:val="20"/>
          <w:bdr w:val="single" w:sz="8" w:space="1" w:color="000000"/>
        </w:rPr>
        <w:t>g</w:t>
      </w:r>
      <w:r>
        <w:rPr>
          <w:rFonts w:ascii="Times New Roman" w:hAnsi="Times New Roman"/>
          <w:sz w:val="20"/>
          <w:bdr w:val="single" w:sz="8" w:space="1" w:color="000000"/>
        </w:rPr>
        <w:t xml:space="preserve">-globin, a component of fetal hemoglobin, which is known to compensate for the presence of abnormal hemoglobin in SCD and ß-thalassemia. We have observed </w:t>
      </w:r>
      <w:r>
        <w:rPr>
          <w:rFonts w:ascii="Times New Roman" w:hAnsi="Times New Roman"/>
          <w:i/>
          <w:sz w:val="20"/>
          <w:bdr w:val="single" w:sz="8" w:space="1" w:color="000000"/>
        </w:rPr>
        <w:t>in vitro</w:t>
      </w:r>
      <w:r>
        <w:rPr>
          <w:rFonts w:ascii="Times New Roman" w:hAnsi="Times New Roman"/>
          <w:sz w:val="20"/>
          <w:bdr w:val="single" w:sz="8" w:space="1" w:color="000000"/>
        </w:rPr>
        <w:t xml:space="preserve"> and </w:t>
      </w:r>
      <w:r>
        <w:rPr>
          <w:rFonts w:ascii="Times New Roman" w:hAnsi="Times New Roman"/>
          <w:i/>
          <w:sz w:val="20"/>
          <w:bdr w:val="single" w:sz="8" w:space="1" w:color="000000"/>
        </w:rPr>
        <w:t>in vivo</w:t>
      </w:r>
      <w:r>
        <w:rPr>
          <w:rFonts w:ascii="Times New Roman" w:hAnsi="Times New Roman"/>
          <w:sz w:val="20"/>
          <w:bdr w:val="single" w:sz="8" w:space="1" w:color="000000"/>
        </w:rPr>
        <w:t xml:space="preserve"> activation of the HBG1/2 genes in preclinical studies with FTX-6058. We have also observed in preclinical studies that FTX-6058 demonstrated robust levels of fetal hemoglobin elevation with no adverse effect on important cellular </w:t>
      </w:r>
    </w:p>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health markers. We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The elevation of HbF was significantly greater than we observed with hydroxyurea in the cell models.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fourth quarter of 2020, we initiated our Phase 1 clinical trial of FTX-6058 in healthy adult volunteers. In this trial, we are evaluating the safety, tolerability and pharmacokinetics of FTX-6058. The trial is comprised of four parts. Part A is a randomized, double-blind, placebo-controlled, single ascending dose, or SAD, study in up to six cohorts. Part B is a randomized, double-blind, placebo-controlled, multiple ascending dose, or MAD, study in up to four cohorts dosed once daily for 14 days. Part C is an open label pilot food effect study in subjects randomized to take FTX-6058 with and without a high-fat meal, and Part D is an open label study to evaluate the potential of FTX-6058 to induce a liver enzyme known as CYP3A, which is involved in drug metabolism.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Interim Data from Phase 1 Clinical Trial of FTX-6058 in Healthy Adult Volunteers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August 2021, we reported interim data from the cohorts completed to date in the SAD portion of the trial and the MAD portion of the trial.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SAD portion of the trial, healthy volunteers received a single oral dose of either placebo or 2, 4, 10, 20, 30 or 40 mg of FTX-6058. In the MAD portion of the trial, healthy volunteers received an oral dose of placebo or 2, 6, or 10 mg of FTX-6058 daily for 14 consecutive days. Subjects were seen 7 to 10 days after the conclusion of study drug or placebo for a safety follow-up. Safety assessments are performed regularly throughout the trial. The primary endpoint of this trial is safety and tolerability.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trial is also collecting secondary pharmacokinetic measurements, including bioavailability and half-life assessments. Exploratory measures were included to assess target engagement, HBG mRNA changes and F-reticulocyte changes. We assessed target engagement of FTX-6058 as a change from baseline in the ratio of lysine 27 on histone H3, or H3K27me3, to total histone H3 in circulating monocytes. H3K27me3 is a downstream target of PRC2. FTX-6058 is designed to bind embryonic ectoderm development and inhibit the transcriptional silencing activity of PRC2.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Pharmacodynamic parameters assessed include changes in HBG mRNA, or HBG1/2 mRNA which encodes for </w:t>
      </w:r>
      <w:r>
        <w:rPr>
          <w:rFonts w:ascii="Times New Roman" w:hAnsi="Times New Roman"/>
          <w:i/>
          <w:sz w:val="20"/>
          <w:bdr w:val="single" w:sz="8" w:space="1" w:color="000000"/>
        </w:rPr>
        <w:t>y</w:t>
      </w:r>
      <w:r>
        <w:rPr>
          <w:rFonts w:ascii="Times New Roman" w:hAnsi="Times New Roman"/>
          <w:sz w:val="20"/>
          <w:bdr w:val="single" w:sz="8" w:space="1" w:color="000000"/>
        </w:rPr>
        <w:t xml:space="preserve">-globin, a component of fetal hemoglobin, and changes in F-reticulocytes, which are immature red blood cells that contain fetal hemoglobin, or HbF.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FTX-6058 has been generally well tolerated in all cohorts completed to date. There were no serious adverse events reported and no discontinuations. All treatment-emergent adverse events, or TEAEs, deemed at least possibly related were mild (Grade 1 or 2) in both the SAD and MAD cohorts. There was one Grade 4 TEAE in the 10 mg MAD cohort, which was determined to be unrelated to FTX-6058. No clinically significant changes in safety-related laboratory tests were reported during treatment periods for any of the FTX-6058 dose cohorts included in the analysis.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Results from the MAD cohorts showed maximal target engagement as evidenced by 70%  80% reduction in baseline H3K27me3 levels, which we believe represents proof of mechanism. The 10 mg dose showed a mean 4.5-fold induction in HBG mRNA at day 14 and mean 4.2-fold increases in F-reticulocytes at the safety follow-up, indicating increased HbF protein expression, which we believe represents proof of biology. The kinetics observed across the target engagement and pharmacodynamic endpoints are consistent with the process of erythropoiesis in healthy individuals. These results demonstrated a time- and dose-dependent relationship between target engagement, mRNA induction and F-reticulocyte increases. The increases in F-reticulocytes indicate that the HBG mRNA increases observed with FTX-6058 treatment are translating to HbF protein production. </w:t>
      </w:r>
    </w:p>
    <w:p>
      <w:pPr>
        <w:pStyle w:val="TextBody"/>
        <w:spacing w:before="0" w:after="0"/>
        <w:jc w:val="left"/>
        <w:rPr>
          <w:bdr w:val="single" w:sz="8" w:space="1" w:color="000000"/>
        </w:rPr>
      </w:pPr>
      <w:r>
        <w:rPr>
          <w:bdr w:val="single" w:sz="8" w:space="1" w:color="000000"/>
        </w:rPr>
        <w:t> </w:t>
      </w:r>
    </w:p>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table below presents the mean fold induction in HBG mRNA and increases in F-reticulocytes in subjects in the MAD portion of the trial at day 7, day 14 and at a safety follow-up 7 to 10 days after the 14-day treatment period. A total of six subjects were dosed with FTX-6058 in each cohort and two subjects were dosed with placebo in each cohort.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HBG mRNA Mean Fold Induction for FTX-6058 versus Placebo </w:t>
      </w:r>
    </w:p>
    <w:p>
      <w:pPr>
        <w:pStyle w:val="TextBody"/>
        <w:spacing w:before="0" w:after="0"/>
        <w:jc w:val="left"/>
        <w:rPr>
          <w:bdr w:val="single" w:sz="8" w:space="1" w:color="000000"/>
        </w:rPr>
      </w:pPr>
      <w:r>
        <w:rPr>
          <w:bdr w:val="single" w:sz="8" w:space="1" w:color="000000"/>
        </w:rPr>
        <w:t> </w:t>
      </w:r>
    </w:p>
    <w:tbl>
      <w:tblPr>
        <w:tblW w:w="4600" w:type="pct"/>
        <w:jc w:val="center"/>
        <w:tblInd w:w="0" w:type="dxa"/>
        <w:tblCellMar>
          <w:top w:w="0" w:type="dxa"/>
          <w:left w:w="0" w:type="dxa"/>
          <w:bottom w:w="0" w:type="dxa"/>
          <w:right w:w="0" w:type="dxa"/>
        </w:tblCellMar>
      </w:tblPr>
      <w:tblGrid>
        <w:gridCol w:w="2206"/>
        <w:gridCol w:w="200"/>
        <w:gridCol w:w="121"/>
        <w:gridCol w:w="893"/>
        <w:gridCol w:w="60"/>
        <w:gridCol w:w="200"/>
        <w:gridCol w:w="63"/>
        <w:gridCol w:w="723"/>
        <w:gridCol w:w="60"/>
        <w:gridCol w:w="200"/>
        <w:gridCol w:w="121"/>
        <w:gridCol w:w="893"/>
        <w:gridCol w:w="60"/>
        <w:gridCol w:w="200"/>
        <w:gridCol w:w="59"/>
        <w:gridCol w:w="833"/>
        <w:gridCol w:w="60"/>
        <w:gridCol w:w="200"/>
        <w:gridCol w:w="121"/>
        <w:gridCol w:w="893"/>
        <w:gridCol w:w="60"/>
        <w:gridCol w:w="200"/>
        <w:gridCol w:w="60"/>
        <w:gridCol w:w="833"/>
        <w:gridCol w:w="69"/>
      </w:tblGrid>
      <w:tr>
        <w:trPr/>
        <w:tc>
          <w:tcPr>
            <w:tcW w:w="220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r>
      <w:tr>
        <w:trPr/>
        <w:tc>
          <w:tcPr>
            <w:tcW w:w="2206"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06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 mg</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16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6 mg</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216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10 mg</w:t>
            </w:r>
          </w:p>
        </w:tc>
        <w:tc>
          <w:tcPr>
            <w:tcW w:w="69" w:type="dxa"/>
            <w:tcBorders/>
            <w:shd w:fill="auto" w:val="clear"/>
            <w:vAlign w:val="bottom"/>
          </w:tcPr>
          <w:p>
            <w:pPr>
              <w:pStyle w:val="TableContents"/>
              <w:spacing w:before="0" w:after="283"/>
              <w:rPr/>
            </w:pPr>
            <w:r>
              <w:rPr/>
              <w:t> </w:t>
            </w:r>
          </w:p>
        </w:tc>
      </w:tr>
      <w:tr>
        <w:trPr/>
        <w:tc>
          <w:tcPr>
            <w:tcW w:w="2206"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Mean</w:t>
              <w:br/>
              <w:t>Fold</w:t>
              <w:br/>
              <w:t>Induction</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P-value</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Mean</w:t>
              <w:br/>
              <w:t>Fold</w:t>
              <w:br/>
              <w:t>Induction</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P-value</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01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Mean</w:t>
              <w:br/>
              <w:t>Fold</w:t>
              <w:br/>
              <w:t>Induction</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8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P-value</w:t>
            </w:r>
          </w:p>
        </w:tc>
        <w:tc>
          <w:tcPr>
            <w:tcW w:w="69" w:type="dxa"/>
            <w:tcBorders/>
            <w:shd w:fill="auto" w:val="clear"/>
            <w:vAlign w:val="bottom"/>
          </w:tcPr>
          <w:p>
            <w:pPr>
              <w:pStyle w:val="TableContents"/>
              <w:spacing w:before="0" w:after="283"/>
              <w:rPr/>
            </w:pPr>
            <w:r>
              <w:rPr/>
              <w:t> </w:t>
            </w:r>
          </w:p>
        </w:tc>
      </w:tr>
      <w:tr>
        <w:trPr/>
        <w:tc>
          <w:tcPr>
            <w:tcW w:w="2206" w:type="dxa"/>
            <w:tcBorders/>
            <w:shd w:fill="CCEEFF" w:val="clear"/>
          </w:tcPr>
          <w:p>
            <w:pPr>
              <w:pStyle w:val="TableContents"/>
              <w:spacing w:before="0" w:after="20"/>
              <w:rPr>
                <w:rFonts w:ascii="Times New Roman" w:hAnsi="Times New Roman"/>
                <w:sz w:val="20"/>
              </w:rPr>
            </w:pPr>
            <w:r>
              <w:rPr>
                <w:rFonts w:ascii="Times New Roman" w:hAnsi="Times New Roman"/>
                <w:sz w:val="20"/>
              </w:rPr>
              <w:t>Day 7</w:t>
            </w:r>
          </w:p>
        </w:tc>
        <w:tc>
          <w:tcPr>
            <w:tcW w:w="20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b/>
              </w:rPr>
            </w:pPr>
            <w:r>
              <w:rPr>
                <w:b/>
              </w:rPr>
              <w:t>1.56</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pPr>
            <w:r>
              <w:rPr/>
              <w:t>0.1873</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b/>
              </w:rPr>
            </w:pPr>
            <w:r>
              <w:rPr>
                <w:b/>
              </w:rPr>
              <w:t>2.29</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0.0179</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b/>
              </w:rPr>
            </w:pPr>
            <w:r>
              <w:rPr>
                <w:b/>
              </w:rPr>
              <w:t>2.34</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0.0157</w:t>
            </w:r>
          </w:p>
        </w:tc>
        <w:tc>
          <w:tcPr>
            <w:tcW w:w="69" w:type="dxa"/>
            <w:tcBorders/>
            <w:shd w:fill="CCEEFF" w:val="clear"/>
            <w:vAlign w:val="bottom"/>
          </w:tcPr>
          <w:p>
            <w:pPr>
              <w:pStyle w:val="TableContents"/>
              <w:spacing w:before="0" w:after="283"/>
              <w:rPr/>
            </w:pPr>
            <w:r>
              <w:rPr/>
              <w:t> </w:t>
            </w:r>
          </w:p>
        </w:tc>
      </w:tr>
      <w:tr>
        <w:trPr/>
        <w:tc>
          <w:tcPr>
            <w:tcW w:w="2206" w:type="dxa"/>
            <w:tcBorders/>
            <w:shd w:fill="auto" w:val="clear"/>
          </w:tcPr>
          <w:p>
            <w:pPr>
              <w:pStyle w:val="TableContents"/>
              <w:spacing w:before="0" w:after="20"/>
              <w:rPr>
                <w:rFonts w:ascii="Times New Roman" w:hAnsi="Times New Roman"/>
                <w:sz w:val="20"/>
              </w:rPr>
            </w:pPr>
            <w:r>
              <w:rPr>
                <w:rFonts w:ascii="Times New Roman" w:hAnsi="Times New Roman"/>
                <w:sz w:val="20"/>
              </w:rPr>
              <w:t>Day 14</w:t>
            </w:r>
          </w:p>
        </w:tc>
        <w:tc>
          <w:tcPr>
            <w:tcW w:w="20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b/>
              </w:rPr>
            </w:pPr>
            <w:r>
              <w:rPr>
                <w:b/>
              </w:rPr>
              <w:t>1.67</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pPr>
            <w:r>
              <w:rPr/>
              <w:t>0.1120</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b/>
              </w:rPr>
            </w:pPr>
            <w:r>
              <w:rPr>
                <w:b/>
              </w:rPr>
              <w:t>3.28</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0.0008</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b/>
              </w:rPr>
            </w:pPr>
            <w:r>
              <w:rPr>
                <w:b/>
              </w:rPr>
              <w:t>4.50</w:t>
            </w:r>
          </w:p>
        </w:tc>
        <w:tc>
          <w:tcPr>
            <w:tcW w:w="6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3" w:type="dxa"/>
            <w:tcBorders/>
            <w:shd w:fill="auto" w:val="clear"/>
            <w:vAlign w:val="bottom"/>
          </w:tcPr>
          <w:p>
            <w:pPr>
              <w:pStyle w:val="TableContents"/>
              <w:spacing w:before="0" w:after="283"/>
              <w:jc w:val="right"/>
              <w:rPr/>
            </w:pPr>
            <w:r>
              <w:rPr/>
              <w:t>&lt;0.0001</w:t>
            </w:r>
          </w:p>
        </w:tc>
        <w:tc>
          <w:tcPr>
            <w:tcW w:w="69" w:type="dxa"/>
            <w:tcBorders/>
            <w:shd w:fill="auto" w:val="clear"/>
            <w:vAlign w:val="bottom"/>
          </w:tcPr>
          <w:p>
            <w:pPr>
              <w:pStyle w:val="TableContents"/>
              <w:spacing w:before="0" w:after="283"/>
              <w:rPr/>
            </w:pPr>
            <w:r>
              <w:rPr/>
              <w:t> </w:t>
            </w:r>
          </w:p>
        </w:tc>
      </w:tr>
      <w:tr>
        <w:trPr/>
        <w:tc>
          <w:tcPr>
            <w:tcW w:w="2206" w:type="dxa"/>
            <w:tcBorders/>
            <w:shd w:fill="CCEEFF" w:val="clear"/>
          </w:tcPr>
          <w:p>
            <w:pPr>
              <w:pStyle w:val="TableContents"/>
              <w:spacing w:before="0" w:after="20"/>
              <w:rPr>
                <w:rFonts w:ascii="Times New Roman" w:hAnsi="Times New Roman"/>
                <w:sz w:val="20"/>
              </w:rPr>
            </w:pPr>
            <w:r>
              <w:rPr>
                <w:rFonts w:ascii="Times New Roman" w:hAnsi="Times New Roman"/>
                <w:sz w:val="20"/>
              </w:rPr>
              <w:t>Safety Follow-up (Day 21-24)</w:t>
            </w:r>
          </w:p>
        </w:tc>
        <w:tc>
          <w:tcPr>
            <w:tcW w:w="20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b/>
              </w:rPr>
            </w:pPr>
            <w:r>
              <w:rPr>
                <w:b/>
              </w:rPr>
              <w:t>1.44</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pPr>
            <w:r>
              <w:rPr/>
              <w:t>0.1214</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b/>
              </w:rPr>
            </w:pPr>
            <w:r>
              <w:rPr>
                <w:b/>
              </w:rPr>
              <w:t>3.25</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&lt;0.0001</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121"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b/>
              </w:rPr>
            </w:pPr>
            <w:r>
              <w:rPr>
                <w:b/>
              </w:rPr>
              <w:t>3.74</w:t>
            </w:r>
          </w:p>
        </w:tc>
        <w:tc>
          <w:tcPr>
            <w:tcW w:w="60" w:type="dxa"/>
            <w:tcBorders/>
            <w:shd w:fill="CCEEFF" w:val="clear"/>
            <w:vAlign w:val="bottom"/>
          </w:tcPr>
          <w:p>
            <w:pPr>
              <w:pStyle w:val="TableContents"/>
              <w:spacing w:before="0" w:after="283"/>
              <w:rPr/>
            </w:pPr>
            <w:r>
              <w:rPr/>
              <w:t> </w:t>
            </w:r>
          </w:p>
        </w:tc>
        <w:tc>
          <w:tcPr>
            <w:tcW w:w="2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3" w:type="dxa"/>
            <w:tcBorders/>
            <w:shd w:fill="CCEEFF" w:val="clear"/>
            <w:vAlign w:val="bottom"/>
          </w:tcPr>
          <w:p>
            <w:pPr>
              <w:pStyle w:val="TableContents"/>
              <w:spacing w:before="0" w:after="283"/>
              <w:jc w:val="right"/>
              <w:rPr/>
            </w:pPr>
            <w:r>
              <w:rPr/>
              <w:t>&lt;0.0001</w:t>
            </w:r>
          </w:p>
        </w:tc>
        <w:tc>
          <w:tcPr>
            <w:tcW w:w="69"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F-Reticulocyte Mean Fold Increase for FTX-6058 versus Placebo </w:t>
      </w:r>
    </w:p>
    <w:p>
      <w:pPr>
        <w:pStyle w:val="TextBody"/>
        <w:spacing w:before="0" w:after="0"/>
        <w:jc w:val="left"/>
        <w:rPr>
          <w:bdr w:val="single" w:sz="8" w:space="1" w:color="000000"/>
        </w:rPr>
      </w:pPr>
      <w:r>
        <w:rPr>
          <w:bdr w:val="single" w:sz="8" w:space="1" w:color="000000"/>
        </w:rPr>
        <w:t> </w:t>
      </w:r>
    </w:p>
    <w:p>
      <w:pPr>
        <w:pStyle w:val="TextBody"/>
        <w:spacing w:before="0" w:after="0"/>
        <w:jc w:val="left"/>
        <w:rPr>
          <w:bdr w:val="single" w:sz="8" w:space="1" w:color="000000"/>
        </w:rPr>
      </w:pPr>
      <w:r>
        <w:rPr>
          <w:bdr w:val="single" w:sz="8" w:space="1" w:color="000000"/>
        </w:rPr>
        <w:t> </w:t>
      </w:r>
    </w:p>
    <w:tbl>
      <w:tblPr>
        <w:tblW w:w="4600" w:type="pct"/>
        <w:jc w:val="center"/>
        <w:tblInd w:w="0" w:type="dxa"/>
        <w:tblCellMar>
          <w:top w:w="0" w:type="dxa"/>
          <w:left w:w="0" w:type="dxa"/>
          <w:bottom w:w="0" w:type="dxa"/>
          <w:right w:w="0" w:type="dxa"/>
        </w:tblCellMar>
      </w:tblPr>
      <w:tblGrid>
        <w:gridCol w:w="2622"/>
        <w:gridCol w:w="210"/>
        <w:gridCol w:w="105"/>
        <w:gridCol w:w="779"/>
        <w:gridCol w:w="60"/>
        <w:gridCol w:w="210"/>
        <w:gridCol w:w="63"/>
        <w:gridCol w:w="740"/>
        <w:gridCol w:w="60"/>
        <w:gridCol w:w="210"/>
        <w:gridCol w:w="105"/>
        <w:gridCol w:w="779"/>
        <w:gridCol w:w="60"/>
        <w:gridCol w:w="210"/>
        <w:gridCol w:w="62"/>
        <w:gridCol w:w="740"/>
        <w:gridCol w:w="60"/>
        <w:gridCol w:w="210"/>
        <w:gridCol w:w="105"/>
        <w:gridCol w:w="779"/>
        <w:gridCol w:w="60"/>
        <w:gridCol w:w="210"/>
        <w:gridCol w:w="60"/>
        <w:gridCol w:w="816"/>
        <w:gridCol w:w="73"/>
      </w:tblGrid>
      <w:tr>
        <w:trPr/>
        <w:tc>
          <w:tcPr>
            <w:tcW w:w="262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r>
      <w:tr>
        <w:trPr/>
        <w:tc>
          <w:tcPr>
            <w:tcW w:w="262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95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 mg</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95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6 mg</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203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10 mg</w:t>
            </w:r>
          </w:p>
        </w:tc>
        <w:tc>
          <w:tcPr>
            <w:tcW w:w="73" w:type="dxa"/>
            <w:tcBorders/>
            <w:shd w:fill="auto" w:val="clear"/>
            <w:vAlign w:val="bottom"/>
          </w:tcPr>
          <w:p>
            <w:pPr>
              <w:pStyle w:val="TableContents"/>
              <w:spacing w:before="0" w:after="283"/>
              <w:rPr/>
            </w:pPr>
            <w:r>
              <w:rPr/>
              <w:t> </w:t>
            </w:r>
          </w:p>
        </w:tc>
      </w:tr>
      <w:tr>
        <w:trPr/>
        <w:tc>
          <w:tcPr>
            <w:tcW w:w="2622"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Mean</w:t>
              <w:br/>
              <w:t>Fold</w:t>
              <w:br/>
              <w:t>Increase</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0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P-value</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Mean</w:t>
              <w:br/>
              <w:t>Fold</w:t>
              <w:br/>
              <w:t>Increase</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0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P-value</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8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Mean</w:t>
              <w:br/>
              <w:t>Fold</w:t>
              <w:br/>
              <w:t>Increase</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8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P-value</w:t>
            </w:r>
          </w:p>
        </w:tc>
        <w:tc>
          <w:tcPr>
            <w:tcW w:w="73" w:type="dxa"/>
            <w:tcBorders/>
            <w:shd w:fill="auto" w:val="clear"/>
            <w:vAlign w:val="bottom"/>
          </w:tcPr>
          <w:p>
            <w:pPr>
              <w:pStyle w:val="TableContents"/>
              <w:spacing w:before="0" w:after="283"/>
              <w:rPr/>
            </w:pPr>
            <w:r>
              <w:rPr/>
              <w:t> </w:t>
            </w:r>
          </w:p>
        </w:tc>
      </w:tr>
      <w:tr>
        <w:trPr/>
        <w:tc>
          <w:tcPr>
            <w:tcW w:w="2622" w:type="dxa"/>
            <w:tcBorders/>
            <w:shd w:fill="CCEEFF" w:val="clear"/>
          </w:tcPr>
          <w:p>
            <w:pPr>
              <w:pStyle w:val="TableContents"/>
              <w:spacing w:before="0" w:after="20"/>
              <w:rPr>
                <w:rFonts w:ascii="Times New Roman" w:hAnsi="Times New Roman"/>
                <w:sz w:val="20"/>
              </w:rPr>
            </w:pPr>
            <w:r>
              <w:rPr>
                <w:rFonts w:ascii="Times New Roman" w:hAnsi="Times New Roman"/>
                <w:sz w:val="20"/>
              </w:rPr>
              <w:t>Day 7</w:t>
            </w:r>
          </w:p>
        </w:tc>
        <w:tc>
          <w:tcPr>
            <w:tcW w:w="21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b/>
              </w:rPr>
            </w:pPr>
            <w:r>
              <w:rPr>
                <w:b/>
              </w:rPr>
              <w:t>0.78</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0.4836</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b/>
              </w:rPr>
            </w:pPr>
            <w:r>
              <w:rPr>
                <w:b/>
              </w:rPr>
              <w:t>1.56</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0.2168</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b/>
              </w:rPr>
            </w:pPr>
            <w:r>
              <w:rPr>
                <w:b/>
              </w:rPr>
              <w:t>1.27</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0.5032</w:t>
            </w:r>
          </w:p>
        </w:tc>
        <w:tc>
          <w:tcPr>
            <w:tcW w:w="73" w:type="dxa"/>
            <w:tcBorders/>
            <w:shd w:fill="CCEEFF" w:val="clear"/>
            <w:vAlign w:val="bottom"/>
          </w:tcPr>
          <w:p>
            <w:pPr>
              <w:pStyle w:val="TableContents"/>
              <w:spacing w:before="0" w:after="283"/>
              <w:rPr/>
            </w:pPr>
            <w:r>
              <w:rPr/>
              <w:t> </w:t>
            </w:r>
          </w:p>
        </w:tc>
      </w:tr>
      <w:tr>
        <w:trPr/>
        <w:tc>
          <w:tcPr>
            <w:tcW w:w="2622" w:type="dxa"/>
            <w:tcBorders/>
            <w:shd w:fill="auto" w:val="clear"/>
          </w:tcPr>
          <w:p>
            <w:pPr>
              <w:pStyle w:val="TableContents"/>
              <w:spacing w:before="0" w:after="20"/>
              <w:rPr>
                <w:rFonts w:ascii="Times New Roman" w:hAnsi="Times New Roman"/>
                <w:sz w:val="20"/>
              </w:rPr>
            </w:pPr>
            <w:r>
              <w:rPr>
                <w:rFonts w:ascii="Times New Roman" w:hAnsi="Times New Roman"/>
                <w:sz w:val="20"/>
              </w:rPr>
              <w:t>Day 14</w:t>
            </w:r>
          </w:p>
        </w:tc>
        <w:tc>
          <w:tcPr>
            <w:tcW w:w="21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b/>
              </w:rPr>
            </w:pPr>
            <w:r>
              <w:rPr>
                <w:b/>
              </w:rPr>
              <w:t>0.74</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0.4793</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b/>
              </w:rPr>
            </w:pPr>
            <w:r>
              <w:rPr>
                <w:b/>
              </w:rPr>
              <w:t>1.11</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740" w:type="dxa"/>
            <w:tcBorders/>
            <w:shd w:fill="auto" w:val="clear"/>
            <w:vAlign w:val="bottom"/>
          </w:tcPr>
          <w:p>
            <w:pPr>
              <w:pStyle w:val="TableContents"/>
              <w:spacing w:before="0" w:after="283"/>
              <w:jc w:val="right"/>
              <w:rPr/>
            </w:pPr>
            <w:r>
              <w:rPr/>
              <w:t>0.8086</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779" w:type="dxa"/>
            <w:tcBorders/>
            <w:shd w:fill="auto" w:val="clear"/>
            <w:vAlign w:val="bottom"/>
          </w:tcPr>
          <w:p>
            <w:pPr>
              <w:pStyle w:val="TableContents"/>
              <w:spacing w:before="0" w:after="283"/>
              <w:jc w:val="right"/>
              <w:rPr>
                <w:b/>
              </w:rPr>
            </w:pPr>
            <w:r>
              <w:rPr>
                <w:b/>
              </w:rPr>
              <w:t>1.98</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6" w:type="dxa"/>
            <w:tcBorders/>
            <w:shd w:fill="auto" w:val="clear"/>
            <w:vAlign w:val="bottom"/>
          </w:tcPr>
          <w:p>
            <w:pPr>
              <w:pStyle w:val="TableContents"/>
              <w:spacing w:before="0" w:after="283"/>
              <w:jc w:val="right"/>
              <w:rPr/>
            </w:pPr>
            <w:r>
              <w:rPr/>
              <w:t>0.1076</w:t>
            </w:r>
          </w:p>
        </w:tc>
        <w:tc>
          <w:tcPr>
            <w:tcW w:w="73" w:type="dxa"/>
            <w:tcBorders/>
            <w:shd w:fill="auto" w:val="clear"/>
            <w:vAlign w:val="bottom"/>
          </w:tcPr>
          <w:p>
            <w:pPr>
              <w:pStyle w:val="TableContents"/>
              <w:spacing w:before="0" w:after="283"/>
              <w:rPr/>
            </w:pPr>
            <w:r>
              <w:rPr/>
              <w:t> </w:t>
            </w:r>
          </w:p>
        </w:tc>
      </w:tr>
      <w:tr>
        <w:trPr/>
        <w:tc>
          <w:tcPr>
            <w:tcW w:w="2622" w:type="dxa"/>
            <w:tcBorders/>
            <w:shd w:fill="CCEEFF" w:val="clear"/>
          </w:tcPr>
          <w:p>
            <w:pPr>
              <w:pStyle w:val="TableContents"/>
              <w:spacing w:before="0" w:after="20"/>
              <w:rPr>
                <w:rFonts w:ascii="Times New Roman" w:hAnsi="Times New Roman"/>
                <w:sz w:val="20"/>
              </w:rPr>
            </w:pPr>
            <w:r>
              <w:rPr>
                <w:rFonts w:ascii="Times New Roman" w:hAnsi="Times New Roman"/>
                <w:sz w:val="20"/>
              </w:rPr>
              <w:t>Safety Follow-up (Day 21-24)</w:t>
            </w:r>
          </w:p>
        </w:tc>
        <w:tc>
          <w:tcPr>
            <w:tcW w:w="21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b/>
              </w:rPr>
            </w:pPr>
            <w:r>
              <w:rPr>
                <w:b/>
              </w:rPr>
              <w:t>0.63</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0.1253</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b/>
              </w:rPr>
            </w:pPr>
            <w:r>
              <w:rPr>
                <w:b/>
              </w:rPr>
              <w:t>1.75</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740" w:type="dxa"/>
            <w:tcBorders/>
            <w:shd w:fill="CCEEFF" w:val="clear"/>
            <w:vAlign w:val="bottom"/>
          </w:tcPr>
          <w:p>
            <w:pPr>
              <w:pStyle w:val="TableContents"/>
              <w:spacing w:before="0" w:after="283"/>
              <w:jc w:val="right"/>
              <w:rPr/>
            </w:pPr>
            <w:r>
              <w:rPr/>
              <w:t>0.0320</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5" w:type="dxa"/>
            <w:tcBorders/>
            <w:shd w:fill="CCEEFF" w:val="clear"/>
            <w:vAlign w:val="bottom"/>
          </w:tcPr>
          <w:p>
            <w:pPr>
              <w:pStyle w:val="TableContents"/>
              <w:spacing w:before="0" w:after="283"/>
              <w:rPr/>
            </w:pPr>
            <w:r>
              <w:rPr/>
              <w:t> </w:t>
            </w:r>
          </w:p>
        </w:tc>
        <w:tc>
          <w:tcPr>
            <w:tcW w:w="779" w:type="dxa"/>
            <w:tcBorders/>
            <w:shd w:fill="CCEEFF" w:val="clear"/>
            <w:vAlign w:val="bottom"/>
          </w:tcPr>
          <w:p>
            <w:pPr>
              <w:pStyle w:val="TableContents"/>
              <w:spacing w:before="0" w:after="283"/>
              <w:jc w:val="right"/>
              <w:rPr>
                <w:b/>
              </w:rPr>
            </w:pPr>
            <w:r>
              <w:rPr>
                <w:b/>
              </w:rPr>
              <w:t>4.23</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6" w:type="dxa"/>
            <w:tcBorders/>
            <w:shd w:fill="CCEEFF" w:val="clear"/>
            <w:vAlign w:val="bottom"/>
          </w:tcPr>
          <w:p>
            <w:pPr>
              <w:pStyle w:val="TableContents"/>
              <w:spacing w:before="0" w:after="283"/>
              <w:jc w:val="right"/>
              <w:rPr/>
            </w:pPr>
            <w:r>
              <w:rPr/>
              <w:t>&lt;0.0001</w:t>
            </w:r>
          </w:p>
        </w:tc>
        <w:tc>
          <w:tcPr>
            <w:tcW w:w="73"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anticipate presenting additional data from all Phase 1 dose cohorts at an upcoming medical meeting in the fourth quarter of 2021, pending abstract acceptance.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on the interim data, we anticipate initiating enrollment in a Phase 1b clinical trial in SCD patients in the fourth quarter of 2021. The trial will be an open-label, multi-dose trial starting at 6 mg once-daily dosing and will include a treatment period of up to three months. This trial will aim to demonstrate the safety, tolerability and pharmacokinetics/pharmacodynamic effects of FTX-6058 in people living with SCD (including induction of HbF protein). This trial could provide the opportunity to demonstrate HbF protein induction in people living with SCD and will be used to help inform a potential Phase 2/3 trial, which we anticipate initiating in 2023. These interim data also support the initiation of a clinical trial in non-SCD hemoglobinopathies (e.g., beta-thalassemia) for which we plan to submit an IND by year-end 2021. We anticipate initiating a clinical trial in non-SCD hemoglobinopathies in 2022.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Losmapimod for FSHD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Losmapimod is a small molecule that we are developing for the treatment of FSHD, a rare, progressive and disabling muscle wasting disorder that leads to significant physical impairments and disability. Losmapimod selectively targets p38α/ß mitogen activated protein kinase, or p38α/ß. We utilized our product engine to discover that inhibition of p38α/ß reduced expression of the DUX4 gene in muscle cells derived from patients with FSHD. The mis-expression of the DUX4 gene is the known root cause of FSHD. There are no approved therapies for FSHD, one of the most common forms of muscular dystrophy, with an estimated patient population of 16,000 to 38,000 in the United States. In January 2020, the FDA granted orphan drug designation to losmapimod for the treatment of FSHD, and, in March 2020, the European Medicines Agency granted orphan drug designation to losmapimod for the treatment of FSHD. In April 2021, the FDA granted fast track designation to losmapimod for the treatment of FSHD. </w:t>
      </w:r>
    </w:p>
    <w:p>
      <w:pPr>
        <w:pStyle w:val="TextBody"/>
        <w:spacing w:before="0" w:after="0"/>
        <w:jc w:val="left"/>
        <w:rPr>
          <w:bdr w:val="single" w:sz="8" w:space="1" w:color="000000"/>
        </w:rPr>
      </w:pPr>
      <w:r>
        <w:rPr>
          <w:bdr w:val="single" w:sz="8" w:space="1" w:color="000000"/>
        </w:rPr>
        <w:t> </w:t>
      </w:r>
    </w:p>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conducted the ReDUX4 trial, which was a randomized, double-blind, placebo-controlled, multicenter, international Phase 2b clinical trial, to investigate whether treatment with losmapimod reduces DUX4-driven gene expression in affected skeletal muscles. As a result of the COVID-19 pandemic, we announced in May 2020 that the ReDUX4 trial had been extended from 24 to 48 weeks to ensure the safety of participants during the pandemic. This extension also enabled the collection of safety and efficacy data, including structural, functional and patient reported data, over a longer time period.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primary endpoint of the ReDUX4 trial was the change in DUX4-driven gene expression in affected skeletal muscle over 16 or 36 weeks, which was included as an experimental biomarker. The ReDUX4 trial was also designed to capture a wide range of data relating to FSHD progression in addition to safety, target engagement and pharmacokinetic data. The secondary endpoints were evaluation of safety and tolerability in FSHD patients, pharmacokinetics in blood, losmapimod concentration in skeletal muscle biopsies, target engagement in blood and in muscle biopsies, and efficacy based on the whole-body skeletal muscle MRI biomarker. The whole-body MRI scans evaluated changes in muscle fat infiltration, muscle fat fraction and lean muscle volume. The muscles evaluated in the trial were classified as normal appearing (not affected by disease), intermediate (clearly affected by disease but not so severely fat replaced to have lost all function) or end stage (severely fat replaced and have lost most if not all function). The exploratory endpoints included reachable workspace, timed up and go (TUG) test, an optimized timed up and go test for FSHD (FSHD TUG), muscle function measures and patient reported outcomes. We are conducting a multi-center open label extension Phase 2 clinical trial to investigate the safety and tolerability of chronic treatment with losmapimod in patients with FSHD who participated in the ReDUX4 trial. Secondary objectives of this open label extension include evaluation of whole-body skeletal muscle MRI and plasma concentrations of losmapimod.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ReDUX4 Data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presented full data from the ReDUX4 trial at the FSHD International Research Congress on June 24, 2021.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trial did not meet the primary endpoint. The data from certain of the secondary and exploratory endpoints showed clinically relevant and nominally statistically significant benefits in the losmapimod treated group versus placebo on multiple measures of structural and functional FSHD progression and patient reported outcomes at 48 weeks. In order to provide context for the results observed with respect to the secondary and exploratory endpoints, we are presenting p-values for these endpoints to show nominal statistical significance regardless of the specific testing procedure in the statistical analysis plan. These p-values do not take into account any statistical adjustments to account for the fact that the primary endpoint was not met.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Losmapimod was generally well-tolerated in the trial, with no drug-related serious adverse events reported. Over the course of the trial there were three discontinuations, none of which were assessed to be related to losmapimod, and 99% of eligible participants elected to continue in the open label extension of our ReDUX4 trial. We will continue to analyze data from each endpoint to determine their viability for future trials.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DUX4-Driven Gene Expression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primary endpoint, change from baseline in DUX4-driven gene expression in affected skeletal muscle at week 16 or week 36, was not met. Reduction in DUX4-driven gene expression was included as an experimental biomarker endpoint because we believed it would correlate with downstream clinical improvements in patients with FSHD.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Losmapimod reduced DUX4-driven gene expression in preclinical </w:t>
      </w:r>
      <w:r>
        <w:rPr>
          <w:rFonts w:ascii="Times New Roman" w:hAnsi="Times New Roman"/>
          <w:i/>
          <w:sz w:val="20"/>
          <w:bdr w:val="single" w:sz="8" w:space="1" w:color="000000"/>
        </w:rPr>
        <w:t>in vivo</w:t>
      </w:r>
      <w:r>
        <w:rPr>
          <w:rFonts w:ascii="Times New Roman" w:hAnsi="Times New Roman"/>
          <w:sz w:val="20"/>
          <w:bdr w:val="single" w:sz="8" w:space="1" w:color="000000"/>
        </w:rPr>
        <w:t xml:space="preserve"> and </w:t>
      </w:r>
      <w:r>
        <w:rPr>
          <w:rFonts w:ascii="Times New Roman" w:hAnsi="Times New Roman"/>
          <w:i/>
          <w:sz w:val="20"/>
          <w:bdr w:val="single" w:sz="8" w:space="1" w:color="000000"/>
        </w:rPr>
        <w:t>in vitro</w:t>
      </w:r>
      <w:r>
        <w:rPr>
          <w:rFonts w:ascii="Times New Roman" w:hAnsi="Times New Roman"/>
          <w:sz w:val="20"/>
          <w:bdr w:val="single" w:sz="8" w:space="1" w:color="000000"/>
        </w:rPr>
        <w:t xml:space="preserve"> experiments. ReDUX4 was the first interventional clinical trial to test whether changes in intramuscular DUX4-driven gene expression could be assessed in patients with FSHD. FSHD is a highly heterogenous disease, and DUX4 expression in each patients muscle is heterogeneous and stochastic. In the losmapimod treatment arm, repeat muscle needle biopsies at week 16 or week 36 did not demonstrate a difference in DUX4 activity, including from the prespecified subgroup analyses by DUX4-expressing </w:t>
      </w:r>
    </w:p>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quartiles. The ability to detect changes in DUX4-driven gene expression was confounded by significant variability across biopsies at baseline and upon repeat biopsy in both the placebo and losmapimod groups. We believe the sources of the variability include the stochastic nature of DUX4 expression in which biopsy samples showed a dynamic state of expression (over 1,000-fold variation), the scarcity of DUX4 positive myonuclei (~1/1000), as well as the relative imprecision in the needle biopsy procedure across multiple clinical trial sites. While a reduction in the molecular biomarker of DUX4-driven gene expression was not observed, we believe that the benefits observed in the losmapimod treated group on muscle health and function and patient reported improvement were consistent with a reduction of DUX4-driven gene expression.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MRI biomarkers: Muscle Fat Infiltration, Muscle Fat Fraction and Lean Muscle Volume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Losmapimod-treated participants showed decreased progression of muscle fat infiltration (MFI) versus placebo as measured in intermediate muscles, which are the muscles most likely to change (p=0.01). Normal-appearing muscles appeared to be preserved in the losmapimod group versus placebo based on a post-hoc analysis.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Muscle fat infiltration is a measure of diffuse fatty infiltration in lean muscle tissue that is correlated with disease severity in FSHD. Participants in the ReDUX4 trial were assessed with a quantitative whole body musculoskeletal magnetic resonance imaging (WB-MSK-MRI) which provides a holistic evaluation of skeletal musculature with the ability to volumetrically measure fat replacement of skeletal muscle in FSHD. Prior clinical trials, not involving losmapimod, have demonstrated that the amount of muscle fat replacement correlates with muscle function in many neuromuscular diseases, including FSHD. Furthermore, changes in fat content are correlated with changes in function. Taken together, ReDUX4 demonstrated that this MRI technology has sufficient sensitivity to detect FSHD progression.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There was no meaningful difference in change in muscle fat fraction or lean muscle volume between the losmapimod and placebo groups in intermediate muscles at 48 weeks. We believe that we may observe meaningful differences in these measures with more time.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Reachable Workspace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Losmapimod-treated participants showed a slower rate of decline and improved accessible surface area in reachable workspace (RWS) measures when patients were challenged with 500g weights (p&lt;0.05).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RWS provides an objective measure of upper extremity range of motion and function by measuring arm and shoulder mobility with and without weights. Prior studies have shown that RWS correlates with changes in the ability of patients to independently perform activities of daily living. FSHD tends to progress from the upper body down, and loss of shoulder movement leads to loss of mobility. Participants in the losmapimod group showed improvements of up to 1.5% from baseline in the accessible surface area when using a 500g weight on their wrist compared to placebo. Participants in the placebo group were able to access 2 to 4% less total surface area from baseline (with and without 500g weights) measured by RWS after 48 weeks.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Dynamometry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 post-hoc analysis, dynamometry, which measures muscle strength, demonstrated that participants in the losmapimod group showed non-statistically significant trends of slower progression (less than 4% decline), as well as meaningful improvements (12 to 27%) in the strength of non-dominant shoulder abductors and right ankle dorsiflexors compared to the placebo group, two muscle groups particularly affected in FSHD, compared to placebo. The participants in the placebo group lost about 15% of shoulder and ankle dorsiflexor strength after 48 weeks. The dynamometry data is reported as percent change from baseline rather than the pre-specified plan to report as mean change from baseline in kilograms. The mean change from baseline in kilograms did not show changes. </w:t>
      </w:r>
    </w:p>
    <w:p>
      <w:pPr>
        <w:pStyle w:val="TextBody"/>
        <w:spacing w:before="0" w:after="0"/>
        <w:jc w:val="left"/>
        <w:rPr>
          <w:bdr w:val="single" w:sz="8" w:space="1" w:color="000000"/>
        </w:rPr>
      </w:pPr>
      <w:r>
        <w:rPr>
          <w:bdr w:val="single" w:sz="8" w:space="1" w:color="000000"/>
        </w:rPr>
        <w:t> </w:t>
      </w:r>
    </w:p>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Timed Up and Go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Losmapimod-treated participants showed a trend in decreased slowing in the TUG test completion time versus placebo (p=0.30). Participants in the placebo group showed an increase of approximately three fourths of a second versus an increase of less than one fourth of a second in the losmapimod group. This difference of approximately one half second has been shown to be clinically meaningful in other muscular dystrophy studies not involving losmapimod. The TUG test measures the time that it takes to rise from a chair, walk three meters, turn round, walk back to the chair and sit down.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Patient Global Impression of Change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Participants reported feeling better when treated with losmapimod compared to placebo through the Patient Global Impression of Change (PGIC) assessment (p=0.02).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PGIC, a measure of self-reported change in how a patient feels and functions, showed that participants were able to recognize improvements after 48 weeks of treatment. Four times more losmapimod participants reported improvement at 48 weeks as compared to participants treated with placebo. Importantly, fewer losmapimod participants reported worsening as compared to placebo, and no losmapimod participants reported being much worse as compared to more than 13% of placebo participants who reported that their disease had become much worse after 48 weeks.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FSHD TUG. Motor Function Measure and FSHD Health Index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Two other exploratory endpoints (FSHD TUG, and FSHD Health Index) did not demonstrate changes from baseline in either group or differences between losmapimod and placebo groups, suggesting that these tests are not sensitive to change over the 48-week time period. Motor function measure also showed no changes in either group or differences between the groups over 48 weeks.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Pharmacokinetics and Target Engagement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Blood concentrations and target engagement in muscle were consistent with previous studies and were within the expected range for clinical efficacy. </w:t>
      </w:r>
    </w:p>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Safety and Tolerability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Safety and tolerability data were consistent with previously reported results with no drug-related serious adverse events reported. Losmapimod was generally well-tolerated and the majority of treatment emergent adverse events were deemed unlikely related or not related to study drug by the investigator. There were three serious adverse events (post-op wound infection, alcohol poisoning and a suicide attempt) reported in two participants in the losmapimod group, each was assessed as unrelated to losmapimod. There were no deaths or discontinuations due to adverse events. Losmapimod has now been evaluated in more than 3,600 subjects in clinical trials across multiple indications, including FSHD. </w:t>
      </w:r>
    </w:p>
    <w:p>
      <w:pPr>
        <w:pStyle w:val="TextBody"/>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Product Engine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 to the National Institutes of Health, there are approximately 7,000 rare, genetically defined human diseases, many of which have inadequate or no approved treatments. Our current drug target identification and development efforts are focused on rare neuromuscular, muscular, hematologic and central nervous system disorders. We also anticipate utilizing our product engine to discover drug targets for genetically defined diseases in other therapeutic areas and for other disorders. In addition to drug targets that we prioritize for internal development, we may identify other drug targets that we would consider for development through partnerships. For example, we are utilizing our product engine to discover drug targets within a targeted indication in the pulmonary disease space under our collaboration and license agreement with Acceleron Pharma Inc., or Acceleron, and for the potential treatment of certain genetically defined cardiomyopathies under our collaboration and license agreement with MyoKardia, Inc., or MyoKardia, a wholly owned subsidiary of Bristol-Myers Squibb Company. </w:t>
      </w:r>
    </w:p>
    <w:p>
      <w:pPr>
        <w:pStyle w:val="TextBody"/>
        <w:spacing w:before="0" w:after="0"/>
        <w:jc w:val="left"/>
        <w:rPr>
          <w:bdr w:val="single" w:sz="8" w:space="1" w:color="000000"/>
        </w:rPr>
      </w:pPr>
      <w:r>
        <w:rPr>
          <w:bdr w:val="single" w:sz="8" w:space="1" w:color="000000"/>
        </w:rPr>
        <w:t> </w:t>
      </w:r>
    </w:p>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a number of risks of which you should be aware before making an investment decision. These risks are discussed more fully in the Risk Factors section of this prospectus supplement immediately following this prospectus supplement summary and in our Quarterly Report on Form 10-Q for the period ended June 30, 2021, which are incorporated by reference herein. These risks include, but are not limited to, the following: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incurred significant losses since our inception. Our net loss was $70.8 million for the year ended December 31, 2020 and $36.6 million for the six months ended June 30, 2021. We expect to incur losses over the next several years and may never achieve or maintain profitability. As of June 30, 2021, we had an accumulated deficit of $258.3 million.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including our open label extension of our Phase 2b clinical trial for the treatment of FSHD and our Phase 2 open label clinical trial for the treatment of FSHD, continue our Phase 1 clinical trial of FTX-6058 in healthy adult volunteers, prepare for our planned Phase 1b clinical trial of FTX-6058 in patients with SCD, and continue research and development and initiate additional clinical trials of, and seek regulatory approval for, these and other product candidates.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early in our development efforts, and we only have two product candidates in clinical trials. If we are unable to commercialize our product candidates or experience significant delays in doing so, our business will be materially harmed.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may not be successful in our efforts to use our product engine to build a pipeline of product candidates. 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serious adverse events or unacceptable side effects are identified during the development of our product candidates, we may need to abandon or limit our development of some of our product candidates.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face substantial competition, which may result in others discovering, developing or commercializing products before or more successfully than we do. </w:t>
            </w:r>
          </w:p>
        </w:tc>
      </w:tr>
    </w:tbl>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rely, and expect to continue to rely, on third parties to conduct our clinical trials, and those third parties may not perform satisfactorily, including failing to meet deadlines for the completion of such trials, which may harm our business.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entered into, and may in the future enter into, collaborations with third parties for the discovery, development or commercialization of product candidates, including our collaborations with Acceleron and MyoKardia. If our collaborations are not successful, we may not be able to capitalize on the market potential of these product candidates and our business could be adversely affected.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 </w:t>
            </w:r>
          </w:p>
        </w:tc>
      </w:tr>
    </w:tbl>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own or have rights, or have applied for rights,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 and  symbols, but we will assert, to the fullest extent under applicable law, our rights to our trademarks, service marks and trade names.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a company with less than $1.07 billion in revenue during our last fiscal year, we qualify as an emerging growth company as defined in the Jumpstart Our Business Startups Act of 2012, or the JOBS Act, and we may remain an emerging growth company until December 31, 2024 or until such earlier time as we have more than $1.07 billion in annual revenue, the market value of our stock held by non-affiliates is more than $700 million as of our most recently completed second fiscal quarter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 </w:t>
      </w:r>
    </w:p>
    <w:p>
      <w:pPr>
        <w:pStyle w:val="TextBody"/>
        <w:spacing w:before="0" w:after="0"/>
        <w:jc w:val="left"/>
        <w:rPr>
          <w:bdr w:val="single" w:sz="8" w:space="1" w:color="000000"/>
        </w:rPr>
      </w:pPr>
      <w:r>
        <w:rPr>
          <w:bdr w:val="single" w:sz="8" w:space="1" w:color="000000"/>
        </w:rPr>
        <w:t> </w:t>
      </w:r>
    </w:p>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meaning that the market value of our stock held by non-affiliates is less than $700 million as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of our most recently completed second fiscal quarter. If we are a smaller reporting company at the time we cease to be an emerging growth company, we may continue to rely on exemptions from certain disclosure requirements that are available to smaller reporting companies. </w:t>
      </w:r>
    </w:p>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Common Stock Offered </w:t>
            </w:r>
          </w:p>
        </w:tc>
        <w:tc>
          <w:tcPr>
            <w:tcW w:w="6327" w:type="dxa"/>
            <w:tcBorders/>
            <w:shd w:fill="auto" w:val="clear"/>
          </w:tcPr>
          <w:p>
            <w:pPr>
              <w:pStyle w:val="TableContents"/>
              <w:spacing w:before="0" w:after="283"/>
              <w:rPr/>
            </w:pPr>
            <w:r>
              <w:rPr/>
              <w:t xml:space="preserve">6,600,000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Common Stock to be Outstanding Immediately Following this Offering </w:t>
            </w:r>
          </w:p>
        </w:tc>
        <w:tc>
          <w:tcPr>
            <w:tcW w:w="6327" w:type="dxa"/>
            <w:tcBorders/>
            <w:shd w:fill="auto" w:val="clear"/>
          </w:tcPr>
          <w:p>
            <w:pPr>
              <w:pStyle w:val="TableContents"/>
              <w:spacing w:before="0" w:after="283"/>
              <w:rPr/>
            </w:pPr>
            <w:r>
              <w:rPr/>
              <w:t xml:space="preserve">39,308,425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Option to Purchase Additional Shares </w:t>
            </w:r>
          </w:p>
        </w:tc>
        <w:tc>
          <w:tcPr>
            <w:tcW w:w="6327" w:type="dxa"/>
            <w:tcBorders/>
            <w:shd w:fill="auto" w:val="clear"/>
          </w:tcPr>
          <w:p>
            <w:pPr>
              <w:pStyle w:val="TableContents"/>
              <w:spacing w:before="0" w:after="283"/>
              <w:rPr/>
            </w:pPr>
            <w:r>
              <w:rPr/>
              <w:t xml:space="preserve">We have granted the underwriters an option for a period of 30 days to purchase from us up to an additional 990,000 shares of our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Use of Proceeds </w:t>
            </w:r>
          </w:p>
        </w:tc>
        <w:tc>
          <w:tcPr>
            <w:tcW w:w="6327" w:type="dxa"/>
            <w:tcBorders/>
            <w:shd w:fill="auto" w:val="clear"/>
          </w:tcPr>
          <w:p>
            <w:pPr>
              <w:pStyle w:val="TableContents"/>
              <w:spacing w:before="0" w:after="283"/>
              <w:rPr/>
            </w:pPr>
            <w:r>
              <w:rPr/>
              <w:t xml:space="preserve">We estimate that the net proceeds to us from this offering will be approximately $117.7 million, or approximately $135.4 million if the underwriters exercise their option to purchase additional shares in full, in each case after deducting underwriting discounts and commissions and estimated offering expenses payable by us.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We intend to use the net proceeds from this offering, together with our existing cash, cash equivalents and marketable securities, to advance FTX-6058 for the treatment of certain hemoglobinopathies, to advance losmapimod for the treatment of FSHD, to fund our ongoing product engine and discovery efforts and for working capital and other general corporate purposes. See Use of Proceeds.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Risk Factors </w:t>
            </w:r>
          </w:p>
        </w:tc>
        <w:tc>
          <w:tcPr>
            <w:tcW w:w="6329" w:type="dxa"/>
            <w:tcBorders/>
            <w:shd w:fill="auto" w:val="clear"/>
          </w:tcPr>
          <w:p>
            <w:pPr>
              <w:pStyle w:val="TableContents"/>
              <w:spacing w:before="0" w:after="283"/>
              <w:rPr/>
            </w:pPr>
            <w:r>
              <w:rPr/>
              <w:t xml:space="preserve">You should read the Risk Factors section of this prospectus supplement beginning on page S-11 and in our Quarterly Report on Form 10-Q for the period ended June 30, 2021 for a discussion of factors to consider carefully before deciding to invest in shares of our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Nasdaq Global Market Symbol </w:t>
            </w:r>
          </w:p>
        </w:tc>
        <w:tc>
          <w:tcPr>
            <w:tcW w:w="6328" w:type="dxa"/>
            <w:tcBorders/>
            <w:shd w:fill="auto" w:val="clear"/>
          </w:tcPr>
          <w:p>
            <w:pPr>
              <w:pStyle w:val="TableContents"/>
              <w:spacing w:before="0" w:after="283"/>
              <w:rPr/>
            </w:pPr>
            <w:r>
              <w:rPr/>
              <w:t xml:space="preserve">FULC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immediately after this offering is based on 32,708,425 shares of our common stock outstanding as of July 31, 2021, including 24,760 shares of unvested restricted stock subject to repurchase by us. The number of shares of our common stock to be outstanding after this offering excludes: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4,824,469 shares of common stock issuable upon exercise of stock options outstanding as of July 31, 2021, at a weighted average exercise price of $11.61 per share;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964,940 and 729,900 shares of common stock reserved for future issuance under our 2019 Stock Incentive Plan and our 2019 Employee Stock Purchase Plan, respectively, as of July 31, 2021.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no exercise of the outstanding stock options described above;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assumes no exercise by the underwriters of their option to purchase additional shares of our common stock;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does not reflect the potential issuance of shares of our common stock that remain available for sale as of the date of this prospectus supplement under our at-the-market offering program, pursuant to which we may sell common stock for remaining gross proceeds of up to $69.1 million from time to time under our equity distribution agreement with Piper Sandler &amp; Co. </w:t>
            </w:r>
          </w:p>
        </w:tc>
      </w:tr>
    </w:tbl>
    <w:p>
      <w:pPr>
        <w:pStyle w:val="TextBody"/>
        <w:jc w:val="left"/>
        <w:rPr>
          <w:bdr w:val="single" w:sz="8" w:space="1" w:color="000000"/>
        </w:rPr>
      </w:pPr>
      <w:r>
        <w:rPr>
          <w:bdr w:val="single" w:sz="8" w:space="1" w:color="000000"/>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suprom207524_3"/>
      <w:bookmarkEnd w:id="5"/>
      <w:r>
        <w:rPr>
          <w:rFonts w:ascii="Times New Roman" w:hAnsi="Times New Roman"/>
          <w:b/>
          <w:sz w:val="20"/>
        </w:rPr>
        <w:t xml:space="preserve">RISK FACTORS </w:t>
      </w:r>
    </w:p>
    <w:p>
      <w:pPr>
        <w:pStyle w:val="TextBody"/>
        <w:spacing w:before="120" w:after="0"/>
        <w:jc w:val="left"/>
        <w:rPr>
          <w:rFonts w:ascii="Times New Roman" w:hAnsi="Times New Roman"/>
          <w:i/>
          <w:sz w:val="20"/>
        </w:rPr>
      </w:pPr>
      <w:r>
        <w:rPr>
          <w:rFonts w:ascii="Times New Roman" w:hAnsi="Times New Roman"/>
          <w:i/>
          <w:sz w:val="20"/>
        </w:rPr>
        <w:t xml:space="preserve">Investing in our common stock involves a high degree of risk. Before you decide to invest in our common stock, you should carefully consider the risks and uncertainties described below and in our Quarterly Report on Form 10-Q for the period ended June 30, 2021, together with all other information contained in this prospectus supplement, the accompanying prospectus and in our filings with the Securities and Exchange Commission, or SEC, that we have incorporated by reference into this prospectus supplement and the accompanying prospectus. If any of the following risks actually occurs, our business, prospects, operating results and financial condition could suffer materially. In such event, the trading price of our common stock could decline and you might lose all or part of your investment. </w:t>
      </w:r>
    </w:p>
    <w:p>
      <w:pPr>
        <w:pStyle w:val="TextBody"/>
        <w:spacing w:before="36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spacing w:before="120" w:after="0"/>
        <w:jc w:val="left"/>
        <w:rPr>
          <w:rFonts w:ascii="Times New Roman" w:hAnsi="Times New Roman"/>
          <w:b/>
          <w:i/>
          <w:sz w:val="20"/>
        </w:rPr>
      </w:pPr>
      <w:r>
        <w:rPr>
          <w:rFonts w:ascii="Times New Roman" w:hAnsi="Times New Roman"/>
          <w:b/>
          <w:i/>
          <w:sz w:val="20"/>
        </w:rPr>
        <w:t xml:space="preserve">If you purchase shares of common stock in this offering, you will suffer immediate dilution of your investment. </w:t>
      </w:r>
    </w:p>
    <w:p>
      <w:pPr>
        <w:pStyle w:val="TextBody"/>
        <w:spacing w:before="240" w:after="0"/>
        <w:jc w:val="left"/>
        <w:rPr>
          <w:rFonts w:ascii="Times New Roman" w:hAnsi="Times New Roman"/>
          <w:sz w:val="20"/>
        </w:rPr>
      </w:pPr>
      <w:r>
        <w:rPr>
          <w:rFonts w:ascii="Times New Roman" w:hAnsi="Times New Roman"/>
          <w:sz w:val="20"/>
        </w:rPr>
        <w:t xml:space="preserve">The price of our common stock to be sold in this offering is substantially higher than the net tangible book value per share of our common stock. Therefore, if you purchase shares of our common stock in this offering, you will pay a price per share that substantially exceeds our net tangible book value per share after this offering. Based on the public offering price of $19.00 per share, you will experience immediate dilution of $13.19 per share, representing the difference between our as adjusted net tangible book value per share, after giving effect to the sale by us of 6,600,000 shares in this offering, and the public offering price. For additional information on the dilution that you will experience immediately after this offering, see the section titled Dilution in this prospectus supplement. </w:t>
      </w:r>
    </w:p>
    <w:p>
      <w:pPr>
        <w:pStyle w:val="TextBody"/>
        <w:spacing w:before="240" w:after="0"/>
        <w:jc w:val="left"/>
        <w:rPr>
          <w:rFonts w:ascii="Times New Roman" w:hAnsi="Times New Roman"/>
          <w:b/>
          <w:i/>
          <w:sz w:val="20"/>
        </w:rPr>
      </w:pPr>
      <w:r>
        <w:rPr>
          <w:rFonts w:ascii="Times New Roman" w:hAnsi="Times New Roman"/>
          <w:b/>
          <w:i/>
          <w:sz w:val="20"/>
        </w:rPr>
        <w:t xml:space="preserve">The price of our common stock may be volatile and fluctuate substantially, which could result in substantial losses for our stockholders. </w:t>
      </w:r>
    </w:p>
    <w:p>
      <w:pPr>
        <w:pStyle w:val="TextBody"/>
        <w:spacing w:before="240" w:after="0"/>
        <w:jc w:val="left"/>
        <w:rPr>
          <w:rFonts w:ascii="Times New Roman" w:hAnsi="Times New Roman"/>
          <w:sz w:val="20"/>
        </w:rPr>
      </w:pPr>
      <w:r>
        <w:rPr>
          <w:rFonts w:ascii="Times New Roman" w:hAnsi="Times New Roman"/>
          <w:sz w:val="20"/>
        </w:rPr>
        <w:t xml:space="preserve">The trading price of our common stock has been, and is likely to continue to be, volatile and could be subject to wide fluctuations in response to various factors, some of which are beyond our control. During the period from July 18, 2019 to August 11, 2021, the closing price of our common stock ranged from a high of $22.06 per share to a low of $4.46 per share. The stock market in general and the market for smaller biopharmaceutical companies in particular have experienced extreme volatility that has often been unrelated to the operating performance of particular companies. </w:t>
      </w:r>
    </w:p>
    <w:p>
      <w:pPr>
        <w:pStyle w:val="TextBody"/>
        <w:spacing w:before="24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not use them effectively. </w:t>
      </w:r>
    </w:p>
    <w:p>
      <w:pPr>
        <w:pStyle w:val="TextBody"/>
        <w:spacing w:before="240" w:after="0"/>
        <w:jc w:val="left"/>
        <w:rPr>
          <w:rFonts w:ascii="Times New Roman" w:hAnsi="Times New Roman"/>
          <w:sz w:val="20"/>
        </w:rPr>
      </w:pPr>
      <w:r>
        <w:rPr>
          <w:rFonts w:ascii="Times New Roman" w:hAnsi="Times New Roman"/>
          <w:sz w:val="20"/>
        </w:rPr>
        <w:t xml:space="preserve">Although we currently intend to use the net proceeds from this offering, together with our existing cash, cash equivalents and marketable securities, in the manner described in the section titled Use of Proceeds in this prospectus supplement, 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 </w:t>
      </w:r>
    </w:p>
    <w:p>
      <w:pPr>
        <w:pStyle w:val="TextBody"/>
        <w:spacing w:before="240" w:after="0"/>
        <w:jc w:val="left"/>
        <w:rPr>
          <w:rFonts w:ascii="Times New Roman" w:hAnsi="Times New Roman"/>
          <w:b/>
          <w:i/>
          <w:sz w:val="20"/>
        </w:rPr>
      </w:pPr>
      <w:r>
        <w:rPr>
          <w:rFonts w:ascii="Times New Roman" w:hAnsi="Times New Roman"/>
          <w:b/>
          <w:i/>
          <w:sz w:val="20"/>
        </w:rPr>
        <w:t xml:space="preserve">Because we do not anticipate paying any cash dividends on our capital stock in the foreseeable future, capital appreciation, if any, will be your sole source of gain. </w:t>
      </w:r>
    </w:p>
    <w:p>
      <w:pPr>
        <w:pStyle w:val="TextBody"/>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currently intend to retain all of our future earnings, if any, to finance the growth, operation and development of our business. As a result, capital appreciation, if any, of our common stock will be your sole source of gain for the foreseeable future.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rom207524_4"/>
      <w:bookmarkEnd w:id="6"/>
      <w:r>
        <w:rPr>
          <w:rFonts w:ascii="Times New Roman" w:hAnsi="Times New Roman"/>
          <w:b/>
          <w:sz w:val="20"/>
        </w:rPr>
        <w:t xml:space="preserve">CAUTIONARY NOTE REGARDING FORWARD-LOOKING STATEMENTS AND INDUSTRY DATA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contain forward-looking statements within the meaning of Section 27A of the Securities Act and Section 21E of the Securities Exchange Act of 1934, as amended, that involve substantial risks and uncertainties. All statements, other than statements of historical facts, contained in this prospectus supplement, the accompanying prospectus and the information incorporated by reference herein and therein,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might, outlook, plan, potential, predict, project, should, target, would and similar expressions are intended to identify forward-looking statements, although not all forward-looking statements contain these identifying words. </w:t>
      </w:r>
    </w:p>
    <w:p>
      <w:pPr>
        <w:pStyle w:val="TextBody"/>
        <w:spacing w:before="240" w:after="0"/>
        <w:jc w:val="left"/>
        <w:rPr>
          <w:rFonts w:ascii="Times New Roman" w:hAnsi="Times New Roman"/>
          <w:sz w:val="20"/>
        </w:rPr>
      </w:pPr>
      <w:r>
        <w:rPr>
          <w:rFonts w:ascii="Times New Roman" w:hAnsi="Times New Roman"/>
          <w:sz w:val="20"/>
        </w:rPr>
        <w:t xml:space="preserve">The forward-looking statements in this prospectus supplement, the accompanying prospectus and the information incorporated by reference herein and therein include, among other things,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ongoing clinical trials of losmapimod, including our ongoing open label extension of our Phase 2b clinical trial for the treatment of facioscapulohumeral muscular dystrophy, or FSHD, and our ongoing Phase 2 open label clinical trial for the treatment of FSHD;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ongoing Phase 1 clinical trial of FTX-6058 in healthy adult volunteers and our planned Phase 1b clinical trial of FTX-6058 in patients with sickle cell disease;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the COVID-19 pandemic on our business and operations and our future financial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initiation, timing, progress and results of our drug target discovery screening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initiation, timing, progress and results of our current and future preclinical studies and clinical trials and our research and development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to develop and, if approved, subsequently commercialize losmapimod, FTX-6058 and any other product candidates, including in combination with other drugs and therapies;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timing of and our ability to submit applications for, obtain and maintain regulatory approvals for losmapimod, FTX-6058 and any other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expectations regarding our ability to fund our operating expenses and capital expenditure requirements with our cash, cash equivalents, and marketable securities and proceeds of this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potential advantages of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products;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estimates regarding the potential market opportunity for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commercialization, marketing and manufacturing capabilities and strategy;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intellectual property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progress and results of our collaborations with Acceleron Pharma Inc. and MyoKardia, Inc., a wholly owned subsidiary of Bristol-Myers Squibb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identify additional products, product candidates or technologies with significant commercial potential that are consistent with our commercial objectives;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expectations related to the use of proceeds from this offering;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estimates regarding expenses, future revenue, timing of any future revenue, capital requirements and needs for additional financing;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government laws and regulations;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competitive position;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maintain and establish collaborations or obtain additional funding;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or a smaller reporting company as defined under the federal securities laws. </w:t>
            </w:r>
          </w:p>
        </w:tc>
      </w:tr>
    </w:tbl>
    <w:p>
      <w:pPr>
        <w:pStyle w:val="TextBody"/>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particularly in the Risk Factors section in this prospectus supplement and in our Quarterly Report on Form 10-Q for the period ended June 30, 2021, which are incorporated by reference herein,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 </w:t>
      </w:r>
    </w:p>
    <w:p>
      <w:pPr>
        <w:pStyle w:val="TextBody"/>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information incorporated by reference herein and therein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incorporated by reference herein and therein include statistical and other industry and market data that we obtained from industry publications and research, surveys and studies conducted by third parties. All of the market data used in this prospectus supplement, the accompanying prospectus and the information incorporated by reference herein and therein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rom207524_5"/>
      <w:bookmarkEnd w:id="7"/>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estimate that the net proceeds to us from the issuance and sale of 6,600,000 shares of common stock in this offering will be approximately $117.7 million, or approximately $135.4 million if the underwriters exercise their option to purchase additional shares in full, in each case after deducting underwriting discounts and commissions and estimated offering expenses payable by us. </w:t>
      </w:r>
    </w:p>
    <w:p>
      <w:pPr>
        <w:pStyle w:val="TextBody"/>
        <w:spacing w:before="240" w:after="0"/>
        <w:jc w:val="left"/>
        <w:rPr>
          <w:rFonts w:ascii="Times New Roman" w:hAnsi="Times New Roman"/>
          <w:sz w:val="20"/>
        </w:rPr>
      </w:pPr>
      <w:r>
        <w:rPr>
          <w:rFonts w:ascii="Times New Roman" w:hAnsi="Times New Roman"/>
          <w:sz w:val="20"/>
        </w:rPr>
        <w:t xml:space="preserve">We expect to use the net proceeds from this offering, together with our existing cash, cash equivalents and marketable securities, to advance FTX-6058 for the treatment of certain hemoglobinopathies, to advance losmapimod for the treatment of FSHD, to fund our ongoing product engine and discovery efforts and for working capital and other general corporate purposes. </w:t>
      </w:r>
    </w:p>
    <w:p>
      <w:pPr>
        <w:pStyle w:val="TextBody"/>
        <w:spacing w:before="240" w:after="0"/>
        <w:jc w:val="left"/>
        <w:rPr>
          <w:rFonts w:ascii="Times New Roman" w:hAnsi="Times New Roman"/>
          <w:sz w:val="20"/>
        </w:rPr>
      </w:pPr>
      <w:r>
        <w:rPr>
          <w:rFonts w:ascii="Times New Roman" w:hAnsi="Times New Roman"/>
          <w:sz w:val="20"/>
        </w:rPr>
        <w:t xml:space="preserve">As of June 30, 2021, we had cash, cash equivalents and marketable securities of $125.6 million. </w:t>
      </w:r>
    </w:p>
    <w:p>
      <w:pPr>
        <w:pStyle w:val="TextBody"/>
        <w:spacing w:before="240" w:after="0"/>
        <w:jc w:val="left"/>
        <w:rPr>
          <w:rFonts w:ascii="Times New Roman" w:hAnsi="Times New Roman"/>
          <w:sz w:val="20"/>
        </w:rPr>
      </w:pPr>
      <w:r>
        <w:rPr>
          <w:rFonts w:ascii="Times New Roman" w:hAnsi="Times New Roman"/>
          <w:sz w:val="20"/>
        </w:rPr>
        <w:t xml:space="preserve">We believe that the net proceeds from this offering, together with our existing cash, cash equivalents and marketable securities will enable us to fund our operating expenses and capital expenditure requirements into 2024. We have based this estimate on assumptions that may prove to be wrong, and we could use our available capital resources sooner than we currently expect. </w:t>
      </w:r>
    </w:p>
    <w:p>
      <w:pPr>
        <w:pStyle w:val="TextBody"/>
        <w:spacing w:before="240" w:after="0"/>
        <w:jc w:val="left"/>
        <w:rPr>
          <w:rFonts w:ascii="Times New Roman" w:hAnsi="Times New Roman"/>
          <w:sz w:val="20"/>
        </w:rPr>
      </w:pPr>
      <w:r>
        <w:rPr>
          <w:rFonts w:ascii="Times New Roman" w:hAnsi="Times New Roman"/>
          <w:sz w:val="20"/>
        </w:rPr>
        <w:t xml:space="preserve">We will require additional capital to complete clinical development of each of our product candidates and to commercialize any of our product candidates, if we receive regulatory approval. </w:t>
      </w:r>
    </w:p>
    <w:p>
      <w:pPr>
        <w:pStyle w:val="TextBody"/>
        <w:spacing w:before="240" w:after="0"/>
        <w:jc w:val="left"/>
        <w:rPr>
          <w:rFonts w:ascii="Times New Roman" w:hAnsi="Times New Roman"/>
          <w:sz w:val="20"/>
        </w:rPr>
      </w:pPr>
      <w:r>
        <w:rPr>
          <w:rFonts w:ascii="Times New Roman" w:hAnsi="Times New Roman"/>
          <w:sz w:val="20"/>
        </w:rPr>
        <w:t xml:space="preserve">This expected use of net proceeds from this offering and our existing cash, cash equivalents and marketable securities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 We have no current agreements, commitments or understandings for any material acquisitions or licenses of any products, businesses or technologies. </w:t>
      </w:r>
    </w:p>
    <w:p>
      <w:pPr>
        <w:pStyle w:val="TextBody"/>
        <w:spacing w:before="240" w:after="0"/>
        <w:jc w:val="left"/>
        <w:rPr>
          <w:rFonts w:ascii="Times New Roman" w:hAnsi="Times New Roman"/>
          <w:sz w:val="20"/>
        </w:rPr>
      </w:pPr>
      <w:r>
        <w:rPr>
          <w:rFonts w:ascii="Times New Roman" w:hAnsi="Times New Roman"/>
          <w:sz w:val="20"/>
        </w:rPr>
        <w:t xml:space="preserve">Pending our use of the net proceeds from this offering, we intend to invest the net proceeds in a variety of capital preservation investments, including short-term, investment-grade, interest-bearing instruments and U.S. government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rom207524_6"/>
      <w:bookmarkEnd w:id="8"/>
      <w:r>
        <w:rPr>
          <w:rFonts w:ascii="Times New Roman" w:hAnsi="Times New Roman"/>
          <w:b/>
          <w:sz w:val="20"/>
        </w:rPr>
        <w:t xml:space="preserve">DIVIDEND POLICY </w:t>
      </w:r>
    </w:p>
    <w:p>
      <w:pPr>
        <w:pStyle w:val="TextBody"/>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rom207524_7"/>
      <w:bookmarkEnd w:id="9"/>
      <w:r>
        <w:rPr>
          <w:rFonts w:ascii="Times New Roman" w:hAnsi="Times New Roman"/>
          <w:b/>
          <w:sz w:val="20"/>
        </w:rPr>
        <w:t xml:space="preserve">DILUTION </w:t>
      </w:r>
    </w:p>
    <w:p>
      <w:pPr>
        <w:pStyle w:val="TextBody"/>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public offering price per share of our common stock you will pay in this offering and the as adjusted net tangible book value per share of our common stock immediately after this offering. </w:t>
      </w:r>
    </w:p>
    <w:p>
      <w:pPr>
        <w:pStyle w:val="TextBody"/>
        <w:spacing w:before="240" w:after="0"/>
        <w:jc w:val="left"/>
        <w:rPr>
          <w:rFonts w:ascii="Times New Roman" w:hAnsi="Times New Roman"/>
          <w:sz w:val="20"/>
        </w:rPr>
      </w:pPr>
      <w:r>
        <w:rPr>
          <w:rFonts w:ascii="Times New Roman" w:hAnsi="Times New Roman"/>
          <w:sz w:val="20"/>
        </w:rPr>
        <w:t xml:space="preserve">Our historical net tangible book value as of June 30, 2021 was $110.9 million, or $3.39 per share of common stock. Our historical net tangible book value is the amount of our total tangible assets less our total liabilities. Historical net tangible book value per share represents our historical net tangible book value divided by the 32,706,863 shares of common stock outstanding as of June 30, 2021, including 47,123 shares of unvested restricted stock subject to repurchase by us. </w:t>
      </w:r>
    </w:p>
    <w:p>
      <w:pPr>
        <w:pStyle w:val="TextBody"/>
        <w:spacing w:before="240" w:after="0"/>
        <w:jc w:val="left"/>
        <w:rPr>
          <w:rFonts w:ascii="Times New Roman" w:hAnsi="Times New Roman"/>
          <w:sz w:val="20"/>
        </w:rPr>
      </w:pPr>
      <w:r>
        <w:rPr>
          <w:rFonts w:ascii="Times New Roman" w:hAnsi="Times New Roman"/>
          <w:sz w:val="20"/>
        </w:rPr>
        <w:t xml:space="preserve">After giving effect to the issuance and sale of 6,600,000 shares of common stock that we are offering at the public offering price of $19.00 per share, and after deducting the underwriting discounts and commissions and estimated offering expenses payable by us, our as adjusted net tangible book value as of June 30, 2021 would have been $228.6 million, or $5.81 per share. This represents an immediate increase of $2.42 in as adjusted net tangible book value per share to existing stockholders and immediate dilution of $13.19 in as adjusted net tangible book value per share to new investors purchasing shares of our common stock in this offering. Dilution per share to new investors is determined by subtracting as adjusted net tangible book value per share after this offering from the public offering price per share paid by new investors. The following table illustrates this dilution: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5563"/>
        <w:gridCol w:w="383"/>
        <w:gridCol w:w="143"/>
        <w:gridCol w:w="442"/>
        <w:gridCol w:w="60"/>
        <w:gridCol w:w="383"/>
        <w:gridCol w:w="143"/>
        <w:gridCol w:w="574"/>
        <w:gridCol w:w="64"/>
      </w:tblGrid>
      <w:tr>
        <w:trPr/>
        <w:tc>
          <w:tcPr>
            <w:tcW w:w="556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563" w:type="dxa"/>
            <w:tcBorders/>
            <w:shd w:fill="CCEEFF" w:val="clear"/>
          </w:tcPr>
          <w:p>
            <w:pPr>
              <w:pStyle w:val="TableContents"/>
              <w:spacing w:before="0" w:after="0"/>
              <w:rPr>
                <w:rFonts w:ascii="Times New Roman" w:hAnsi="Times New Roman"/>
                <w:sz w:val="20"/>
              </w:rPr>
            </w:pPr>
            <w:r>
              <w:rPr>
                <w:rFonts w:ascii="Times New Roman" w:hAnsi="Times New Roman"/>
                <w:sz w:val="20"/>
              </w:rPr>
              <w:t>Public offering price per share</w:t>
            </w:r>
          </w:p>
        </w:tc>
        <w:tc>
          <w:tcPr>
            <w:tcW w:w="38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44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19.00</w:t>
            </w:r>
          </w:p>
        </w:tc>
        <w:tc>
          <w:tcPr>
            <w:tcW w:w="64" w:type="dxa"/>
            <w:tcBorders/>
            <w:shd w:fill="CCEEFF" w:val="clear"/>
            <w:vAlign w:val="bottom"/>
          </w:tcPr>
          <w:p>
            <w:pPr>
              <w:pStyle w:val="TableContents"/>
              <w:spacing w:before="0" w:after="283"/>
              <w:rPr/>
            </w:pPr>
            <w:r>
              <w:rPr/>
              <w:t> </w:t>
            </w:r>
          </w:p>
        </w:tc>
      </w:tr>
      <w:tr>
        <w:trPr/>
        <w:tc>
          <w:tcPr>
            <w:tcW w:w="5563" w:type="dxa"/>
            <w:tcBorders/>
            <w:shd w:fill="auto" w:val="clear"/>
          </w:tcPr>
          <w:p>
            <w:pPr>
              <w:pStyle w:val="TableContents"/>
              <w:spacing w:before="0" w:after="0"/>
              <w:rPr>
                <w:rFonts w:ascii="Times New Roman" w:hAnsi="Times New Roman"/>
                <w:sz w:val="20"/>
              </w:rPr>
            </w:pPr>
            <w:r>
              <w:rPr>
                <w:rFonts w:ascii="Times New Roman" w:hAnsi="Times New Roman"/>
                <w:sz w:val="20"/>
              </w:rPr>
              <w:t>Historical net tangible book value per share as of June 30, 2021</w:t>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w:t>
            </w:r>
          </w:p>
        </w:tc>
        <w:tc>
          <w:tcPr>
            <w:tcW w:w="442" w:type="dxa"/>
            <w:tcBorders/>
            <w:shd w:fill="auto" w:val="clear"/>
            <w:vAlign w:val="bottom"/>
          </w:tcPr>
          <w:p>
            <w:pPr>
              <w:pStyle w:val="TableContents"/>
              <w:spacing w:before="0" w:after="283"/>
              <w:jc w:val="right"/>
              <w:rPr/>
            </w:pPr>
            <w:r>
              <w:rPr/>
              <w:t>3.39</w:t>
            </w:r>
          </w:p>
        </w:tc>
        <w:tc>
          <w:tcPr>
            <w:tcW w:w="60"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5563" w:type="dxa"/>
            <w:tcBorders/>
            <w:shd w:fill="CCEEFF" w:val="clear"/>
          </w:tcPr>
          <w:p>
            <w:pPr>
              <w:pStyle w:val="TableContents"/>
              <w:spacing w:before="0" w:after="0"/>
              <w:rPr>
                <w:rFonts w:ascii="Times New Roman" w:hAnsi="Times New Roman"/>
                <w:sz w:val="20"/>
              </w:rPr>
            </w:pPr>
            <w:r>
              <w:rPr>
                <w:rFonts w:ascii="Times New Roman" w:hAnsi="Times New Roman"/>
                <w:sz w:val="20"/>
              </w:rPr>
              <w:t>Increase in as adjusted net tangible book value per share attributable to new investors purchasing shares of common stock in this offering</w:t>
            </w:r>
          </w:p>
        </w:tc>
        <w:tc>
          <w:tcPr>
            <w:tcW w:w="38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c>
          <w:tcPr>
            <w:tcW w:w="442" w:type="dxa"/>
            <w:tcBorders/>
            <w:shd w:fill="CCEEFF" w:val="clear"/>
            <w:vAlign w:val="bottom"/>
          </w:tcPr>
          <w:p>
            <w:pPr>
              <w:pStyle w:val="TableContents"/>
              <w:spacing w:before="0" w:after="283"/>
              <w:jc w:val="right"/>
              <w:rPr/>
            </w:pPr>
            <w:r>
              <w:rPr/>
              <w:t>2.42</w:t>
            </w:r>
          </w:p>
        </w:tc>
        <w:tc>
          <w:tcPr>
            <w:tcW w:w="60"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574" w:type="dxa"/>
            <w:tcBorders/>
            <w:shd w:fill="CCEEFF" w:val="clear"/>
            <w:vAlign w:val="bottom"/>
          </w:tcPr>
          <w:p>
            <w:pPr>
              <w:pStyle w:val="TableContents"/>
              <w:spacing w:before="0" w:after="283"/>
              <w:rPr>
                <w:sz w:val="4"/>
                <w:szCs w:val="4"/>
              </w:rPr>
            </w:pPr>
            <w:r>
              <w:rPr>
                <w:sz w:val="4"/>
                <w:szCs w:val="4"/>
              </w:rPr>
            </w:r>
          </w:p>
        </w:tc>
        <w:tc>
          <w:tcPr>
            <w:tcW w:w="64" w:type="dxa"/>
            <w:tcBorders/>
            <w:shd w:fill="CCEEFF" w:val="clear"/>
            <w:vAlign w:val="bottom"/>
          </w:tcPr>
          <w:p>
            <w:pPr>
              <w:pStyle w:val="TableContents"/>
              <w:spacing w:before="0" w:after="283"/>
              <w:rPr>
                <w:sz w:val="4"/>
                <w:szCs w:val="4"/>
              </w:rPr>
            </w:pPr>
            <w:r>
              <w:rPr>
                <w:sz w:val="4"/>
                <w:szCs w:val="4"/>
              </w:rPr>
            </w:r>
          </w:p>
        </w:tc>
      </w:tr>
      <w:tr>
        <w:trPr/>
        <w:tc>
          <w:tcPr>
            <w:tcW w:w="5563"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44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57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5563" w:type="dxa"/>
            <w:tcBorders/>
            <w:shd w:fill="auto" w:val="clear"/>
          </w:tcPr>
          <w:p>
            <w:pPr>
              <w:pStyle w:val="TableContents"/>
              <w:spacing w:before="0" w:after="0"/>
              <w:rPr>
                <w:rFonts w:ascii="Times New Roman" w:hAnsi="Times New Roman"/>
                <w:sz w:val="20"/>
              </w:rPr>
            </w:pPr>
            <w:r>
              <w:rPr>
                <w:rFonts w:ascii="Times New Roman" w:hAnsi="Times New Roman"/>
                <w:sz w:val="20"/>
              </w:rPr>
              <w:t>As adjusted net tangible book value per share immediately after this offering</w:t>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74" w:type="dxa"/>
            <w:tcBorders/>
            <w:shd w:fill="auto" w:val="clear"/>
            <w:vAlign w:val="bottom"/>
          </w:tcPr>
          <w:p>
            <w:pPr>
              <w:pStyle w:val="TableContents"/>
              <w:spacing w:before="0" w:after="283"/>
              <w:jc w:val="right"/>
              <w:rPr/>
            </w:pPr>
            <w:r>
              <w:rPr/>
              <w:t>5.81</w:t>
            </w:r>
          </w:p>
        </w:tc>
        <w:tc>
          <w:tcPr>
            <w:tcW w:w="64" w:type="dxa"/>
            <w:tcBorders/>
            <w:shd w:fill="auto" w:val="clear"/>
            <w:vAlign w:val="bottom"/>
          </w:tcPr>
          <w:p>
            <w:pPr>
              <w:pStyle w:val="TableContents"/>
              <w:spacing w:before="0" w:after="283"/>
              <w:rPr/>
            </w:pPr>
            <w:r>
              <w:rPr/>
              <w:t> </w:t>
            </w:r>
          </w:p>
        </w:tc>
      </w:tr>
      <w:tr>
        <w:trPr/>
        <w:tc>
          <w:tcPr>
            <w:tcW w:w="5563"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574"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5563" w:type="dxa"/>
            <w:tcBorders/>
            <w:shd w:fill="CCEEFF" w:val="clear"/>
          </w:tcPr>
          <w:p>
            <w:pPr>
              <w:pStyle w:val="TableContents"/>
              <w:spacing w:before="0" w:after="0"/>
              <w:rPr>
                <w:rFonts w:ascii="Times New Roman" w:hAnsi="Times New Roman"/>
                <w:sz w:val="20"/>
              </w:rPr>
            </w:pPr>
            <w:r>
              <w:rPr>
                <w:rFonts w:ascii="Times New Roman" w:hAnsi="Times New Roman"/>
                <w:sz w:val="20"/>
              </w:rPr>
              <w:t>Dilution per share to new investors purchasing shares of common stock in this offering</w:t>
            </w:r>
          </w:p>
        </w:tc>
        <w:tc>
          <w:tcPr>
            <w:tcW w:w="38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44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w:t>
            </w:r>
          </w:p>
        </w:tc>
        <w:tc>
          <w:tcPr>
            <w:tcW w:w="574" w:type="dxa"/>
            <w:tcBorders/>
            <w:shd w:fill="CCEEFF" w:val="clear"/>
            <w:vAlign w:val="bottom"/>
          </w:tcPr>
          <w:p>
            <w:pPr>
              <w:pStyle w:val="TableContents"/>
              <w:spacing w:before="0" w:after="283"/>
              <w:jc w:val="right"/>
              <w:rPr/>
            </w:pPr>
            <w:r>
              <w:rPr/>
              <w:t>13.19</w:t>
            </w:r>
          </w:p>
        </w:tc>
        <w:tc>
          <w:tcPr>
            <w:tcW w:w="64" w:type="dxa"/>
            <w:tcBorders/>
            <w:shd w:fill="CCEEFF" w:val="clear"/>
            <w:vAlign w:val="bottom"/>
          </w:tcPr>
          <w:p>
            <w:pPr>
              <w:pStyle w:val="TableContents"/>
              <w:spacing w:before="0" w:after="283"/>
              <w:rPr/>
            </w:pPr>
            <w:r>
              <w:rPr/>
              <w:t> </w:t>
            </w:r>
          </w:p>
        </w:tc>
      </w:tr>
      <w:tr>
        <w:trPr/>
        <w:tc>
          <w:tcPr>
            <w:tcW w:w="5563"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0"/>
              <w:rPr/>
            </w:pPr>
            <w:r>
              <w:rPr/>
              <w:t> </w:t>
            </w:r>
          </w:p>
        </w:tc>
        <w:tc>
          <w:tcPr>
            <w:tcW w:w="574"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shares in full the immediate dilution in as adjusted net tangible book value per share to investors in this offering would be $12.89 per share. </w:t>
      </w:r>
    </w:p>
    <w:p>
      <w:pPr>
        <w:pStyle w:val="TextBody"/>
        <w:spacing w:before="240" w:after="0"/>
        <w:jc w:val="left"/>
        <w:rPr>
          <w:rFonts w:ascii="Times New Roman" w:hAnsi="Times New Roman"/>
          <w:sz w:val="20"/>
        </w:rPr>
      </w:pPr>
      <w:r>
        <w:rPr>
          <w:rFonts w:ascii="Times New Roman" w:hAnsi="Times New Roman"/>
          <w:sz w:val="20"/>
        </w:rPr>
        <w:t xml:space="preserve">The table and discussion above are based on the number of shares of our common stock outstanding as of June 30, 2021, including 47,123 shares of unvested restricted stock subject to repurchase by us, and exclude: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4,674,037 shares of common stock issuable upon exercise of stock options outstanding as of June 30, 2021, at a weighted average exercise price of $11.67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additional 310,580 shares of common stock issuable upon exercise of stock options granted after June 30, 2021, at a weighted average exercise price of $9.89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1,116,934 and 729,900 shares of common stock reserved for future issuance as of June 30, 2021 under our 2019 Stock Incentive Plan and our 2019 Employee Stock Purchase Plan, respectively;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potential issuance of shares of common stock that remain available for sale as of the date of this prospectus supplement under our at-the-market offering program, pursuant to which we may sell common stock for remaining gross proceeds of up to $69.1 million from time to time under our equity distribution agreement with Piper Sandler &amp; Co.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the extent that outstanding stock options are exercised, new stock options are issued, or we issue additional shares of common stock in the future, including pursuant to our equity distribution agreement with Piper Sandler &amp; Co., there will be further dilution to investors purchasing shares of common stock in this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rom207524_8"/>
      <w:bookmarkEnd w:id="10"/>
      <w:r>
        <w:rPr>
          <w:rFonts w:ascii="Times New Roman" w:hAnsi="Times New Roman"/>
          <w:b/>
          <w:sz w:val="20"/>
        </w:rPr>
        <w:t xml:space="preserve">MATERIAL U.S. FEDERAL INCOME AND ESTATE TAX CONSIDERATIONS FOR NON-U.S. HOLDERS OF COMMON STOCK </w:t>
      </w:r>
    </w:p>
    <w:p>
      <w:pPr>
        <w:pStyle w:val="TextBody"/>
        <w:spacing w:before="240" w:after="0"/>
        <w:jc w:val="left"/>
        <w:rPr>
          <w:rFonts w:ascii="Times New Roman" w:hAnsi="Times New Roman"/>
          <w:sz w:val="20"/>
        </w:rPr>
      </w:pPr>
      <w:r>
        <w:rPr>
          <w:rFonts w:ascii="Times New Roman" w:hAnsi="Times New Roman"/>
          <w:sz w:val="20"/>
        </w:rPr>
        <w:t xml:space="preserve">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corporation, or other entity treated as a corporation for U.S. federal income tax purposes, created or organized in or under the laws of the United States or of any political subdivision of the United States;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 </w:t>
            </w:r>
          </w:p>
        </w:tc>
      </w:tr>
    </w:tbl>
    <w:p>
      <w:pPr>
        <w:pStyle w:val="TextBody"/>
        <w:spacing w:before="240" w:after="0"/>
        <w:jc w:val="left"/>
        <w:rPr>
          <w:rFonts w:ascii="Times New Roman" w:hAnsi="Times New Roman"/>
          <w:sz w:val="20"/>
        </w:rPr>
      </w:pPr>
      <w:r>
        <w:rPr>
          <w:rFonts w:ascii="Times New Roman" w:hAnsi="Times New Roman"/>
          <w:sz w:val="20"/>
        </w:rPr>
        <w:t xml:space="preserve">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 </w:t>
      </w:r>
    </w:p>
    <w:p>
      <w:pPr>
        <w:pStyle w:val="TextBody"/>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non-U.S. holders described in this prospectus supplement. There can be no assurance that the Internal Revenue Service, or the IRS, will not challenge one or more of the tax consequences described in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tax-exempt or governmental organizations;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pension plans;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owners that hold our common stock as part of a straddle, hedge, conversion transaction, synthetic security or other integrated investment or who have elected to mark securities to market;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controlled foreign corporations;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non-U.S. governments;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passive foreign investment companies;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U.S. expatriates. </w:t>
            </w:r>
          </w:p>
        </w:tc>
      </w:tr>
    </w:tbl>
    <w:p>
      <w:pPr>
        <w:pStyle w:val="TextBody"/>
        <w:spacing w:before="240" w:after="0"/>
        <w:jc w:val="left"/>
        <w:rPr>
          <w:rFonts w:ascii="Times New Roman" w:hAnsi="Times New Roman"/>
          <w:b/>
          <w:sz w:val="20"/>
        </w:rPr>
      </w:pPr>
      <w:r>
        <w:rPr>
          <w:rFonts w:ascii="Times New Roman" w:hAnsi="Times New Roman"/>
          <w:b/>
          <w:sz w:val="20"/>
        </w:rPr>
        <w:t xml:space="preserve">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 </w:t>
      </w:r>
    </w:p>
    <w:p>
      <w:pPr>
        <w:pStyle w:val="TextBody"/>
        <w:spacing w:before="360" w:after="0"/>
        <w:jc w:val="left"/>
        <w:rPr>
          <w:rFonts w:ascii="Times New Roman" w:hAnsi="Times New Roman"/>
          <w:b/>
          <w:sz w:val="20"/>
        </w:rPr>
      </w:pPr>
      <w:r>
        <w:rPr>
          <w:rFonts w:ascii="Times New Roman" w:hAnsi="Times New Roman"/>
          <w:b/>
          <w:sz w:val="20"/>
        </w:rPr>
        <w:t xml:space="preserve">Distributions </w:t>
      </w:r>
    </w:p>
    <w:p>
      <w:pPr>
        <w:pStyle w:val="TextBody"/>
        <w:spacing w:before="120" w:after="0"/>
        <w:jc w:val="left"/>
        <w:rPr>
          <w:rFonts w:ascii="Times New Roman" w:hAnsi="Times New Roman"/>
          <w:sz w:val="20"/>
        </w:rPr>
      </w:pPr>
      <w:r>
        <w:rPr>
          <w:rFonts w:ascii="Times New Roman" w:hAnsi="Times New Roman"/>
          <w:sz w:val="20"/>
        </w:rPr>
        <w:t xml:space="preserve">As discussed under the heading Dividend Policy above, 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 </w:t>
      </w:r>
    </w:p>
    <w:p>
      <w:pPr>
        <w:pStyle w:val="TextBody"/>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income tax treaty between the United States and such holders country of residence. </w:t>
      </w:r>
    </w:p>
    <w:p>
      <w:pPr>
        <w:pStyle w:val="TextBody"/>
        <w:spacing w:before="240" w:after="0"/>
        <w:jc w:val="left"/>
        <w:rPr>
          <w:rFonts w:ascii="Times New Roman" w:hAnsi="Times New Roman"/>
          <w:sz w:val="20"/>
        </w:rPr>
      </w:pPr>
      <w:r>
        <w:rPr>
          <w:rFonts w:ascii="Times New Roman" w:hAnsi="Times New Roman"/>
          <w:sz w:val="20"/>
        </w:rPr>
        <w:t xml:space="preserve">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 </w:t>
      </w:r>
    </w:p>
    <w:p>
      <w:pPr>
        <w:pStyle w:val="TextBody"/>
        <w:spacing w:before="240" w:after="0"/>
        <w:jc w:val="left"/>
        <w:rPr>
          <w:rFonts w:ascii="Times New Roman" w:hAnsi="Times New Roman"/>
          <w:sz w:val="20"/>
        </w:rPr>
      </w:pPr>
      <w:r>
        <w:rPr>
          <w:rFonts w:ascii="Times New Roman" w:hAnsi="Times New Roman"/>
          <w:sz w:val="20"/>
        </w:rPr>
        <w:t xml:space="preserve">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w:t>
      </w:r>
    </w:p>
    <w:p>
      <w:pPr>
        <w:pStyle w:val="TextBody"/>
        <w:spacing w:before="240" w:after="0"/>
        <w:jc w:val="left"/>
        <w:rPr>
          <w:rFonts w:ascii="Times New Roman" w:hAnsi="Times New Roman"/>
          <w:sz w:val="20"/>
        </w:rPr>
      </w:pPr>
      <w:r>
        <w:rPr>
          <w:rFonts w:ascii="Times New Roman" w:hAnsi="Times New Roman"/>
          <w:sz w:val="20"/>
        </w:rPr>
        <w:t xml:space="preserve">Non-U.S. holders are urged to consult their own tax advisors regarding their entitlement to benefits under a relevant income tax treaty and the specific methods available to them to satisfy these requirements. </w:t>
      </w:r>
    </w:p>
    <w:p>
      <w:pPr>
        <w:pStyle w:val="TextBody"/>
        <w:spacing w:before="240" w:after="0"/>
        <w:jc w:val="left"/>
        <w:rPr>
          <w:rFonts w:ascii="Times New Roman" w:hAnsi="Times New Roman"/>
          <w:sz w:val="20"/>
        </w:rPr>
      </w:pPr>
      <w:r>
        <w:rPr>
          <w:rFonts w:ascii="Times New Roman" w:hAnsi="Times New Roman"/>
          <w:sz w:val="20"/>
        </w:rPr>
        <w:t xml:space="preserve">A non-U.S. holder that is eligible for a reduced rate of U.S. withholding tax under an income tax treaty may obtain a refund or credit of any excess amounts withheld by timely filing an appropriate claim with the IRS.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Gain on Sale, Exchange or Other Taxable Disposition of Our Common Stock </w:t>
      </w:r>
    </w:p>
    <w:p>
      <w:pPr>
        <w:pStyle w:val="TextBody"/>
        <w:spacing w:before="120" w:after="0"/>
        <w:jc w:val="left"/>
        <w:rPr>
          <w:rFonts w:ascii="Times New Roman" w:hAnsi="Times New Roman"/>
          <w:sz w:val="20"/>
        </w:rPr>
      </w:pPr>
      <w:r>
        <w:rPr>
          <w:rFonts w:ascii="Times New Roman" w:hAnsi="Times New Roman"/>
          <w:sz w:val="20"/>
        </w:rPr>
        <w:t xml:space="preserve">Subject to the discussion below under the headings Information Reporting and Backup Withholding and FATCA, a non-U.S. holder generally will not be subject to U.S. federal income tax or withholding tax on any gain realized upon such non-U.S. holders sale, exchange or other disposition of our common stock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with respect to the gain, and, if the non-U.S. holder is a foreign corporation, an additional branch profits tax at a rate of 30% (or a lower rate as may be specified by an applicable income tax treaty between the United States and such holders country of residence) may also apply;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Generally, a corporation is a U.S. real property holding corporation only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 </w:t>
            </w:r>
          </w:p>
        </w:tc>
      </w:tr>
    </w:tbl>
    <w:p>
      <w:pPr>
        <w:pStyle w:val="TextBody"/>
        <w:spacing w:before="360" w:after="0"/>
        <w:jc w:val="left"/>
        <w:rPr>
          <w:rFonts w:ascii="Times New Roman" w:hAnsi="Times New Roman"/>
          <w:b/>
          <w:sz w:val="20"/>
        </w:rPr>
      </w:pPr>
      <w:r>
        <w:rPr>
          <w:rFonts w:ascii="Times New Roman" w:hAnsi="Times New Roman"/>
          <w:b/>
          <w:sz w:val="20"/>
        </w:rPr>
        <w:t xml:space="preserve">U.S. Federal Estate Tax </w:t>
      </w:r>
    </w:p>
    <w:p>
      <w:pPr>
        <w:pStyle w:val="TextBody"/>
        <w:spacing w:before="120" w:after="0"/>
        <w:jc w:val="left"/>
        <w:rPr>
          <w:rFonts w:ascii="Times New Roman" w:hAnsi="Times New Roman"/>
          <w:sz w:val="20"/>
        </w:rPr>
      </w:pPr>
      <w:r>
        <w:rPr>
          <w:rFonts w:ascii="Times New Roman" w:hAnsi="Times New Roman"/>
          <w:sz w:val="20"/>
        </w:rPr>
        <w:t xml:space="preserve">Shares of our common stock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 </w:t>
      </w:r>
    </w:p>
    <w:p>
      <w:pPr>
        <w:pStyle w:val="TextBody"/>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spacing w:before="120" w:after="0"/>
        <w:jc w:val="left"/>
        <w:rPr>
          <w:rFonts w:ascii="Times New Roman" w:hAnsi="Times New Roman"/>
          <w:sz w:val="20"/>
        </w:rPr>
      </w:pPr>
      <w:r>
        <w:rPr>
          <w:rFonts w:ascii="Times New Roman" w:hAnsi="Times New Roman"/>
          <w:sz w:val="20"/>
        </w:rPr>
        <w:t xml:space="preserve">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 </w:t>
      </w:r>
    </w:p>
    <w:p>
      <w:pPr>
        <w:pStyle w:val="TextBody"/>
        <w:spacing w:before="240" w:after="0"/>
        <w:jc w:val="left"/>
        <w:rPr>
          <w:rFonts w:ascii="Times New Roman" w:hAnsi="Times New Roman"/>
          <w:sz w:val="20"/>
        </w:rPr>
      </w:pPr>
      <w:r>
        <w:rPr>
          <w:rFonts w:ascii="Times New Roman" w:hAnsi="Times New Roman"/>
          <w:sz w:val="20"/>
        </w:rPr>
        <w:t xml:space="preserve">Copies of information returns may be made available to the tax authorities of the country in which the non-U.S. holder resides or is incorporated under the provisions of a specific treaty or agreement. </w:t>
      </w:r>
    </w:p>
    <w:p>
      <w:pPr>
        <w:pStyle w:val="TextBody"/>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 </w:t>
      </w:r>
    </w:p>
    <w:p>
      <w:pPr>
        <w:pStyle w:val="TextBody"/>
        <w:spacing w:before="360" w:after="0"/>
        <w:jc w:val="left"/>
        <w:rPr>
          <w:rFonts w:ascii="Times New Roman" w:hAnsi="Times New Roman"/>
          <w:b/>
          <w:sz w:val="20"/>
        </w:rPr>
      </w:pPr>
      <w:r>
        <w:rPr>
          <w:rFonts w:ascii="Times New Roman" w:hAnsi="Times New Roman"/>
          <w:b/>
          <w:sz w:val="20"/>
        </w:rPr>
        <w:t xml:space="preserve">FATCA </w:t>
      </w:r>
    </w:p>
    <w:p>
      <w:pPr>
        <w:pStyle w:val="TextBody"/>
        <w:spacing w:before="120" w:after="0"/>
        <w:jc w:val="left"/>
        <w:rPr>
          <w:rFonts w:ascii="Times New Roman" w:hAnsi="Times New Roman"/>
          <w:sz w:val="20"/>
        </w:rPr>
      </w:pPr>
      <w:r>
        <w:rPr>
          <w:rFonts w:ascii="Times New Roman" w:hAnsi="Times New Roman"/>
          <w:sz w:val="20"/>
        </w:rPr>
        <w:t xml:space="preserve">Provisions of the Code commonly referred to as the Foreign Account Tax Compliance Act, or FATCA, generally impose a 30%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under FATCA. </w:t>
      </w:r>
    </w:p>
    <w:p>
      <w:pPr>
        <w:pStyle w:val="TextBody"/>
        <w:spacing w:before="240" w:after="0"/>
        <w:jc w:val="left"/>
        <w:rPr>
          <w:rFonts w:ascii="Times New Roman" w:hAnsi="Times New Roman"/>
          <w:sz w:val="20"/>
        </w:rPr>
      </w:pPr>
      <w:r>
        <w:rPr>
          <w:rFonts w:ascii="Times New Roman" w:hAnsi="Times New Roman"/>
          <w:sz w:val="20"/>
        </w:rPr>
        <w:t xml:space="preserve">Withholding under FATCA generally applies to payments of dividends on our common stock. While withholding under FATCA may also apply to payments of gross proceeds from a sale or other disposition of our common stock, under proposed U.S. Treasury Regulations, withholding on payments of gross proceeds is not required. Although such proposed regulations are not final, applicable withholding agents may rely on the proposed regulations until final regulations are issued. </w:t>
      </w:r>
    </w:p>
    <w:p>
      <w:pPr>
        <w:pStyle w:val="TextBody"/>
        <w:spacing w:before="240" w:after="0"/>
        <w:jc w:val="left"/>
        <w:rPr>
          <w:rFonts w:ascii="Times New Roman" w:hAnsi="Times New Roman"/>
          <w:sz w:val="20"/>
        </w:rPr>
      </w:pPr>
      <w:r>
        <w:rPr>
          <w:rFonts w:ascii="Times New Roman" w:hAnsi="Times New Roman"/>
          <w:sz w:val="20"/>
        </w:rPr>
        <w:t xml:space="preserve">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 </w:t>
      </w:r>
    </w:p>
    <w:p>
      <w:pPr>
        <w:pStyle w:val="TextBody"/>
        <w:spacing w:before="240" w:after="0"/>
        <w:jc w:val="left"/>
        <w:rPr>
          <w:rFonts w:ascii="Times New Roman" w:hAnsi="Times New Roman"/>
          <w:b/>
          <w:sz w:val="20"/>
        </w:rPr>
      </w:pPr>
      <w:r>
        <w:rPr>
          <w:rFonts w:ascii="Times New Roman" w:hAnsi="Times New Roman"/>
          <w:b/>
          <w:sz w:val="20"/>
        </w:rPr>
        <w:t xml:space="preserve">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suprom207524_9"/>
      <w:bookmarkEnd w:id="11"/>
      <w:r>
        <w:rPr>
          <w:rFonts w:ascii="Times New Roman" w:hAnsi="Times New Roman"/>
          <w:b/>
          <w:sz w:val="20"/>
        </w:rPr>
        <w:t xml:space="preserve">UNDERWRITING </w:t>
      </w:r>
    </w:p>
    <w:p>
      <w:pPr>
        <w:pStyle w:val="TextBody"/>
        <w:spacing w:before="240" w:after="0"/>
        <w:jc w:val="left"/>
        <w:rPr>
          <w:rFonts w:ascii="Times New Roman" w:hAnsi="Times New Roman"/>
          <w:sz w:val="20"/>
        </w:rPr>
      </w:pPr>
      <w:r>
        <w:rPr>
          <w:rFonts w:ascii="Times New Roman" w:hAnsi="Times New Roman"/>
          <w:sz w:val="20"/>
        </w:rPr>
        <w:t xml:space="preserve">SVB Leerink LLC, Piper Sandler &amp; Co. and Stifel, Nicolaus &amp; Company, Incorporated are acting as the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370"/>
        <w:gridCol w:w="606"/>
        <w:gridCol w:w="108"/>
        <w:gridCol w:w="1793"/>
        <w:gridCol w:w="62"/>
      </w:tblGrid>
      <w:tr>
        <w:trPr/>
        <w:tc>
          <w:tcPr>
            <w:tcW w:w="437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793"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437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Underwriter</w:t>
            </w:r>
          </w:p>
        </w:tc>
        <w:tc>
          <w:tcPr>
            <w:tcW w:w="606" w:type="dxa"/>
            <w:tcBorders/>
            <w:shd w:fill="auto" w:val="clear"/>
            <w:vAlign w:val="bottom"/>
          </w:tcPr>
          <w:p>
            <w:pPr>
              <w:pStyle w:val="TableContents"/>
              <w:spacing w:before="0" w:after="283"/>
              <w:rPr/>
            </w:pPr>
            <w:r>
              <w:rPr/>
              <w:t>  </w:t>
            </w:r>
          </w:p>
        </w:tc>
        <w:tc>
          <w:tcPr>
            <w:tcW w:w="19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w:t>
            </w:r>
          </w:p>
        </w:tc>
        <w:tc>
          <w:tcPr>
            <w:tcW w:w="62" w:type="dxa"/>
            <w:tcBorders/>
            <w:shd w:fill="auto" w:val="clear"/>
            <w:vAlign w:val="bottom"/>
          </w:tcPr>
          <w:p>
            <w:pPr>
              <w:pStyle w:val="TableContents"/>
              <w:spacing w:before="0" w:after="283"/>
              <w:rPr/>
            </w:pPr>
            <w:r>
              <w:rPr/>
              <w:t> </w:t>
            </w:r>
          </w:p>
        </w:tc>
      </w:tr>
      <w:tr>
        <w:trPr/>
        <w:tc>
          <w:tcPr>
            <w:tcW w:w="4370" w:type="dxa"/>
            <w:tcBorders/>
            <w:shd w:fill="CCEEFF" w:val="clear"/>
          </w:tcPr>
          <w:p>
            <w:pPr>
              <w:pStyle w:val="TableContents"/>
              <w:spacing w:before="0" w:after="0"/>
              <w:rPr>
                <w:rFonts w:ascii="Times New Roman" w:hAnsi="Times New Roman"/>
                <w:sz w:val="20"/>
              </w:rPr>
            </w:pPr>
            <w:r>
              <w:rPr>
                <w:rFonts w:ascii="Times New Roman" w:hAnsi="Times New Roman"/>
                <w:sz w:val="20"/>
              </w:rPr>
              <w:t>SVB Leerink LLC</w:t>
            </w:r>
          </w:p>
        </w:tc>
        <w:tc>
          <w:tcPr>
            <w:tcW w:w="606"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793" w:type="dxa"/>
            <w:tcBorders/>
            <w:shd w:fill="CCEEFF" w:val="clear"/>
            <w:vAlign w:val="bottom"/>
          </w:tcPr>
          <w:p>
            <w:pPr>
              <w:pStyle w:val="TableContents"/>
              <w:spacing w:before="0" w:after="283"/>
              <w:jc w:val="right"/>
              <w:rPr/>
            </w:pPr>
            <w:r>
              <w:rPr/>
              <w:t>2,376,000</w:t>
            </w:r>
          </w:p>
        </w:tc>
        <w:tc>
          <w:tcPr>
            <w:tcW w:w="62" w:type="dxa"/>
            <w:tcBorders/>
            <w:shd w:fill="CCEEFF" w:val="clear"/>
            <w:vAlign w:val="bottom"/>
          </w:tcPr>
          <w:p>
            <w:pPr>
              <w:pStyle w:val="TableContents"/>
              <w:spacing w:before="0" w:after="283"/>
              <w:rPr/>
            </w:pPr>
            <w:r>
              <w:rPr/>
              <w:t> </w:t>
            </w:r>
          </w:p>
        </w:tc>
      </w:tr>
      <w:tr>
        <w:trPr/>
        <w:tc>
          <w:tcPr>
            <w:tcW w:w="4370" w:type="dxa"/>
            <w:tcBorders/>
            <w:shd w:fill="auto" w:val="clear"/>
          </w:tcPr>
          <w:p>
            <w:pPr>
              <w:pStyle w:val="TableContents"/>
              <w:spacing w:before="0" w:after="0"/>
              <w:rPr>
                <w:rFonts w:ascii="Times New Roman" w:hAnsi="Times New Roman"/>
                <w:sz w:val="20"/>
              </w:rPr>
            </w:pPr>
            <w:r>
              <w:rPr>
                <w:rFonts w:ascii="Times New Roman" w:hAnsi="Times New Roman"/>
                <w:sz w:val="20"/>
              </w:rPr>
              <w:t>Piper Sandler &amp; Co.</w:t>
            </w:r>
          </w:p>
        </w:tc>
        <w:tc>
          <w:tcPr>
            <w:tcW w:w="60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93" w:type="dxa"/>
            <w:tcBorders/>
            <w:shd w:fill="auto" w:val="clear"/>
            <w:vAlign w:val="bottom"/>
          </w:tcPr>
          <w:p>
            <w:pPr>
              <w:pStyle w:val="TableContents"/>
              <w:spacing w:before="0" w:after="283"/>
              <w:jc w:val="right"/>
              <w:rPr/>
            </w:pPr>
            <w:r>
              <w:rPr/>
              <w:t>2,046,000</w:t>
            </w:r>
          </w:p>
        </w:tc>
        <w:tc>
          <w:tcPr>
            <w:tcW w:w="62" w:type="dxa"/>
            <w:tcBorders/>
            <w:shd w:fill="auto" w:val="clear"/>
            <w:vAlign w:val="bottom"/>
          </w:tcPr>
          <w:p>
            <w:pPr>
              <w:pStyle w:val="TableContents"/>
              <w:spacing w:before="0" w:after="283"/>
              <w:rPr/>
            </w:pPr>
            <w:r>
              <w:rPr/>
              <w:t> </w:t>
            </w:r>
          </w:p>
        </w:tc>
      </w:tr>
      <w:tr>
        <w:trPr/>
        <w:tc>
          <w:tcPr>
            <w:tcW w:w="4370" w:type="dxa"/>
            <w:tcBorders/>
            <w:shd w:fill="CCEEFF" w:val="clear"/>
          </w:tcPr>
          <w:p>
            <w:pPr>
              <w:pStyle w:val="TableContents"/>
              <w:spacing w:before="0" w:after="0"/>
              <w:rPr>
                <w:rFonts w:ascii="Times New Roman" w:hAnsi="Times New Roman"/>
                <w:sz w:val="20"/>
              </w:rPr>
            </w:pPr>
            <w:r>
              <w:rPr>
                <w:rFonts w:ascii="Times New Roman" w:hAnsi="Times New Roman"/>
                <w:sz w:val="20"/>
              </w:rPr>
              <w:t>Stifel, Nicolaus &amp; Company, Incorporated</w:t>
            </w:r>
          </w:p>
        </w:tc>
        <w:tc>
          <w:tcPr>
            <w:tcW w:w="606"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793" w:type="dxa"/>
            <w:tcBorders/>
            <w:shd w:fill="CCEEFF" w:val="clear"/>
            <w:vAlign w:val="bottom"/>
          </w:tcPr>
          <w:p>
            <w:pPr>
              <w:pStyle w:val="TableContents"/>
              <w:spacing w:before="0" w:after="283"/>
              <w:jc w:val="right"/>
              <w:rPr/>
            </w:pPr>
            <w:r>
              <w:rPr/>
              <w:t>1,914,000</w:t>
            </w:r>
          </w:p>
        </w:tc>
        <w:tc>
          <w:tcPr>
            <w:tcW w:w="62" w:type="dxa"/>
            <w:tcBorders/>
            <w:shd w:fill="CCEEFF" w:val="clear"/>
            <w:vAlign w:val="bottom"/>
          </w:tcPr>
          <w:p>
            <w:pPr>
              <w:pStyle w:val="TableContents"/>
              <w:spacing w:before="0" w:after="283"/>
              <w:rPr/>
            </w:pPr>
            <w:r>
              <w:rPr/>
              <w:t> </w:t>
            </w:r>
          </w:p>
        </w:tc>
      </w:tr>
      <w:tr>
        <w:trPr/>
        <w:tc>
          <w:tcPr>
            <w:tcW w:w="4370" w:type="dxa"/>
            <w:tcBorders/>
            <w:shd w:fill="auto" w:val="clear"/>
          </w:tcPr>
          <w:p>
            <w:pPr>
              <w:pStyle w:val="TableContents"/>
              <w:spacing w:before="0" w:after="0"/>
              <w:rPr>
                <w:rFonts w:ascii="Times New Roman" w:hAnsi="Times New Roman"/>
                <w:sz w:val="20"/>
              </w:rPr>
            </w:pPr>
            <w:r>
              <w:rPr>
                <w:rFonts w:ascii="Times New Roman" w:hAnsi="Times New Roman"/>
                <w:sz w:val="20"/>
              </w:rPr>
              <w:t>H.C. Wainwright &amp; Co., LLC</w:t>
            </w:r>
          </w:p>
        </w:tc>
        <w:tc>
          <w:tcPr>
            <w:tcW w:w="60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793" w:type="dxa"/>
            <w:tcBorders/>
            <w:shd w:fill="auto" w:val="clear"/>
            <w:vAlign w:val="bottom"/>
          </w:tcPr>
          <w:p>
            <w:pPr>
              <w:pStyle w:val="TableContents"/>
              <w:spacing w:before="0" w:after="283"/>
              <w:jc w:val="right"/>
              <w:rPr/>
            </w:pPr>
            <w:r>
              <w:rPr/>
              <w:t>264,000</w:t>
            </w:r>
          </w:p>
        </w:tc>
        <w:tc>
          <w:tcPr>
            <w:tcW w:w="62" w:type="dxa"/>
            <w:tcBorders/>
            <w:shd w:fill="auto" w:val="clear"/>
            <w:vAlign w:val="bottom"/>
          </w:tcPr>
          <w:p>
            <w:pPr>
              <w:pStyle w:val="TableContents"/>
              <w:spacing w:before="0" w:after="283"/>
              <w:rPr/>
            </w:pPr>
            <w:r>
              <w:rPr/>
              <w:t> </w:t>
            </w:r>
          </w:p>
        </w:tc>
      </w:tr>
      <w:tr>
        <w:trPr/>
        <w:tc>
          <w:tcPr>
            <w:tcW w:w="4370" w:type="dxa"/>
            <w:tcBorders/>
            <w:shd w:fill="auto" w:val="clear"/>
            <w:vAlign w:val="bottom"/>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pBdr>
                <w:top w:val="single" w:sz="2" w:space="1" w:color="000000"/>
              </w:pBdr>
              <w:spacing w:before="0" w:after="0"/>
              <w:rPr/>
            </w:pPr>
            <w:r>
              <w:rPr/>
              <w:t> </w:t>
            </w:r>
          </w:p>
        </w:tc>
        <w:tc>
          <w:tcPr>
            <w:tcW w:w="1793" w:type="dxa"/>
            <w:tcBorders/>
            <w:shd w:fill="auto" w:val="clear"/>
            <w:vAlign w:val="bottom"/>
          </w:tcPr>
          <w:p>
            <w:pPr>
              <w:pStyle w:val="TableContents"/>
              <w:pBdr>
                <w:top w:val="single" w:sz="2"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r>
        <w:trPr>
          <w:trHeight w:val="120" w:hRule="atLeast"/>
        </w:trPr>
        <w:tc>
          <w:tcPr>
            <w:tcW w:w="4370" w:type="dxa"/>
            <w:tcBorders/>
            <w:shd w:fill="auto" w:val="clear"/>
            <w:vAlign w:val="center"/>
          </w:tcPr>
          <w:p>
            <w:pPr>
              <w:pStyle w:val="TableContents"/>
              <w:spacing w:before="0" w:after="283"/>
              <w:rPr>
                <w:sz w:val="4"/>
                <w:szCs w:val="4"/>
              </w:rPr>
            </w:pPr>
            <w:r>
              <w:rPr>
                <w:sz w:val="4"/>
                <w:szCs w:val="4"/>
              </w:rPr>
            </w:r>
          </w:p>
        </w:tc>
        <w:tc>
          <w:tcPr>
            <w:tcW w:w="2569" w:type="dxa"/>
            <w:gridSpan w:val="4"/>
            <w:tcBorders/>
            <w:shd w:fill="auto" w:val="clear"/>
            <w:vAlign w:val="center"/>
          </w:tcPr>
          <w:p>
            <w:pPr>
              <w:pStyle w:val="TableContents"/>
              <w:spacing w:before="0" w:after="283"/>
              <w:rPr>
                <w:sz w:val="4"/>
                <w:szCs w:val="4"/>
              </w:rPr>
            </w:pPr>
            <w:r>
              <w:rPr>
                <w:sz w:val="4"/>
                <w:szCs w:val="4"/>
              </w:rPr>
            </w:r>
          </w:p>
        </w:tc>
      </w:tr>
      <w:tr>
        <w:trPr/>
        <w:tc>
          <w:tcPr>
            <w:tcW w:w="4370"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606"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1793" w:type="dxa"/>
            <w:tcBorders/>
            <w:shd w:fill="CCEEFF" w:val="clear"/>
            <w:vAlign w:val="bottom"/>
          </w:tcPr>
          <w:p>
            <w:pPr>
              <w:pStyle w:val="TableContents"/>
              <w:spacing w:before="0" w:after="283"/>
              <w:jc w:val="right"/>
              <w:rPr/>
            </w:pPr>
            <w:r>
              <w:rPr/>
              <w:t>6,600,000</w:t>
            </w:r>
          </w:p>
        </w:tc>
        <w:tc>
          <w:tcPr>
            <w:tcW w:w="62" w:type="dxa"/>
            <w:tcBorders/>
            <w:shd w:fill="CCEEFF" w:val="clear"/>
            <w:vAlign w:val="bottom"/>
          </w:tcPr>
          <w:p>
            <w:pPr>
              <w:pStyle w:val="TableContents"/>
              <w:spacing w:before="0" w:after="283"/>
              <w:rPr/>
            </w:pPr>
            <w:r>
              <w:rPr/>
              <w:t> </w:t>
            </w:r>
          </w:p>
        </w:tc>
      </w:tr>
      <w:tr>
        <w:trPr/>
        <w:tc>
          <w:tcPr>
            <w:tcW w:w="4370" w:type="dxa"/>
            <w:tcBorders/>
            <w:shd w:fill="auto" w:val="clear"/>
            <w:vAlign w:val="bottom"/>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pBdr>
                <w:top w:val="double" w:sz="6" w:space="1" w:color="000000"/>
              </w:pBdr>
              <w:spacing w:before="0" w:after="0"/>
              <w:rPr/>
            </w:pPr>
            <w:r>
              <w:rPr/>
              <w:t> </w:t>
            </w:r>
          </w:p>
        </w:tc>
        <w:tc>
          <w:tcPr>
            <w:tcW w:w="1793" w:type="dxa"/>
            <w:tcBorders/>
            <w:shd w:fill="auto" w:val="clear"/>
            <w:vAlign w:val="bottom"/>
          </w:tcPr>
          <w:p>
            <w:pPr>
              <w:pStyle w:val="TableContents"/>
              <w:pBdr>
                <w:top w:val="double" w:sz="6" w:space="1" w:color="000000"/>
              </w:pBdr>
              <w:spacing w:before="0" w:after="0"/>
              <w:rPr/>
            </w:pPr>
            <w:r>
              <w:rPr/>
              <w:t> </w:t>
            </w:r>
          </w:p>
        </w:tc>
        <w:tc>
          <w:tcPr>
            <w:tcW w:w="62"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 </w:t>
      </w:r>
    </w:p>
    <w:p>
      <w:pPr>
        <w:pStyle w:val="TextBody"/>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spacing w:before="360" w:after="0"/>
        <w:jc w:val="left"/>
        <w:rPr>
          <w:rFonts w:ascii="Times New Roman" w:hAnsi="Times New Roman"/>
          <w:b/>
          <w:sz w:val="20"/>
        </w:rPr>
      </w:pPr>
      <w:r>
        <w:rPr>
          <w:rFonts w:ascii="Times New Roman" w:hAnsi="Times New Roman"/>
          <w:b/>
          <w:sz w:val="20"/>
        </w:rPr>
        <w:t xml:space="preserve">Discounts and Commissions </w:t>
      </w:r>
    </w:p>
    <w:p>
      <w:pPr>
        <w:pStyle w:val="TextBody"/>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shares to the public at the public offering price set forth on the cover page of this prospectus supplement and to dealers at that price less a concession not in excess of $0.6840 per share. After the initial offering of the shares, the public offering price, concession or any other term of this offering may be changed by the representatives. </w:t>
      </w:r>
    </w:p>
    <w:p>
      <w:pPr>
        <w:pStyle w:val="TextBody"/>
        <w:spacing w:before="240" w:after="0"/>
        <w:jc w:val="left"/>
        <w:rPr>
          <w:rFonts w:ascii="Times New Roman" w:hAnsi="Times New Roman"/>
          <w:sz w:val="20"/>
        </w:rPr>
      </w:pPr>
      <w:r>
        <w:rPr>
          <w:rFonts w:ascii="Times New Roman" w:hAnsi="Times New Roman"/>
          <w:sz w:val="20"/>
        </w:rPr>
        <w:t xml:space="preserve">The following table shows the public offering price, underwriting discounts and commissions and proceeds, before expenses, to us. The information assumes either no exercise or full exercise by the underwriters of their option to purchase additional shares of our common stock.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714"/>
        <w:gridCol w:w="342"/>
        <w:gridCol w:w="140"/>
        <w:gridCol w:w="561"/>
        <w:gridCol w:w="60"/>
        <w:gridCol w:w="342"/>
        <w:gridCol w:w="140"/>
        <w:gridCol w:w="1242"/>
        <w:gridCol w:w="60"/>
        <w:gridCol w:w="342"/>
        <w:gridCol w:w="140"/>
        <w:gridCol w:w="1242"/>
        <w:gridCol w:w="63"/>
      </w:tblGrid>
      <w:tr>
        <w:trPr/>
        <w:tc>
          <w:tcPr>
            <w:tcW w:w="4714"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714"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701"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316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3" w:type="dxa"/>
            <w:tcBorders/>
            <w:shd w:fill="auto" w:val="clear"/>
            <w:vAlign w:val="bottom"/>
          </w:tcPr>
          <w:p>
            <w:pPr>
              <w:pStyle w:val="TableContents"/>
              <w:spacing w:before="0" w:after="283"/>
              <w:rPr/>
            </w:pPr>
            <w:r>
              <w:rPr/>
              <w:t> </w:t>
            </w:r>
          </w:p>
        </w:tc>
      </w:tr>
      <w:tr>
        <w:trPr/>
        <w:tc>
          <w:tcPr>
            <w:tcW w:w="4714"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7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w:t>
              <w:br/>
              <w:t>Share</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Without</w:t>
              <w:br/>
              <w:t>Option</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38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With</w:t>
              <w:br/>
              <w:t>Option</w:t>
            </w:r>
          </w:p>
        </w:tc>
        <w:tc>
          <w:tcPr>
            <w:tcW w:w="63" w:type="dxa"/>
            <w:tcBorders/>
            <w:shd w:fill="auto" w:val="clear"/>
            <w:vAlign w:val="bottom"/>
          </w:tcPr>
          <w:p>
            <w:pPr>
              <w:pStyle w:val="TableContents"/>
              <w:spacing w:before="0" w:after="283"/>
              <w:rPr/>
            </w:pPr>
            <w:r>
              <w:rPr/>
              <w:t> </w:t>
            </w:r>
          </w:p>
        </w:tc>
      </w:tr>
      <w:tr>
        <w:trPr/>
        <w:tc>
          <w:tcPr>
            <w:tcW w:w="4714" w:type="dxa"/>
            <w:tcBorders/>
            <w:shd w:fill="CCEEFF" w:val="clear"/>
          </w:tcPr>
          <w:p>
            <w:pPr>
              <w:pStyle w:val="TableContents"/>
              <w:spacing w:before="0" w:after="0"/>
              <w:rPr>
                <w:rFonts w:ascii="Times New Roman" w:hAnsi="Times New Roman"/>
                <w:sz w:val="20"/>
              </w:rPr>
            </w:pPr>
            <w:r>
              <w:rPr>
                <w:rFonts w:ascii="Times New Roman" w:hAnsi="Times New Roman"/>
                <w:sz w:val="20"/>
              </w:rPr>
              <w:t>Public offering price</w:t>
            </w:r>
          </w:p>
        </w:tc>
        <w:tc>
          <w:tcPr>
            <w:tcW w:w="3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1" w:type="dxa"/>
            <w:tcBorders/>
            <w:shd w:fill="CCEEFF" w:val="clear"/>
            <w:vAlign w:val="bottom"/>
          </w:tcPr>
          <w:p>
            <w:pPr>
              <w:pStyle w:val="TableContents"/>
              <w:spacing w:before="0" w:after="283"/>
              <w:jc w:val="right"/>
              <w:rPr/>
            </w:pPr>
            <w:r>
              <w:rPr/>
              <w:t>19.00</w:t>
            </w:r>
          </w:p>
        </w:tc>
        <w:tc>
          <w:tcPr>
            <w:tcW w:w="6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42" w:type="dxa"/>
            <w:tcBorders/>
            <w:shd w:fill="CCEEFF" w:val="clear"/>
            <w:vAlign w:val="bottom"/>
          </w:tcPr>
          <w:p>
            <w:pPr>
              <w:pStyle w:val="TableContents"/>
              <w:spacing w:before="0" w:after="283"/>
              <w:jc w:val="right"/>
              <w:rPr/>
            </w:pPr>
            <w:r>
              <w:rPr/>
              <w:t>125,400,000</w:t>
            </w:r>
          </w:p>
        </w:tc>
        <w:tc>
          <w:tcPr>
            <w:tcW w:w="6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42" w:type="dxa"/>
            <w:tcBorders/>
            <w:shd w:fill="CCEEFF" w:val="clear"/>
            <w:vAlign w:val="bottom"/>
          </w:tcPr>
          <w:p>
            <w:pPr>
              <w:pStyle w:val="TableContents"/>
              <w:spacing w:before="0" w:after="283"/>
              <w:jc w:val="right"/>
              <w:rPr/>
            </w:pPr>
            <w:r>
              <w:rPr/>
              <w:t>144,210,000</w:t>
            </w:r>
          </w:p>
        </w:tc>
        <w:tc>
          <w:tcPr>
            <w:tcW w:w="63" w:type="dxa"/>
            <w:tcBorders/>
            <w:shd w:fill="CCEEFF" w:val="clear"/>
            <w:vAlign w:val="bottom"/>
          </w:tcPr>
          <w:p>
            <w:pPr>
              <w:pStyle w:val="TableContents"/>
              <w:spacing w:before="0" w:after="283"/>
              <w:rPr/>
            </w:pPr>
            <w:r>
              <w:rPr/>
              <w:t> </w:t>
            </w:r>
          </w:p>
        </w:tc>
      </w:tr>
      <w:tr>
        <w:trPr/>
        <w:tc>
          <w:tcPr>
            <w:tcW w:w="4714" w:type="dxa"/>
            <w:tcBorders/>
            <w:shd w:fill="auto" w:val="clear"/>
          </w:tcPr>
          <w:p>
            <w:pPr>
              <w:pStyle w:val="TableContents"/>
              <w:spacing w:before="0" w:after="0"/>
              <w:rPr>
                <w:rFonts w:ascii="Times New Roman" w:hAnsi="Times New Roman"/>
                <w:sz w:val="20"/>
              </w:rPr>
            </w:pPr>
            <w:r>
              <w:rPr>
                <w:rFonts w:ascii="Times New Roman" w:hAnsi="Times New Roman"/>
                <w:sz w:val="20"/>
              </w:rPr>
              <w:t>Underwriting discounts and commissions</w:t>
            </w:r>
          </w:p>
        </w:tc>
        <w:tc>
          <w:tcPr>
            <w:tcW w:w="3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61" w:type="dxa"/>
            <w:tcBorders/>
            <w:shd w:fill="auto" w:val="clear"/>
            <w:vAlign w:val="bottom"/>
          </w:tcPr>
          <w:p>
            <w:pPr>
              <w:pStyle w:val="TableContents"/>
              <w:spacing w:before="0" w:after="283"/>
              <w:jc w:val="right"/>
              <w:rPr/>
            </w:pPr>
            <w:r>
              <w:rPr/>
              <w:t>1.14</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42" w:type="dxa"/>
            <w:tcBorders/>
            <w:shd w:fill="auto" w:val="clear"/>
            <w:vAlign w:val="bottom"/>
          </w:tcPr>
          <w:p>
            <w:pPr>
              <w:pStyle w:val="TableContents"/>
              <w:spacing w:before="0" w:after="283"/>
              <w:jc w:val="right"/>
              <w:rPr/>
            </w:pPr>
            <w:r>
              <w:rPr/>
              <w:t>7,524,000</w:t>
            </w:r>
          </w:p>
        </w:tc>
        <w:tc>
          <w:tcPr>
            <w:tcW w:w="60"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242" w:type="dxa"/>
            <w:tcBorders/>
            <w:shd w:fill="auto" w:val="clear"/>
            <w:vAlign w:val="bottom"/>
          </w:tcPr>
          <w:p>
            <w:pPr>
              <w:pStyle w:val="TableContents"/>
              <w:spacing w:before="0" w:after="283"/>
              <w:jc w:val="right"/>
              <w:rPr/>
            </w:pPr>
            <w:r>
              <w:rPr/>
              <w:t>8,652,600</w:t>
            </w:r>
          </w:p>
        </w:tc>
        <w:tc>
          <w:tcPr>
            <w:tcW w:w="63" w:type="dxa"/>
            <w:tcBorders/>
            <w:shd w:fill="auto" w:val="clear"/>
            <w:vAlign w:val="bottom"/>
          </w:tcPr>
          <w:p>
            <w:pPr>
              <w:pStyle w:val="TableContents"/>
              <w:spacing w:before="0" w:after="283"/>
              <w:rPr/>
            </w:pPr>
            <w:r>
              <w:rPr/>
              <w:t> </w:t>
            </w:r>
          </w:p>
        </w:tc>
      </w:tr>
      <w:tr>
        <w:trPr/>
        <w:tc>
          <w:tcPr>
            <w:tcW w:w="4714" w:type="dxa"/>
            <w:tcBorders/>
            <w:shd w:fill="CCEEFF" w:val="clear"/>
          </w:tcPr>
          <w:p>
            <w:pPr>
              <w:pStyle w:val="TableContents"/>
              <w:spacing w:before="0" w:after="0"/>
              <w:rPr>
                <w:rFonts w:ascii="Times New Roman" w:hAnsi="Times New Roman"/>
                <w:sz w:val="20"/>
              </w:rPr>
            </w:pPr>
            <w:r>
              <w:rPr>
                <w:rFonts w:ascii="Times New Roman" w:hAnsi="Times New Roman"/>
                <w:sz w:val="20"/>
              </w:rPr>
              <w:t>Proceeds, before expenses, to us</w:t>
            </w:r>
          </w:p>
        </w:tc>
        <w:tc>
          <w:tcPr>
            <w:tcW w:w="3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61" w:type="dxa"/>
            <w:tcBorders/>
            <w:shd w:fill="CCEEFF" w:val="clear"/>
            <w:vAlign w:val="bottom"/>
          </w:tcPr>
          <w:p>
            <w:pPr>
              <w:pStyle w:val="TableContents"/>
              <w:spacing w:before="0" w:after="283"/>
              <w:jc w:val="right"/>
              <w:rPr/>
            </w:pPr>
            <w:r>
              <w:rPr/>
              <w:t>17.86</w:t>
            </w:r>
          </w:p>
        </w:tc>
        <w:tc>
          <w:tcPr>
            <w:tcW w:w="6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42" w:type="dxa"/>
            <w:tcBorders/>
            <w:shd w:fill="CCEEFF" w:val="clear"/>
            <w:vAlign w:val="bottom"/>
          </w:tcPr>
          <w:p>
            <w:pPr>
              <w:pStyle w:val="TableContents"/>
              <w:spacing w:before="0" w:after="283"/>
              <w:jc w:val="right"/>
              <w:rPr/>
            </w:pPr>
            <w:r>
              <w:rPr/>
              <w:t>117,876,000</w:t>
            </w:r>
          </w:p>
        </w:tc>
        <w:tc>
          <w:tcPr>
            <w:tcW w:w="60"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242" w:type="dxa"/>
            <w:tcBorders/>
            <w:shd w:fill="CCEEFF" w:val="clear"/>
            <w:vAlign w:val="bottom"/>
          </w:tcPr>
          <w:p>
            <w:pPr>
              <w:pStyle w:val="TableContents"/>
              <w:spacing w:before="0" w:after="283"/>
              <w:jc w:val="right"/>
              <w:rPr/>
            </w:pPr>
            <w:r>
              <w:rPr/>
              <w:t>135,557,400</w:t>
            </w:r>
          </w:p>
        </w:tc>
        <w:tc>
          <w:tcPr>
            <w:tcW w:w="63"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$200,000. We also have agreed to reimburse the underwriters for up to $10,000 for their FINRA counsel fee. In accordance with FINRA Rule 5110, this reimbursed fee is deemed underwriting compensation for this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Option to Purchase Additional Shares </w:t>
      </w:r>
    </w:p>
    <w:p>
      <w:pPr>
        <w:pStyle w:val="TextBody"/>
        <w:spacing w:before="120" w:after="0"/>
        <w:jc w:val="left"/>
        <w:rPr>
          <w:rFonts w:ascii="Times New Roman" w:hAnsi="Times New Roman"/>
          <w:sz w:val="20"/>
        </w:rPr>
      </w:pPr>
      <w:r>
        <w:rPr>
          <w:rFonts w:ascii="Times New Roman" w:hAnsi="Times New Roman"/>
          <w:sz w:val="20"/>
        </w:rPr>
        <w:t xml:space="preserve">We have granted an option to the underwriters, exercisable for 30 days after the date of this prospectus supplement, to purchase up to 990,000 additional shares at the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 </w:t>
      </w:r>
    </w:p>
    <w:p>
      <w:pPr>
        <w:pStyle w:val="TextBody"/>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spacing w:before="120" w:after="0"/>
        <w:jc w:val="left"/>
        <w:rPr>
          <w:rFonts w:ascii="Times New Roman" w:hAnsi="Times New Roman"/>
          <w:sz w:val="20"/>
        </w:rPr>
      </w:pPr>
      <w:r>
        <w:rPr>
          <w:rFonts w:ascii="Times New Roman" w:hAnsi="Times New Roman"/>
          <w:sz w:val="20"/>
        </w:rPr>
        <w:t xml:space="preserve">We, our executive officers and directors and certain of our other existing security holders have agreed not to sell or transfer any common stock or securities convertible into or exchangeable or exercisable for common stock, for 60 days after the date of this prospectus supplement without first obtaining the written consent of SVB Leerink LLC, Piper Sandler &amp; Co. and Stifel, Nicolaus &amp; Company, Incorporated on behalf of the underwriters. Specifically, we and these other persons have agreed, with certain limited exceptions, not to directly or indirectly: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file, or demand filing of, any registration statement with the SEC relating to the offering of any shares of common stock or any securities convertible into or exercisable or exchangeable for common stock;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enter into any swap or other arrangement that transfers to another, in whole or in part, any of the economic consequences of ownership of the common stock, </w:t>
            </w:r>
          </w:p>
        </w:tc>
      </w:tr>
    </w:tbl>
    <w:p>
      <w:pPr>
        <w:pStyle w:val="TextBody"/>
        <w:spacing w:before="240" w:after="0"/>
        <w:jc w:val="left"/>
        <w:rPr>
          <w:rFonts w:ascii="Times New Roman" w:hAnsi="Times New Roman"/>
          <w:sz w:val="20"/>
        </w:rPr>
      </w:pPr>
      <w:r>
        <w:rPr>
          <w:rFonts w:ascii="Times New Roman" w:hAnsi="Times New Roman"/>
          <w:sz w:val="20"/>
        </w:rPr>
        <w:t xml:space="preserve">whether any such transaction described above is to be settled by delivery of common stock or such other securities, in cash or otherwise. In addition, we and each such person agrees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 </w:t>
      </w:r>
    </w:p>
    <w:p>
      <w:pPr>
        <w:pStyle w:val="TextBody"/>
        <w:spacing w:before="240" w:after="0"/>
        <w:jc w:val="left"/>
        <w:rPr>
          <w:rFonts w:ascii="Times New Roman" w:hAnsi="Times New Roman"/>
          <w:sz w:val="20"/>
        </w:rPr>
      </w:pPr>
      <w:r>
        <w:rPr>
          <w:rFonts w:ascii="Times New Roman" w:hAnsi="Times New Roman"/>
          <w:sz w:val="20"/>
        </w:rPr>
        <w:t xml:space="preserve">The restrictions on transfers or other dispositions by holders of our outstanding securities described in the immediately preceding paragraph do not apply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of shares of common stock or any security convertible into or exercisable or exchangeable for common stock as a bona fide gift or gifts, or to a charitable organization or educational institution in a transaction not involving a disposition for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of shares of common stock or any security convertible into or exercisable or exchangeable for common stock to any member of the immediate family of the signatory or any trust for the direct or indirect benefit of the signatory or the immediate family of the signatory in a transaction not involving a disposition for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of shares of common stock or any security convertible into or exercisable or exchangeable for common stock (i) by will, other testamentary document or intestate succession to the legal representative, heir, beneficiary or a member of the immediate family of the signatory upon the death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5"/>
        <w:gridCol w:w="9290"/>
      </w:tblGrid>
      <w:tr>
        <w:trPr/>
        <w:tc>
          <w:tcPr>
            <w:tcW w:w="915" w:type="dxa"/>
            <w:tcBorders/>
            <w:shd w:fill="auto" w:val="clear"/>
            <w:vAlign w:val="center"/>
          </w:tcPr>
          <w:p>
            <w:pPr>
              <w:pStyle w:val="TableContents"/>
              <w:spacing w:before="0" w:after="283"/>
              <w:rPr/>
            </w:pPr>
            <w:r>
              <w:rPr/>
              <w:t> </w:t>
            </w:r>
          </w:p>
        </w:tc>
        <w:tc>
          <w:tcPr>
            <w:tcW w:w="9290"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of the signatory or (ii) solely by operation of law pursuant to a qualified domestic order or in connection with a divorce settlement;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signatory is an entity, transfers or distributions of shares of common stock or any security convertible into common stock to general or limited partners, members or stockholders of the signatory, the signatorys direct and indirect affiliates, or to an investment fund or other entity that controls or manages, or is under common control with, the signatory;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or dispositions of shares of common stock or any security convertible into or exercisable or exchangeable for common stock to us pursuant to any contractual arrangement in effect on the date of the lock-up agreement and disclosed to the underwriters that provides for the repurchase of the signatorys common stock or other securities by us or in connection with the termination of the signatorys employment with or service to us; provided that, subject to certain limited exceptions, no filing under Section 16(a) of the Exchange Act reporting a reduction in beneficial ownership of shares of common stock shall be required or shall be voluntarily made during the restricted period in connection with any such transfers or dispositions;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exercise of stock options to purchase shares of common stock granted under plans described in this prospectus and any related transfer to us of shares of common stock, subject to certain limitations, including that any shares of common stock received upon exercise shall be subject to the restrictions on transfer set forth in the lock-up agreement; provided that, subject to certain limited exceptions, no filing under Section 16(a) of the Exchange Act reporting a reduction in beneficial ownership of shares of common stock shall be required or shall be voluntarily made during the restricted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regarding the establishment of such plan, such announcement or filing shall include a statement to the effect that no transfer of common stock may be made under such plan during the restricted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transfers of shares of common stock pursuant to a trading plan established pursuant to Rule 10b5-1 under the Exchange Act prior to the date hereof, which trading plan shall not be amended during the restricted period but may be terminated during the restricted period;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transfers of shares of common stock (or any securities convertible into or exercisable or exchangeable for common stock) pursuant to a bona fide third-party tender offer for shares of our capital stock made to all holders of securities, merger, consolidation or other similar transaction approved by our board of directors the result of which is a change of control or (ii) entry into any lock-up, voting or similar agreement pursuant to which the signatory may agree to transfer, sell, tender or otherwise dispose of shares of common stock or such other securities in connection with such a change of control; </w:t>
            </w:r>
          </w:p>
        </w:tc>
      </w:tr>
    </w:tbl>
    <w:p>
      <w:pPr>
        <w:pStyle w:val="TextBody"/>
        <w:spacing w:before="240" w:after="0"/>
        <w:jc w:val="left"/>
        <w:rPr>
          <w:rFonts w:ascii="Times New Roman" w:hAnsi="Times New Roman"/>
          <w:sz w:val="20"/>
        </w:rPr>
      </w:pPr>
      <w:r>
        <w:rPr>
          <w:rFonts w:ascii="Times New Roman" w:hAnsi="Times New Roman"/>
          <w:sz w:val="20"/>
        </w:rPr>
        <w:t xml:space="preserve">provided that in the case of any transfer, disposition or distribution pursuant to the second, third, fourth or fifth bullet (i) each transferee, donee or distributee shall agree to be subject to the restrictions described in the immediately preceding paragraph and (ii) no filing under Section 16(a) of the Exchange Act, reporting a reduction in beneficial ownership of shares of common stock, shall be required or shall be voluntarily made during the restricted period (other than, in the case of a transfer or other disposition pursuant to the third bullet above, any Form 4 or Form 5 required to be filed under the Exchange Act if the signatory is subject to Section 16 reporting with respect to us under the Exchange Act and indicating by footnote disclosure or otherwise the nature of the transfer or disposition). </w:t>
      </w:r>
    </w:p>
    <w:p>
      <w:pPr>
        <w:pStyle w:val="TextBody"/>
        <w:spacing w:before="240" w:after="0"/>
        <w:jc w:val="left"/>
        <w:rPr>
          <w:rFonts w:ascii="Times New Roman" w:hAnsi="Times New Roman"/>
          <w:sz w:val="20"/>
        </w:rPr>
      </w:pPr>
      <w:r>
        <w:rPr>
          <w:rFonts w:ascii="Times New Roman" w:hAnsi="Times New Roman"/>
          <w:sz w:val="20"/>
        </w:rPr>
        <w:t xml:space="preserve">The restrictions on transfers or other dispositions by us described in the paragraph above do not apply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shares to be sold in this offering;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issuance by us of shares of common stock upon the exercise of an option or a warrant or the conversion of a security outstanding on the date of this prospectus pursuant to stock plans disclosed in this prospectus;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grant by us of any options to purchase shares of common stock or other awards granted under a stock incentive plan or stock purchase plan described in this prospectus, and the issuance by us of shares of common stock upon the exercise thereof, provided that we will cause each recipient of such grant to execute and deliver to the underwriters a lock-up agreement if such recipient has not already delivered one;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filing by us of any registration statement on Form S-8 or a successor form thereto relating to the shares of common stock granted pursuant to or reserved for issuance under a stock incentive plan or stock purchase plan described in this prospectus;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exception will not exceed 5% of the total number of outstanding shares of common stock immediately following the issuance and sale of the shares to be sold in this offering and (y) the recipient of any such shares of common stock and securities issued pursuant to this exception during the restricted period will enter into a lock-up agreement. </w:t>
            </w:r>
          </w:p>
        </w:tc>
      </w:tr>
    </w:tbl>
    <w:p>
      <w:pPr>
        <w:pStyle w:val="TextBody"/>
        <w:spacing w:before="360" w:after="0"/>
        <w:jc w:val="left"/>
        <w:rPr>
          <w:rFonts w:ascii="Times New Roman" w:hAnsi="Times New Roman"/>
          <w:b/>
          <w:sz w:val="20"/>
        </w:rPr>
      </w:pPr>
      <w:r>
        <w:rPr>
          <w:rFonts w:ascii="Times New Roman" w:hAnsi="Times New Roman"/>
          <w:b/>
          <w:sz w:val="20"/>
        </w:rPr>
        <w:t xml:space="preserve">Nasdaq Global Market Listing </w:t>
      </w:r>
    </w:p>
    <w:p>
      <w:pPr>
        <w:pStyle w:val="TextBody"/>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FULC. </w:t>
      </w:r>
    </w:p>
    <w:p>
      <w:pPr>
        <w:pStyle w:val="TextBody"/>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 </w:t>
      </w:r>
    </w:p>
    <w:p>
      <w:pPr>
        <w:pStyle w:val="TextBody"/>
        <w:spacing w:before="240" w:after="0"/>
        <w:jc w:val="left"/>
        <w:rPr>
          <w:rFonts w:ascii="Times New Roman" w:hAnsi="Times New Roman"/>
          <w:sz w:val="20"/>
        </w:rPr>
      </w:pPr>
      <w:r>
        <w:rPr>
          <w:rFonts w:ascii="Times New Roman" w:hAnsi="Times New Roman"/>
          <w:sz w:val="20"/>
        </w:rPr>
        <w:t xml:space="preserve">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 </w:t>
      </w:r>
    </w:p>
    <w:p>
      <w:pPr>
        <w:pStyle w:val="TextBody"/>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stock or preventing or retarding a decline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market price of our common stock. As a result, the price of our common stock may be higher than the price that might otherwise exist in the open market. The underwriters may conduct these transactions on the Nasdaq Global Market, in the over-the-counter market or otherwise. </w:t>
      </w:r>
    </w:p>
    <w:p>
      <w:pPr>
        <w:pStyle w:val="TextBody"/>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spacing w:before="120" w:after="0"/>
        <w:jc w:val="left"/>
        <w:rPr>
          <w:rFonts w:ascii="Times New Roman" w:hAnsi="Times New Roman"/>
          <w:sz w:val="20"/>
        </w:rPr>
      </w:pPr>
      <w:r>
        <w:rPr>
          <w:rFonts w:ascii="Times New Roman" w:hAnsi="Times New Roman"/>
          <w:sz w:val="20"/>
        </w:rPr>
        <w:t xml:space="preserve">In connection with this offering, certain of the underwriters or securities dealers may distribute prospectuses by electronic means, such as e-mail. </w:t>
      </w:r>
    </w:p>
    <w:p>
      <w:pPr>
        <w:pStyle w:val="TextBody"/>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w:t>
      </w:r>
    </w:p>
    <w:p>
      <w:pPr>
        <w:pStyle w:val="TextBody"/>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Articles 2 of the Prospectus Regulation;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the Prospectus Regulation), subject to obtaining the prior consent of the representatives for any such offer;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shares shall require us or any of the representatives to publish a prospectus pursuant to Article 3 of the Prospectus Regulation or supplement a prospectus pursuant to Article 23 of the Prospectus Regulation.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spacing w:before="120" w:after="0"/>
        <w:jc w:val="left"/>
        <w:rPr>
          <w:rFonts w:ascii="Times New Roman" w:hAnsi="Times New Roman"/>
          <w:sz w:val="20"/>
        </w:rPr>
      </w:pPr>
      <w:r>
        <w:rPr>
          <w:rFonts w:ascii="Times New Roman" w:hAnsi="Times New Roman"/>
          <w:sz w:val="20"/>
        </w:rPr>
        <w:t xml:space="preserve">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10"/>
        <w:gridCol w:w="9289"/>
      </w:tblGrid>
      <w:tr>
        <w:trPr/>
        <w:tc>
          <w:tcPr>
            <w:tcW w:w="406"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(the FSMA), </w:t>
            </w:r>
          </w:p>
        </w:tc>
      </w:tr>
    </w:tbl>
    <w:p>
      <w:pPr>
        <w:pStyle w:val="TextBody"/>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representative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rom207524_10"/>
      <w:bookmarkEnd w:id="12"/>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the shares of common stock offered hereby is being passed upon for us by Wilmer Cutler Pickering Hale and Dorr LLP, Boston, Massachusetts. Ropes &amp; Gray LLP, Boston, Massachusetts is acting as counsel for the underwriters in connection with this offering. </w:t>
      </w:r>
    </w:p>
    <w:p>
      <w:pPr>
        <w:pStyle w:val="TextBody"/>
        <w:spacing w:before="480" w:after="0"/>
        <w:jc w:val="center"/>
        <w:rPr>
          <w:rFonts w:ascii="Times New Roman" w:hAnsi="Times New Roman"/>
          <w:b/>
          <w:sz w:val="20"/>
        </w:rPr>
      </w:pPr>
      <w:bookmarkStart w:id="13" w:name="suprom207524_11"/>
      <w:bookmarkEnd w:id="13"/>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Fulcrum Therapeutics, Inc. appearing in Fulcrum Therapeutics, Inc.s Annual Report (Form 10-K) for the year ended December 31, 2020,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suprom207524_12"/>
      <w:bookmarkEnd w:id="14"/>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supplement and is not incorporated by reference in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filed with the SEC. The registration statement contains more information than this prospectus supplement and the accompanying prospectus regarding us and the securities, including certain exhibits and schedules. You can obtain a copy of the registration statement from the SECs internet site. </w:t>
      </w:r>
    </w:p>
    <w:p>
      <w:pPr>
        <w:pStyle w:val="TextBody"/>
        <w:spacing w:before="480" w:after="0"/>
        <w:jc w:val="center"/>
        <w:rPr>
          <w:rFonts w:ascii="Times New Roman" w:hAnsi="Times New Roman"/>
          <w:b/>
          <w:sz w:val="20"/>
        </w:rPr>
      </w:pPr>
      <w:bookmarkStart w:id="15" w:name="suprom207524_13"/>
      <w:bookmarkEnd w:id="15"/>
      <w:r>
        <w:rPr>
          <w:rFonts w:ascii="Times New Roman" w:hAnsi="Times New Roman"/>
          <w:b/>
          <w:sz w:val="20"/>
        </w:rPr>
        <w:t xml:space="preserve">INCORPORATION OF CERTAIN INFORMATION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into this prospectus supplement and the accompanying prospectus much of the information we file with the SEC, which means that we can disclose important information to you by referring you to those publicly available documents. The information that we incorporate by reference into this prospectus supplement and the accompanying prospectus is considered to be part of this prospectus supplement and the accompanying prospectus. Because we are incorporating by reference future filings with the SEC, this prospectus supplement and the accompanying prospectus is continually updated and those future filings may modify or supersede some of the information included or incorporated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(File No. 001-38978) and any future filings we make with the SEC under Sections 13(a), 13(c), 14 or 15(d) of the Securities Exchange Act of 1934, as amended (in each case, other than those documents or the portions of those documents not deemed to be filed), until the offering of the securities under the registration statement is terminated or completed: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2020, including the information specifically incorporated by reference into the Annual Report on Form 10-K from our </w:t>
            </w:r>
            <w:hyperlink r:id="rId4">
              <w:r>
                <w:rPr>
                  <w:rStyle w:val="InternetLink"/>
                  <w:rFonts w:ascii="Times New Roman" w:hAnsi="Times New Roman"/>
                  <w:sz w:val="20"/>
                </w:rPr>
                <w:t>definitive proxy statement</w:t>
              </w:r>
            </w:hyperlink>
            <w:r>
              <w:rPr>
                <w:rFonts w:ascii="Times New Roman" w:hAnsi="Times New Roman"/>
                <w:sz w:val="20"/>
              </w:rPr>
              <w:t xml:space="preserve"> for the 2021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6"/>
        <w:gridCol w:w="101"/>
        <w:gridCol w:w="9798"/>
      </w:tblGrid>
      <w:tr>
        <w:trPr/>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pPr>
            <w:r>
              <w:rPr>
                <w:rFonts w:ascii="Times New Roman" w:hAnsi="Times New Roman"/>
                <w:sz w:val="20"/>
              </w:rPr>
              <w:t xml:space="preserve">Quarterly Reports on Form  10-Q for the fiscal quarter ended </w:t>
            </w:r>
            <w:hyperlink r:id="rId5">
              <w:r>
                <w:rPr>
                  <w:rStyle w:val="InternetLink"/>
                  <w:rFonts w:ascii="Times New Roman" w:hAnsi="Times New Roman"/>
                  <w:sz w:val="20"/>
                </w:rPr>
                <w:t>March  31, 2021</w:t>
              </w:r>
            </w:hyperlink>
            <w:r>
              <w:rPr>
                <w:rFonts w:ascii="Times New Roman" w:hAnsi="Times New Roman"/>
                <w:sz w:val="20"/>
              </w:rPr>
              <w:t xml:space="preserve"> and for the fiscal quarter ended </w:t>
            </w:r>
            <w:hyperlink r:id="rId6">
              <w:r>
                <w:rPr>
                  <w:rStyle w:val="InternetLink"/>
                  <w:rFonts w:ascii="Times New Roman" w:hAnsi="Times New Roman"/>
                  <w:sz w:val="20"/>
                </w:rPr>
                <w:t>June 30, 2021</w:t>
              </w:r>
            </w:hyperlink>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0"/>
              <w:jc w:val="left"/>
              <w:rPr/>
            </w:pPr>
            <w:r>
              <w:rPr>
                <w:rFonts w:ascii="Times New Roman" w:hAnsi="Times New Roman"/>
                <w:sz w:val="20"/>
              </w:rPr>
              <w:t xml:space="preserve">Current Reports on Form  8-K filed on </w:t>
            </w:r>
            <w:hyperlink r:id="rId7">
              <w:r>
                <w:rPr>
                  <w:rStyle w:val="InternetLink"/>
                  <w:rFonts w:ascii="Times New Roman" w:hAnsi="Times New Roman"/>
                  <w:sz w:val="20"/>
                </w:rPr>
                <w:t>January  19, 2021</w:t>
              </w:r>
            </w:hyperlink>
            <w:r>
              <w:rPr>
                <w:rFonts w:ascii="Times New Roman" w:hAnsi="Times New Roman"/>
                <w:sz w:val="20"/>
              </w:rPr>
              <w:t xml:space="preserve"> (other than Item 2.02), </w:t>
            </w:r>
            <w:hyperlink r:id="rId8">
              <w:r>
                <w:rPr>
                  <w:rStyle w:val="InternetLink"/>
                  <w:rFonts w:ascii="Times New Roman" w:hAnsi="Times New Roman"/>
                  <w:sz w:val="20"/>
                </w:rPr>
                <w:t>January  20, 2021</w:t>
              </w:r>
            </w:hyperlink>
            <w:r>
              <w:rPr>
                <w:rFonts w:ascii="Times New Roman" w:hAnsi="Times New Roman"/>
                <w:sz w:val="20"/>
              </w:rPr>
              <w:t xml:space="preserve">, </w:t>
            </w:r>
            <w:hyperlink r:id="rId9">
              <w:r>
                <w:rPr>
                  <w:rStyle w:val="InternetLink"/>
                  <w:rFonts w:ascii="Times New Roman" w:hAnsi="Times New Roman"/>
                  <w:sz w:val="20"/>
                </w:rPr>
                <w:t>March  4, 2021</w:t>
              </w:r>
            </w:hyperlink>
            <w:r>
              <w:rPr>
                <w:rFonts w:ascii="Times New Roman" w:hAnsi="Times New Roman"/>
                <w:sz w:val="20"/>
              </w:rPr>
              <w:t xml:space="preserve"> (other than Item 2.02), </w:t>
            </w:r>
            <w:hyperlink r:id="rId10">
              <w:r>
                <w:rPr>
                  <w:rStyle w:val="InternetLink"/>
                  <w:rFonts w:ascii="Times New Roman" w:hAnsi="Times New Roman"/>
                  <w:sz w:val="20"/>
                </w:rPr>
                <w:t>March  24, 2021</w:t>
              </w:r>
            </w:hyperlink>
            <w:r>
              <w:rPr>
                <w:rFonts w:ascii="Times New Roman" w:hAnsi="Times New Roman"/>
                <w:sz w:val="20"/>
              </w:rPr>
              <w:t xml:space="preserve">, </w:t>
            </w:r>
            <w:hyperlink r:id="rId11">
              <w:r>
                <w:rPr>
                  <w:rStyle w:val="InternetLink"/>
                  <w:rFonts w:ascii="Times New Roman" w:hAnsi="Times New Roman"/>
                  <w:sz w:val="20"/>
                </w:rPr>
                <w:t>June 11, 2021</w:t>
              </w:r>
            </w:hyperlink>
            <w:r>
              <w:rPr>
                <w:rFonts w:ascii="Times New Roman" w:hAnsi="Times New Roman"/>
                <w:sz w:val="20"/>
              </w:rPr>
              <w:t xml:space="preserve"> and </w:t>
            </w:r>
            <w:hyperlink r:id="rId12">
              <w:r>
                <w:rPr>
                  <w:rStyle w:val="InternetLink"/>
                  <w:rFonts w:ascii="Times New Roman" w:hAnsi="Times New Roman"/>
                  <w:sz w:val="20"/>
                </w:rPr>
                <w:t>June  24, 2021</w:t>
              </w:r>
            </w:hyperlink>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0"/>
              <w:jc w:val="left"/>
              <w:rPr/>
            </w:pPr>
            <w:r>
              <w:rPr>
                <w:rFonts w:ascii="Times New Roman" w:hAnsi="Times New Roman"/>
                <w:sz w:val="20"/>
              </w:rPr>
              <w:t xml:space="preserve">The description of our common stock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filed on July 12, 2019, including any amendments or reports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or telephone number: </w:t>
      </w:r>
    </w:p>
    <w:p>
      <w:pPr>
        <w:pStyle w:val="TextBody"/>
        <w:spacing w:before="240" w:after="0"/>
        <w:jc w:val="center"/>
        <w:rPr>
          <w:rFonts w:ascii="Times New Roman" w:hAnsi="Times New Roman"/>
          <w:sz w:val="20"/>
        </w:rPr>
      </w:pPr>
      <w:r>
        <w:rPr>
          <w:rFonts w:ascii="Times New Roman" w:hAnsi="Times New Roman"/>
          <w:sz w:val="20"/>
        </w:rPr>
        <w:t xml:space="preserve">Fulcrum Therapeutics, Inc. </w:t>
      </w:r>
    </w:p>
    <w:p>
      <w:pPr>
        <w:pStyle w:val="TextBody"/>
        <w:spacing w:before="0" w:after="0"/>
        <w:jc w:val="center"/>
        <w:rPr>
          <w:rFonts w:ascii="Times New Roman" w:hAnsi="Times New Roman"/>
          <w:sz w:val="20"/>
        </w:rPr>
      </w:pPr>
      <w:r>
        <w:rPr>
          <w:rFonts w:ascii="Times New Roman" w:hAnsi="Times New Roman"/>
          <w:sz w:val="20"/>
        </w:rPr>
        <w:t xml:space="preserve">26 Landsdowne Street </w:t>
      </w:r>
    </w:p>
    <w:p>
      <w:pPr>
        <w:pStyle w:val="TextBody"/>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spacing w:before="0" w:after="0"/>
        <w:jc w:val="center"/>
        <w:rPr>
          <w:rFonts w:ascii="Times New Roman" w:hAnsi="Times New Roman"/>
          <w:sz w:val="20"/>
        </w:rPr>
      </w:pPr>
      <w:r>
        <w:rPr>
          <w:rFonts w:ascii="Times New Roman" w:hAnsi="Times New Roman"/>
          <w:sz w:val="20"/>
        </w:rPr>
        <w:t xml:space="preserve">Attn: Investor Relations </w:t>
      </w:r>
    </w:p>
    <w:p>
      <w:pPr>
        <w:pStyle w:val="TextBody"/>
        <w:spacing w:before="0" w:after="0"/>
        <w:jc w:val="center"/>
        <w:rPr>
          <w:rFonts w:ascii="Times New Roman" w:hAnsi="Times New Roman"/>
          <w:sz w:val="20"/>
        </w:rPr>
      </w:pPr>
      <w:r>
        <w:rPr>
          <w:rFonts w:ascii="Times New Roman" w:hAnsi="Times New Roman"/>
          <w:sz w:val="20"/>
        </w:rPr>
        <w:t xml:space="preserve">(617) 651-8851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PROSPECTUS </w:t>
      </w:r>
    </w:p>
    <w:p>
      <w:pPr>
        <w:pStyle w:val="TextBody"/>
        <w:spacing w:before="240" w:after="0"/>
        <w:jc w:val="center"/>
        <w:rPr>
          <w:rFonts w:ascii="Times New Roman" w:hAnsi="Times New Roman"/>
          <w:b/>
          <w:sz w:val="36"/>
        </w:rPr>
      </w:pPr>
      <w:r>
        <w:rPr>
          <w:rFonts w:ascii="Times New Roman" w:hAnsi="Times New Roman"/>
          <w:b/>
          <w:sz w:val="36"/>
        </w:rPr>
        <w:t xml:space="preserve">$250,000,000 </w:t>
      </w:r>
    </w:p>
    <w:p>
      <w:pPr>
        <w:pStyle w:val="TextBody"/>
        <w:spacing w:before="0" w:after="0"/>
        <w:jc w:val="left"/>
        <w:rPr/>
      </w:pPr>
      <w:r>
        <w:rPr/>
        <w:t> </w:t>
      </w:r>
    </w:p>
    <w:p>
      <w:pPr>
        <w:pStyle w:val="TextBody"/>
        <w:spacing w:before="0" w:after="0"/>
        <w:jc w:val="center"/>
        <w:rPr/>
      </w:pPr>
      <w:r>
        <w:rPr/>
        <w:drawing>
          <wp:inline distT="0" distB="0" distL="0" distR="0">
            <wp:extent cx="323215" cy="79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323215" cy="7937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8"/>
        </w:rPr>
      </w:pPr>
      <w:r>
        <w:rPr>
          <w:rFonts w:ascii="Times New Roman" w:hAnsi="Times New Roman"/>
          <w:b/>
          <w:sz w:val="28"/>
        </w:rPr>
        <w:t xml:space="preserve">Debt Securities </w:t>
      </w:r>
    </w:p>
    <w:p>
      <w:pPr>
        <w:pStyle w:val="TextBody"/>
        <w:spacing w:before="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center"/>
        <w:rPr>
          <w:rFonts w:ascii="Times New Roman" w:hAnsi="Times New Roman"/>
          <w:b/>
          <w:sz w:val="28"/>
        </w:rPr>
      </w:pPr>
      <w:r>
        <w:rPr>
          <w:rFonts w:ascii="Times New Roman" w:hAnsi="Times New Roman"/>
          <w:b/>
          <w:sz w:val="28"/>
        </w:rPr>
        <w:t xml:space="preserve">Preferred Stock </w:t>
      </w:r>
    </w:p>
    <w:p>
      <w:pPr>
        <w:pStyle w:val="TextBody"/>
        <w:spacing w:before="0" w:after="0"/>
        <w:jc w:val="center"/>
        <w:rPr>
          <w:rFonts w:ascii="Times New Roman" w:hAnsi="Times New Roman"/>
          <w:b/>
          <w:sz w:val="28"/>
        </w:rPr>
      </w:pPr>
      <w:r>
        <w:rPr>
          <w:rFonts w:ascii="Times New Roman" w:hAnsi="Times New Roman"/>
          <w:b/>
          <w:sz w:val="28"/>
        </w:rPr>
        <w:t xml:space="preserve">Depositary Shares </w:t>
      </w:r>
    </w:p>
    <w:p>
      <w:pPr>
        <w:pStyle w:val="TextBody"/>
        <w:spacing w:before="0" w:after="0"/>
        <w:jc w:val="center"/>
        <w:rPr>
          <w:rFonts w:ascii="Times New Roman" w:hAnsi="Times New Roman"/>
          <w:b/>
          <w:sz w:val="28"/>
        </w:rPr>
      </w:pPr>
      <w:r>
        <w:rPr>
          <w:rFonts w:ascii="Times New Roman" w:hAnsi="Times New Roman"/>
          <w:b/>
          <w:sz w:val="28"/>
        </w:rPr>
        <w:t xml:space="preserve">Units </w:t>
      </w:r>
    </w:p>
    <w:p>
      <w:pPr>
        <w:pStyle w:val="TextBody"/>
        <w:spacing w:before="0" w:after="0"/>
        <w:jc w:val="center"/>
        <w:rPr>
          <w:rFonts w:ascii="Times New Roman" w:hAnsi="Times New Roman"/>
          <w:b/>
          <w:sz w:val="28"/>
        </w:rPr>
      </w:pPr>
      <w:r>
        <w:rPr>
          <w:rFonts w:ascii="Times New Roman" w:hAnsi="Times New Roman"/>
          <w:b/>
          <w:sz w:val="28"/>
        </w:rPr>
        <w:t xml:space="preserve">Warrants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We may offer and sell up to $250,000,000 in the aggregate of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 </w:t>
      </w:r>
    </w:p>
    <w:p>
      <w:pPr>
        <w:pStyle w:val="TextBody"/>
        <w:spacing w:before="240" w:after="0"/>
        <w:jc w:val="left"/>
        <w:rPr>
          <w:rFonts w:ascii="Times New Roman" w:hAnsi="Times New Roman"/>
          <w:sz w:val="20"/>
        </w:rPr>
      </w:pPr>
      <w:r>
        <w:rPr>
          <w:rFonts w:ascii="Times New Roman" w:hAnsi="Times New Roman"/>
          <w:sz w:val="20"/>
        </w:rPr>
        <w:t xml:space="preserve">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 </w:t>
      </w:r>
    </w:p>
    <w:p>
      <w:pPr>
        <w:pStyle w:val="TextBody"/>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FULC.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Investing in these securities involves significant risks. See </w:t>
      </w:r>
      <w:hyperlink w:anchor="toc207524_6">
        <w:r>
          <w:rPr>
            <w:rStyle w:val="InternetLink"/>
            <w:rFonts w:ascii="Times New Roman" w:hAnsi="Times New Roman"/>
            <w:b/>
            <w:sz w:val="24"/>
          </w:rPr>
          <w:t>Risk Factors</w:t>
        </w:r>
      </w:hyperlink>
      <w:r>
        <w:rPr>
          <w:rFonts w:ascii="Times New Roman" w:hAnsi="Times New Roman"/>
          <w:b/>
          <w:sz w:val="24"/>
        </w:rPr>
        <w:t xml:space="preserve"> included in any accompanying prospectus supplement and in the documents incorporated by reference in this prospectus for a discussion of the factors you should carefully consider before deciding to purchase these securities. </w:t>
      </w:r>
    </w:p>
    <w:p>
      <w:pPr>
        <w:pStyle w:val="TextBody"/>
        <w:spacing w:before="240" w:after="0"/>
        <w:jc w:val="left"/>
        <w:rPr>
          <w:rFonts w:ascii="Times New Roman" w:hAnsi="Times New Roman"/>
          <w:b/>
          <w:sz w:val="20"/>
        </w:rPr>
      </w:pPr>
      <w:r>
        <w:rPr>
          <w:rFonts w:ascii="Times New Roman" w:hAnsi="Times New Roman"/>
          <w:b/>
          <w:sz w:val="20"/>
        </w:rPr>
        <w:t xml:space="preserve">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August 17, 2020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68"/>
        <w:gridCol w:w="253"/>
        <w:gridCol w:w="60"/>
        <w:gridCol w:w="262"/>
        <w:gridCol w:w="62"/>
      </w:tblGrid>
      <w:tr>
        <w:trPr/>
        <w:tc>
          <w:tcPr>
            <w:tcW w:w="956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vAlign w:val="bottom"/>
          </w:tcPr>
          <w:p>
            <w:pPr>
              <w:pStyle w:val="TableContents"/>
              <w:spacing w:before="0" w:after="0"/>
              <w:rPr/>
            </w:pPr>
            <w:hyperlink w:anchor="toc207524_1">
              <w:r>
                <w:rPr>
                  <w:rStyle w:val="InternetLink"/>
                  <w:rFonts w:ascii="Times New Roman" w:hAnsi="Times New Roman"/>
                  <w:sz w:val="20"/>
                </w:rPr>
                <w:t>ABOUT THIS PROSPECTUS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2">
              <w:r>
                <w:rPr>
                  <w:rStyle w:val="InternetLink"/>
                  <w:rFonts w:ascii="Times New Roman" w:hAnsi="Times New Roman"/>
                  <w:sz w:val="20"/>
                </w:rPr>
                <w:t>WHERE YOU CAN FIND MORE INFORMATION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3">
              <w:r>
                <w:rPr>
                  <w:rStyle w:val="InternetLink"/>
                  <w:rFonts w:ascii="Times New Roman" w:hAnsi="Times New Roman"/>
                  <w:sz w:val="20"/>
                </w:rPr>
                <w:t>INCORPORATION OF CERTAIN DOCUMENTS BY REFERENCE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4">
              <w:r>
                <w:rPr>
                  <w:rStyle w:val="InternetLink"/>
                  <w:rFonts w:ascii="Times New Roman" w:hAnsi="Times New Roman"/>
                  <w:sz w:val="20"/>
                </w:rPr>
                <w:t>CAUTIONARY NOTE REGARDING FORWARD-LOOKING STATEMENTS AND INDUSTRY DATA</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3</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5">
              <w:r>
                <w:rPr>
                  <w:rStyle w:val="InternetLink"/>
                  <w:rFonts w:ascii="Times New Roman" w:hAnsi="Times New Roman"/>
                  <w:sz w:val="20"/>
                </w:rPr>
                <w:t>ABOUT FULCRUM THERAPEUTICS, INC.</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6">
              <w:r>
                <w:rPr>
                  <w:rStyle w:val="InternetLink"/>
                  <w:rFonts w:ascii="Times New Roman" w:hAnsi="Times New Roman"/>
                  <w:sz w:val="20"/>
                </w:rPr>
                <w:t>RISK FACTORS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5</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7">
              <w:r>
                <w:rPr>
                  <w:rStyle w:val="InternetLink"/>
                  <w:rFonts w:ascii="Times New Roman" w:hAnsi="Times New Roman"/>
                  <w:sz w:val="20"/>
                </w:rPr>
                <w:t>USE OF PROCEEDS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8">
              <w:r>
                <w:rPr>
                  <w:rStyle w:val="InternetLink"/>
                  <w:rFonts w:ascii="Times New Roman" w:hAnsi="Times New Roman"/>
                  <w:sz w:val="20"/>
                </w:rPr>
                <w:t>DESCRIPTION OF DEBT SECURITIES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9">
              <w:r>
                <w:rPr>
                  <w:rStyle w:val="InternetLink"/>
                  <w:rFonts w:ascii="Times New Roman" w:hAnsi="Times New Roman"/>
                  <w:sz w:val="20"/>
                </w:rPr>
                <w:t>DESCRIPTION OF CAPITAL STOCK</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16</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10">
              <w:r>
                <w:rPr>
                  <w:rStyle w:val="InternetLink"/>
                  <w:rFonts w:ascii="Times New Roman" w:hAnsi="Times New Roman"/>
                  <w:sz w:val="20"/>
                </w:rPr>
                <w:t>DESCRIPTION OF DEPOSITARY SHARES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11">
              <w:r>
                <w:rPr>
                  <w:rStyle w:val="InternetLink"/>
                  <w:rFonts w:ascii="Times New Roman" w:hAnsi="Times New Roman"/>
                  <w:sz w:val="20"/>
                </w:rPr>
                <w:t>DESCRIPTION OF UNITS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27</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12">
              <w:r>
                <w:rPr>
                  <w:rStyle w:val="InternetLink"/>
                  <w:rFonts w:ascii="Times New Roman" w:hAnsi="Times New Roman"/>
                  <w:sz w:val="20"/>
                </w:rPr>
                <w:t>DESCRIPTION OF WARRANTS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28</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13">
              <w:r>
                <w:rPr>
                  <w:rStyle w:val="InternetLink"/>
                  <w:rFonts w:ascii="Times New Roman" w:hAnsi="Times New Roman"/>
                  <w:sz w:val="20"/>
                </w:rPr>
                <w:t>FORMS OF SECURITIES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29</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14">
              <w:r>
                <w:rPr>
                  <w:rStyle w:val="InternetLink"/>
                  <w:rFonts w:ascii="Times New Roman" w:hAnsi="Times New Roman"/>
                  <w:sz w:val="20"/>
                </w:rPr>
                <w:t>PLAN OF DISTRIBUTION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31</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15">
              <w:r>
                <w:rPr>
                  <w:rStyle w:val="InternetLink"/>
                  <w:rFonts w:ascii="Times New Roman" w:hAnsi="Times New Roman"/>
                  <w:sz w:val="20"/>
                </w:rPr>
                <w:t>LEGAL MATTERS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r>
        <w:trPr/>
        <w:tc>
          <w:tcPr>
            <w:tcW w:w="9568" w:type="dxa"/>
            <w:tcBorders/>
            <w:shd w:fill="auto" w:val="clear"/>
            <w:vAlign w:val="bottom"/>
          </w:tcPr>
          <w:p>
            <w:pPr>
              <w:pStyle w:val="TableContents"/>
              <w:spacing w:before="0" w:after="0"/>
              <w:rPr/>
            </w:pPr>
            <w:hyperlink w:anchor="toc207524_16">
              <w:r>
                <w:rPr>
                  <w:rStyle w:val="InternetLink"/>
                  <w:rFonts w:ascii="Times New Roman" w:hAnsi="Times New Roman"/>
                  <w:sz w:val="20"/>
                </w:rPr>
                <w:t>EXPERTS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jc w:val="right"/>
              <w:rPr/>
            </w:pPr>
            <w:r>
              <w:rPr/>
              <w:t>34</w:t>
            </w:r>
          </w:p>
        </w:tc>
        <w:tc>
          <w:tcPr>
            <w:tcW w:w="62"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oc207524_1"/>
      <w:bookmarkEnd w:id="17"/>
      <w:r>
        <w:rPr>
          <w:rFonts w:ascii="Times New Roman" w:hAnsi="Times New Roman"/>
          <w:b/>
          <w:sz w:val="20"/>
        </w:rPr>
        <w:t xml:space="preserve">ABOUT THIS PROSPECTUS </w:t>
      </w:r>
    </w:p>
    <w:p>
      <w:pPr>
        <w:pStyle w:val="TextBody"/>
        <w:spacing w:before="12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$250,000,000. </w:t>
      </w:r>
    </w:p>
    <w:p>
      <w:pPr>
        <w:pStyle w:val="TextBody"/>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on page 2 of this prospectus. </w:t>
      </w:r>
    </w:p>
    <w:p>
      <w:pPr>
        <w:pStyle w:val="TextBody"/>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spacing w:before="240" w:after="0"/>
        <w:jc w:val="left"/>
        <w:rPr>
          <w:rFonts w:ascii="Times New Roman" w:hAnsi="Times New Roman"/>
          <w:sz w:val="20"/>
        </w:rPr>
      </w:pPr>
      <w:r>
        <w:rPr>
          <w:rFonts w:ascii="Times New Roman" w:hAnsi="Times New Roman"/>
          <w:sz w:val="20"/>
        </w:rPr>
        <w:t xml:space="preserve">No offer of these securities will be made in any jurisdiction where the offer is not permitted. </w:t>
      </w:r>
    </w:p>
    <w:p>
      <w:pPr>
        <w:pStyle w:val="TextBody"/>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we, our and us refer, collectively, to Fulcrum Therapeutics, Inc., a Delaware corporation, and its consolidated subsidiary.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oc207524_2"/>
      <w:bookmarkEnd w:id="18"/>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 </w:t>
      </w:r>
    </w:p>
    <w:p>
      <w:pPr>
        <w:pStyle w:val="TextBody"/>
        <w:spacing w:before="480" w:after="0"/>
        <w:jc w:val="center"/>
        <w:rPr>
          <w:rFonts w:ascii="Times New Roman" w:hAnsi="Times New Roman"/>
          <w:b/>
          <w:sz w:val="20"/>
        </w:rPr>
      </w:pPr>
      <w:bookmarkStart w:id="19" w:name="toc207524_3"/>
      <w:bookmarkEnd w:id="19"/>
      <w:r>
        <w:rPr>
          <w:rFonts w:ascii="Times New Roman" w:hAnsi="Times New Roman"/>
          <w:b/>
          <w:sz w:val="20"/>
        </w:rPr>
        <w:t xml:space="preserve">INCORPORATION OF CERTAIN DOCUMENTS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December 31, 2019, including the information specifically incorporated by reference into the Annual Report on Form  10-K from our </w:t>
            </w:r>
            <w:hyperlink r:id="rId16">
              <w:r>
                <w:rPr>
                  <w:rStyle w:val="InternetLink"/>
                  <w:rFonts w:ascii="Times New Roman" w:hAnsi="Times New Roman"/>
                  <w:sz w:val="20"/>
                </w:rPr>
                <w:t>definitive proxy statement</w:t>
              </w:r>
            </w:hyperlink>
            <w:r>
              <w:rPr>
                <w:rFonts w:ascii="Times New Roman" w:hAnsi="Times New Roman"/>
                <w:sz w:val="20"/>
              </w:rPr>
              <w:t xml:space="preserve"> for the 2020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Quarterly Reports on Form  10-Q for the fiscal quarters ended </w:t>
            </w:r>
            <w:hyperlink r:id="rId17">
              <w:r>
                <w:rPr>
                  <w:rStyle w:val="InternetLink"/>
                  <w:rFonts w:ascii="Times New Roman" w:hAnsi="Times New Roman"/>
                  <w:sz w:val="20"/>
                </w:rPr>
                <w:t>March  31, 2020</w:t>
              </w:r>
            </w:hyperlink>
            <w:r>
              <w:rPr>
                <w:rFonts w:ascii="Times New Roman" w:hAnsi="Times New Roman"/>
                <w:sz w:val="20"/>
              </w:rPr>
              <w:t xml:space="preserve"> and </w:t>
            </w:r>
            <w:hyperlink r:id="rId18">
              <w:r>
                <w:rPr>
                  <w:rStyle w:val="InternetLink"/>
                  <w:rFonts w:ascii="Times New Roman" w:hAnsi="Times New Roman"/>
                  <w:sz w:val="20"/>
                </w:rPr>
                <w:t>June 30, 2020</w:t>
              </w:r>
            </w:hyperlink>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Current Reports on Form  8-K filed on </w:t>
            </w:r>
            <w:hyperlink r:id="rId19">
              <w:r>
                <w:rPr>
                  <w:rStyle w:val="InternetLink"/>
                  <w:rFonts w:ascii="Times New Roman" w:hAnsi="Times New Roman"/>
                  <w:sz w:val="20"/>
                </w:rPr>
                <w:t>January 6, 2020</w:t>
              </w:r>
            </w:hyperlink>
            <w:r>
              <w:rPr>
                <w:rFonts w:ascii="Times New Roman" w:hAnsi="Times New Roman"/>
                <w:sz w:val="20"/>
              </w:rPr>
              <w:t xml:space="preserve">, </w:t>
            </w:r>
            <w:hyperlink r:id="rId20">
              <w:r>
                <w:rPr>
                  <w:rStyle w:val="InternetLink"/>
                  <w:rFonts w:ascii="Times New Roman" w:hAnsi="Times New Roman"/>
                  <w:sz w:val="20"/>
                </w:rPr>
                <w:t>April 2, 2020</w:t>
              </w:r>
            </w:hyperlink>
            <w:r>
              <w:rPr>
                <w:rFonts w:ascii="Times New Roman" w:hAnsi="Times New Roman"/>
                <w:sz w:val="20"/>
              </w:rPr>
              <w:t xml:space="preserve">, </w:t>
            </w:r>
            <w:hyperlink r:id="rId21">
              <w:r>
                <w:rPr>
                  <w:rStyle w:val="InternetLink"/>
                  <w:rFonts w:ascii="Times New Roman" w:hAnsi="Times New Roman"/>
                  <w:sz w:val="20"/>
                </w:rPr>
                <w:t>June  10, 2020</w:t>
              </w:r>
            </w:hyperlink>
            <w:r>
              <w:rPr>
                <w:rFonts w:ascii="Times New Roman" w:hAnsi="Times New Roman"/>
                <w:sz w:val="20"/>
              </w:rPr>
              <w:t xml:space="preserve">, </w:t>
            </w:r>
            <w:hyperlink r:id="rId22">
              <w:r>
                <w:rPr>
                  <w:rStyle w:val="InternetLink"/>
                  <w:rFonts w:ascii="Times New Roman" w:hAnsi="Times New Roman"/>
                  <w:sz w:val="20"/>
                </w:rPr>
                <w:t>June 11, 2020,</w:t>
              </w:r>
            </w:hyperlink>
            <w:r>
              <w:rPr>
                <w:rFonts w:ascii="Times New Roman" w:hAnsi="Times New Roman"/>
                <w:sz w:val="20"/>
              </w:rPr>
              <w:t xml:space="preserve"> </w:t>
            </w:r>
            <w:hyperlink r:id="rId23">
              <w:r>
                <w:rPr>
                  <w:rStyle w:val="InternetLink"/>
                  <w:rFonts w:ascii="Times New Roman" w:hAnsi="Times New Roman"/>
                  <w:sz w:val="20"/>
                </w:rPr>
                <w:t>June 26, 2020</w:t>
              </w:r>
            </w:hyperlink>
            <w:r>
              <w:rPr>
                <w:rFonts w:ascii="Times New Roman" w:hAnsi="Times New Roman"/>
                <w:sz w:val="20"/>
              </w:rPr>
              <w:t xml:space="preserve"> and </w:t>
            </w:r>
            <w:hyperlink r:id="rId24">
              <w:r>
                <w:rPr>
                  <w:rStyle w:val="InternetLink"/>
                  <w:rFonts w:ascii="Times New Roman" w:hAnsi="Times New Roman"/>
                  <w:sz w:val="20"/>
                </w:rPr>
                <w:t>July 23, 2020</w:t>
              </w:r>
            </w:hyperlink>
            <w:r>
              <w:rPr>
                <w:rFonts w:ascii="Times New Roman" w:hAnsi="Times New Roman"/>
                <w:sz w:val="20"/>
              </w:rPr>
              <w:t xml:space="preserv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pPr>
            <w:r>
              <w:rPr>
                <w:rFonts w:ascii="Times New Roman" w:hAnsi="Times New Roman"/>
                <w:sz w:val="20"/>
              </w:rPr>
              <w:t xml:space="preserve">The description of our common stock contained in our Registration Statement on </w:t>
            </w:r>
            <w:hyperlink r:id="rId25">
              <w:r>
                <w:rPr>
                  <w:rStyle w:val="InternetLink"/>
                  <w:rFonts w:ascii="Times New Roman" w:hAnsi="Times New Roman"/>
                  <w:sz w:val="20"/>
                </w:rPr>
                <w:t>Form  8-A</w:t>
              </w:r>
            </w:hyperlink>
            <w:r>
              <w:rPr>
                <w:rFonts w:ascii="Times New Roman" w:hAnsi="Times New Roman"/>
                <w:sz w:val="20"/>
              </w:rPr>
              <w:t xml:space="preserve"> filed on July 12, 2019, including any amendments or reports filed for the purpose of updating such description. </w:t>
            </w:r>
          </w:p>
        </w:tc>
      </w:tr>
    </w:tbl>
    <w:p>
      <w:pPr>
        <w:pStyle w:val="TextBody"/>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calling us at the following address or telephone number: </w:t>
      </w:r>
    </w:p>
    <w:p>
      <w:pPr>
        <w:pStyle w:val="TextBody"/>
        <w:spacing w:before="240" w:after="0"/>
        <w:jc w:val="center"/>
        <w:rPr>
          <w:rFonts w:ascii="Times New Roman" w:hAnsi="Times New Roman"/>
          <w:sz w:val="20"/>
        </w:rPr>
      </w:pPr>
      <w:r>
        <w:rPr>
          <w:rFonts w:ascii="Times New Roman" w:hAnsi="Times New Roman"/>
          <w:sz w:val="20"/>
        </w:rPr>
        <w:t xml:space="preserve">Fulcrum Therapeutics, Inc. </w:t>
      </w:r>
    </w:p>
    <w:p>
      <w:pPr>
        <w:pStyle w:val="TextBody"/>
        <w:spacing w:before="0" w:after="0"/>
        <w:jc w:val="center"/>
        <w:rPr>
          <w:rFonts w:ascii="Times New Roman" w:hAnsi="Times New Roman"/>
          <w:sz w:val="20"/>
        </w:rPr>
      </w:pPr>
      <w:r>
        <w:rPr>
          <w:rFonts w:ascii="Times New Roman" w:hAnsi="Times New Roman"/>
          <w:sz w:val="20"/>
        </w:rPr>
        <w:t xml:space="preserve">26 Landsdowne Street </w:t>
      </w:r>
    </w:p>
    <w:p>
      <w:pPr>
        <w:pStyle w:val="TextBody"/>
        <w:spacing w:before="0" w:after="0"/>
        <w:jc w:val="center"/>
        <w:rPr>
          <w:rFonts w:ascii="Times New Roman" w:hAnsi="Times New Roman"/>
          <w:sz w:val="20"/>
        </w:rPr>
      </w:pPr>
      <w:r>
        <w:rPr>
          <w:rFonts w:ascii="Times New Roman" w:hAnsi="Times New Roman"/>
          <w:sz w:val="20"/>
        </w:rPr>
        <w:t xml:space="preserve">Cambridge, Massachusetts 02139 </w:t>
      </w:r>
    </w:p>
    <w:p>
      <w:pPr>
        <w:pStyle w:val="TextBody"/>
        <w:spacing w:before="0" w:after="0"/>
        <w:jc w:val="center"/>
        <w:rPr>
          <w:rFonts w:ascii="Times New Roman" w:hAnsi="Times New Roman"/>
          <w:sz w:val="20"/>
        </w:rPr>
      </w:pPr>
      <w:r>
        <w:rPr>
          <w:rFonts w:ascii="Times New Roman" w:hAnsi="Times New Roman"/>
          <w:sz w:val="20"/>
        </w:rPr>
        <w:t xml:space="preserve">Attn: Investor Relations </w:t>
      </w:r>
    </w:p>
    <w:p>
      <w:pPr>
        <w:pStyle w:val="TextBody"/>
        <w:spacing w:before="0" w:after="0"/>
        <w:jc w:val="center"/>
        <w:rPr>
          <w:rFonts w:ascii="Times New Roman" w:hAnsi="Times New Roman"/>
          <w:sz w:val="20"/>
        </w:rPr>
      </w:pPr>
      <w:r>
        <w:rPr>
          <w:rFonts w:ascii="Times New Roman" w:hAnsi="Times New Roman"/>
          <w:sz w:val="20"/>
        </w:rPr>
        <w:t xml:space="preserve">(617) 651-8851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oc207524_4"/>
      <w:bookmarkEnd w:id="20"/>
      <w:r>
        <w:rPr>
          <w:rFonts w:ascii="Times New Roman" w:hAnsi="Times New Roman"/>
          <w:b/>
          <w:sz w:val="20"/>
        </w:rPr>
        <w:t xml:space="preserve">CAUTIONARY NOTE REGARDING FORWARD-LOOKING STATEMENTS AND INDUSTRY DATA </w:t>
      </w:r>
    </w:p>
    <w:p>
      <w:pPr>
        <w:pStyle w:val="TextBody"/>
        <w:spacing w:before="240" w:after="0"/>
        <w:jc w:val="left"/>
        <w:rPr>
          <w:rFonts w:ascii="Times New Roman" w:hAnsi="Times New Roman"/>
          <w:sz w:val="20"/>
        </w:rPr>
      </w:pPr>
      <w:r>
        <w:rPr>
          <w:rFonts w:ascii="Times New Roman" w:hAnsi="Times New Roman"/>
          <w:sz w:val="20"/>
        </w:rPr>
        <w:t xml:space="preserve">This prospectus and the documents incorporated by reference in this prospectus include forward-looking statements within the meaning of Section 27A of the Securities Act of 1933, as amended, or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 </w:t>
      </w:r>
    </w:p>
    <w:p>
      <w:pPr>
        <w:pStyle w:val="TextBody"/>
        <w:spacing w:before="240" w:after="0"/>
        <w:jc w:val="left"/>
        <w:rPr>
          <w:rFonts w:ascii="Times New Roman" w:hAnsi="Times New Roman"/>
          <w:sz w:val="20"/>
        </w:rPr>
      </w:pPr>
      <w:r>
        <w:rPr>
          <w:rFonts w:ascii="Times New Roman" w:hAnsi="Times New Roman"/>
          <w:sz w:val="20"/>
        </w:rPr>
        <w:t xml:space="preserve">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 </w:t>
      </w:r>
    </w:p>
    <w:p>
      <w:pPr>
        <w:pStyle w:val="TextBody"/>
        <w:spacing w:before="240" w:after="0"/>
        <w:jc w:val="left"/>
        <w:rPr>
          <w:rFonts w:ascii="Times New Roman" w:hAnsi="Times New Roman"/>
          <w:sz w:val="20"/>
        </w:rPr>
      </w:pPr>
      <w:r>
        <w:rPr>
          <w:rFonts w:ascii="Times New Roman" w:hAnsi="Times New Roman"/>
          <w:sz w:val="20"/>
        </w:rPr>
        <w:t xml:space="preserve">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 </w:t>
      </w:r>
    </w:p>
    <w:p>
      <w:pPr>
        <w:pStyle w:val="TextBody"/>
        <w:spacing w:before="240" w:after="0"/>
        <w:jc w:val="left"/>
        <w:rPr>
          <w:rFonts w:ascii="Times New Roman" w:hAnsi="Times New Roman"/>
          <w:sz w:val="20"/>
        </w:rPr>
      </w:pPr>
      <w:r>
        <w:rPr>
          <w:rFonts w:ascii="Times New Roman" w:hAnsi="Times New Roman"/>
          <w:sz w:val="20"/>
        </w:rPr>
        <w:t xml:space="preserve">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oc207524_5"/>
      <w:bookmarkEnd w:id="21"/>
      <w:r>
        <w:rPr>
          <w:rFonts w:ascii="Times New Roman" w:hAnsi="Times New Roman"/>
          <w:b/>
          <w:sz w:val="20"/>
        </w:rPr>
        <w:t xml:space="preserve">ABOUT FULCRUM THERAPEUTICS, INC. </w:t>
      </w:r>
    </w:p>
    <w:p>
      <w:pPr>
        <w:pStyle w:val="TextBody"/>
        <w:spacing w:before="240" w:after="0"/>
        <w:jc w:val="left"/>
        <w:rPr>
          <w:rFonts w:ascii="Times New Roman" w:hAnsi="Times New Roman"/>
          <w:b/>
          <w:sz w:val="20"/>
        </w:rPr>
      </w:pPr>
      <w:r>
        <w:rPr>
          <w:rFonts w:ascii="Times New Roman" w:hAnsi="Times New Roman"/>
          <w:b/>
          <w:sz w:val="20"/>
        </w:rPr>
        <w:t xml:space="preserve">Overview </w:t>
      </w:r>
    </w:p>
    <w:p>
      <w:pPr>
        <w:pStyle w:val="TextBody"/>
        <w:spacing w:before="120" w:after="0"/>
        <w:jc w:val="left"/>
        <w:rPr>
          <w:rFonts w:ascii="Times New Roman" w:hAnsi="Times New Roman"/>
          <w:sz w:val="20"/>
        </w:rPr>
      </w:pPr>
      <w:r>
        <w:rPr>
          <w:rFonts w:ascii="Times New Roman" w:hAnsi="Times New Roman"/>
          <w:sz w:val="20"/>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w:t>
      </w:r>
    </w:p>
    <w:p>
      <w:pPr>
        <w:pStyle w:val="TextBody"/>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spacing w:before="120" w:after="0"/>
        <w:jc w:val="left"/>
        <w:rPr>
          <w:rFonts w:ascii="Times New Roman" w:hAnsi="Times New Roman"/>
          <w:sz w:val="20"/>
        </w:rPr>
      </w:pPr>
      <w:r>
        <w:rPr>
          <w:rFonts w:ascii="Times New Roman" w:hAnsi="Times New Roman"/>
          <w:sz w:val="20"/>
        </w:rPr>
        <w:t xml:space="preserve">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 </w:t>
      </w:r>
    </w:p>
    <w:p>
      <w:pPr>
        <w:pStyle w:val="TextBody"/>
        <w:spacing w:before="240" w:after="0"/>
        <w:jc w:val="left"/>
        <w:rPr>
          <w:rFonts w:ascii="Times New Roman" w:hAnsi="Times New Roman"/>
          <w:sz w:val="20"/>
        </w:rPr>
      </w:pPr>
      <w:r>
        <w:rPr>
          <w:rFonts w:ascii="Times New Roman" w:hAnsi="Times New Roman"/>
          <w:sz w:val="20"/>
        </w:rPr>
        <w:t xml:space="preserve">We own or have rights, or have applied for, to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 and  symbols, but we will assert, to the fullest extent under applicable law, our rights to our trademarks, service marks and trade names.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toc207524_6"/>
      <w:bookmarkEnd w:id="22"/>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and uncertainties described under Risk Factors in our most recent Annual Report on Form 10-K, our most recent Quarterly Report on Form 10-Q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 </w:t>
      </w:r>
    </w:p>
    <w:p>
      <w:pPr>
        <w:pStyle w:val="TextBody"/>
        <w:spacing w:before="240" w:after="0"/>
        <w:jc w:val="left"/>
        <w:rPr>
          <w:rFonts w:ascii="Times New Roman" w:hAnsi="Times New Roman"/>
          <w:sz w:val="20"/>
        </w:rPr>
      </w:pPr>
      <w:r>
        <w:rPr>
          <w:rFonts w:ascii="Times New Roman" w:hAnsi="Times New Roman"/>
          <w:sz w:val="20"/>
        </w:rPr>
        <w:t xml:space="preserve">Our business, financial condition and results of operations could be materially and adversely affected by any or all of these risks or by additional risks and uncertainties not presently known to us or that we currently deem immaterial that may adversely affect us in the future.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toc207524_7"/>
      <w:bookmarkEnd w:id="23"/>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net proceeds.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toc207524_8"/>
      <w:bookmarkEnd w:id="24"/>
      <w:r>
        <w:rPr>
          <w:rFonts w:ascii="Times New Roman" w:hAnsi="Times New Roman"/>
          <w:b/>
          <w:sz w:val="20"/>
        </w:rPr>
        <w:t xml:space="preserve">DESCRIPTION OF DEBT SECURITIES </w:t>
      </w:r>
    </w:p>
    <w:p>
      <w:pPr>
        <w:pStyle w:val="TextBody"/>
        <w:spacing w:before="240" w:after="0"/>
        <w:jc w:val="left"/>
        <w:rPr>
          <w:rFonts w:ascii="Times New Roman" w:hAnsi="Times New Roman"/>
          <w:sz w:val="20"/>
        </w:rPr>
      </w:pPr>
      <w:r>
        <w:rPr>
          <w:rFonts w:ascii="Times New Roman" w:hAnsi="Times New Roman"/>
          <w:sz w:val="20"/>
        </w:rPr>
        <w:t xml:space="preserve">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 </w:t>
      </w:r>
    </w:p>
    <w:p>
      <w:pPr>
        <w:pStyle w:val="TextBody"/>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w:t>
      </w:r>
    </w:p>
    <w:p>
      <w:pPr>
        <w:pStyle w:val="TextBody"/>
        <w:spacing w:before="240" w:after="0"/>
        <w:jc w:val="left"/>
        <w:rPr>
          <w:rFonts w:ascii="Times New Roman" w:hAnsi="Times New Roman"/>
          <w:sz w:val="20"/>
        </w:rPr>
      </w:pPr>
      <w:r>
        <w:rPr>
          <w:rFonts w:ascii="Times New Roman" w:hAnsi="Times New Roman"/>
          <w:sz w:val="20"/>
        </w:rPr>
        <w:t xml:space="preserve">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 </w:t>
      </w:r>
    </w:p>
    <w:p>
      <w:pPr>
        <w:pStyle w:val="TextBody"/>
        <w:spacing w:before="240" w:after="0"/>
        <w:jc w:val="left"/>
        <w:rPr>
          <w:rFonts w:ascii="Times New Roman" w:hAnsi="Times New Roman"/>
          <w:sz w:val="20"/>
        </w:rPr>
      </w:pPr>
      <w:r>
        <w:rPr>
          <w:rFonts w:ascii="Times New Roman" w:hAnsi="Times New Roman"/>
          <w:sz w:val="20"/>
        </w:rPr>
        <w:t xml:space="preserve">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 </w:t>
      </w:r>
    </w:p>
    <w:p>
      <w:pPr>
        <w:pStyle w:val="TextBody"/>
        <w:spacing w:before="240" w:after="0"/>
        <w:jc w:val="left"/>
        <w:rPr>
          <w:rFonts w:ascii="Times New Roman" w:hAnsi="Times New Roman"/>
          <w:sz w:val="20"/>
        </w:rPr>
      </w:pPr>
      <w:r>
        <w:rPr>
          <w:rFonts w:ascii="Times New Roman" w:hAnsi="Times New Roman"/>
          <w:sz w:val="20"/>
        </w:rPr>
        <w:t xml:space="preserve">The applicable prospectus supplement and/or free writing prospectus will include any additional or different terms of the debt securities of any series being offered, including the following terms: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title and type of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will be senior or subordinated debt securities, and, with respect to any subordinated debt securities the terms on which they are subordinated;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initial aggregate principal amount of the debt securities;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price or prices at which we will sell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maturity date or dates of the debt securities and the right, if any, to extend such date or 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rate or rates, if any, at which the debt securities will bear interest, or the method of determining such rate or rates;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method of determination of such 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manner of paying principal and interest and the place or places where principal and interest will be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provisions for a sinking fund, purchase fund or other analogous fund,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redemption dates, prices, obligations and restrictions on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currency, currencies or currency units in which the debt securities will be denominated and the currency, currencies or currency units in which principal and interest, if any, on the debt securities may be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conversion or exchange features of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will be subject to the defeasance provisions in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will be issued in definitive or global form or in definitive form only upon satisfaction of certain conditions;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will be guaranteed as to payment or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special tax implications of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events of defaults or covenants in addition to or in lieu of those set forth in the indenture;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material terms of the debt securities. </w:t>
            </w:r>
          </w:p>
        </w:tc>
      </w:tr>
    </w:tbl>
    <w:p>
      <w:pPr>
        <w:pStyle w:val="TextBody"/>
        <w:spacing w:before="240" w:after="0"/>
        <w:jc w:val="left"/>
        <w:rPr>
          <w:rFonts w:ascii="Times New Roman" w:hAnsi="Times New Roman"/>
          <w:sz w:val="20"/>
        </w:rPr>
      </w:pPr>
      <w:r>
        <w:rPr>
          <w:rFonts w:ascii="Times New Roman" w:hAnsi="Times New Roman"/>
          <w:sz w:val="20"/>
        </w:rPr>
        <w:t xml:space="preserve">When we refer to principal in this section with reference to the debt securities, we are also referring to premium, if any. </w:t>
      </w:r>
    </w:p>
    <w:p>
      <w:pPr>
        <w:pStyle w:val="TextBody"/>
        <w:spacing w:before="240" w:after="0"/>
        <w:jc w:val="left"/>
        <w:rPr>
          <w:rFonts w:ascii="Times New Roman" w:hAnsi="Times New Roman"/>
          <w:sz w:val="20"/>
        </w:rPr>
      </w:pPr>
      <w:r>
        <w:rPr>
          <w:rFonts w:ascii="Times New Roman" w:hAnsi="Times New Roman"/>
          <w:sz w:val="20"/>
        </w:rPr>
        <w:t xml:space="preserve">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 </w:t>
      </w:r>
    </w:p>
    <w:p>
      <w:pPr>
        <w:pStyle w:val="TextBody"/>
        <w:spacing w:before="240" w:after="0"/>
        <w:jc w:val="left"/>
        <w:rPr>
          <w:rFonts w:ascii="Times New Roman" w:hAnsi="Times New Roman"/>
          <w:sz w:val="20"/>
        </w:rPr>
      </w:pPr>
      <w:r>
        <w:rPr>
          <w:rFonts w:ascii="Times New Roman" w:hAnsi="Times New Roman"/>
          <w:sz w:val="20"/>
        </w:rPr>
        <w:t xml:space="preserve">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 </w:t>
      </w:r>
    </w:p>
    <w:p>
      <w:pPr>
        <w:pStyle w:val="TextBody"/>
        <w:spacing w:before="240" w:after="0"/>
        <w:jc w:val="left"/>
        <w:rPr>
          <w:rFonts w:ascii="Times New Roman" w:hAnsi="Times New Roman"/>
          <w:sz w:val="20"/>
        </w:rPr>
      </w:pPr>
      <w:r>
        <w:rPr>
          <w:rFonts w:ascii="Times New Roman" w:hAnsi="Times New Roman"/>
          <w:sz w:val="20"/>
        </w:rPr>
        <w:t xml:space="preserve">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 </w:t>
      </w:r>
    </w:p>
    <w:p>
      <w:pPr>
        <w:pStyle w:val="TextBody"/>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spacing w:before="120" w:after="0"/>
        <w:jc w:val="left"/>
        <w:rPr>
          <w:rFonts w:ascii="Times New Roman" w:hAnsi="Times New Roman"/>
          <w:sz w:val="20"/>
        </w:rPr>
      </w:pPr>
      <w:r>
        <w:rPr>
          <w:rFonts w:ascii="Times New Roman" w:hAnsi="Times New Roman"/>
          <w:i/>
          <w:sz w:val="20"/>
        </w:rPr>
        <w:t xml:space="preserve">Covenants. </w:t>
      </w:r>
      <w:r>
        <w:rPr>
          <w:rFonts w:ascii="Times New Roman" w:hAnsi="Times New Roman"/>
          <w:sz w:val="20"/>
        </w:rPr>
        <w:t xml:space="preserve">Unless we indicate otherwise in a prospectus supplement with respect to a particular series of senior debt securities, the senior debt securities 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 </w:t>
      </w:r>
    </w:p>
    <w:p>
      <w:pPr>
        <w:pStyle w:val="TextBody"/>
        <w:spacing w:before="240" w:after="0"/>
        <w:jc w:val="left"/>
        <w:rPr>
          <w:rFonts w:ascii="Times New Roman" w:hAnsi="Times New Roman"/>
          <w:sz w:val="20"/>
        </w:rPr>
      </w:pPr>
      <w:r>
        <w:rPr>
          <w:rFonts w:ascii="Times New Roman" w:hAnsi="Times New Roman"/>
          <w:i/>
          <w:sz w:val="20"/>
        </w:rPr>
        <w:t xml:space="preserve">Consolidation, Merger and Sale of Assets. </w:t>
      </w:r>
      <w:r>
        <w:rPr>
          <w:rFonts w:ascii="Times New Roman" w:hAnsi="Times New Roman"/>
          <w:sz w:val="20"/>
        </w:rPr>
        <w:t xml:space="preserve">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successor entity, if any, is a U.S. corporation, limited liability company, partnership or trust;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successor entity assumes our obligations on the senior debt securities and under the senior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 </w:t>
            </w:r>
          </w:p>
        </w:tc>
      </w:tr>
    </w:tbl>
    <w:p>
      <w:pPr>
        <w:pStyle w:val="TextBody"/>
        <w:spacing w:before="240" w:after="0"/>
        <w:jc w:val="left"/>
        <w:rPr>
          <w:rFonts w:ascii="Times New Roman" w:hAnsi="Times New Roman"/>
          <w:sz w:val="20"/>
        </w:rPr>
      </w:pPr>
      <w:r>
        <w:rPr>
          <w:rFonts w:ascii="Times New Roman" w:hAnsi="Times New Roman"/>
          <w:sz w:val="20"/>
        </w:rPr>
        <w:t xml:space="preserve">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 </w:t>
      </w:r>
    </w:p>
    <w:p>
      <w:pPr>
        <w:pStyle w:val="TextBody"/>
        <w:spacing w:before="240" w:after="0"/>
        <w:jc w:val="left"/>
        <w:rPr>
          <w:rFonts w:ascii="Times New Roman" w:hAnsi="Times New Roman"/>
          <w:sz w:val="20"/>
        </w:rPr>
      </w:pPr>
      <w:r>
        <w:rPr>
          <w:rFonts w:ascii="Times New Roman" w:hAnsi="Times New Roman"/>
          <w:sz w:val="20"/>
        </w:rPr>
        <w:t xml:space="preserve">The surviving business entity will succeed to, and be substituted for, us under the senior indenture and the senior debt securities and, except in the case of a lease, we shall be released from all obligations under the senior indenture and the senior debt securities. </w:t>
      </w:r>
    </w:p>
    <w:p>
      <w:pPr>
        <w:pStyle w:val="TextBody"/>
        <w:spacing w:before="240" w:after="0"/>
        <w:jc w:val="left"/>
        <w:rPr>
          <w:rFonts w:ascii="Times New Roman" w:hAnsi="Times New Roman"/>
          <w:sz w:val="20"/>
        </w:rPr>
      </w:pPr>
      <w:r>
        <w:rPr>
          <w:rFonts w:ascii="Times New Roman" w:hAnsi="Times New Roman"/>
          <w:i/>
          <w:sz w:val="20"/>
        </w:rPr>
        <w:t xml:space="preserve">No Protection in the Event of a Change in Control. </w:t>
      </w:r>
      <w:r>
        <w:rPr>
          <w:rFonts w:ascii="Times New Roman" w:hAnsi="Times New Roman"/>
          <w:sz w:val="20"/>
        </w:rPr>
        <w:t xml:space="preserve">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 xml:space="preserve">Events of Default. </w:t>
      </w:r>
      <w:r>
        <w:rPr>
          <w:rFonts w:ascii="Times New Roman" w:hAnsi="Times New Roman"/>
          <w:sz w:val="20"/>
        </w:rPr>
        <w:t xml:space="preserve">Unless we indicate otherwise in a prospectus supplement with respect to a particular series of senior debt securities, the following are events of default under the senior indenture with respect to senior debt securities of each series: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to pay interest on any senior debt securities of such series when due and payable, if that default continues for a period of 30 days (or such other period as may be specified for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failure to pay principal on the senior debt securities of such series when due and payable whether at maturity, upon redemption, by declaration or otherwise (and, if specified for such series, the continuance of such failure for a specified period);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events of bankruptcy or insolvency, whether or not voluntary;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event of default provided for in such series of senior debt securities as may be specified in the applicable prospectus supplement. </w:t>
            </w:r>
          </w:p>
        </w:tc>
      </w:tr>
    </w:tbl>
    <w:p>
      <w:pPr>
        <w:pStyle w:val="TextBody"/>
        <w:spacing w:before="240" w:after="0"/>
        <w:jc w:val="left"/>
        <w:rPr>
          <w:rFonts w:ascii="Times New Roman" w:hAnsi="Times New Roman"/>
          <w:sz w:val="20"/>
        </w:rPr>
      </w:pPr>
      <w:r>
        <w:rPr>
          <w:rFonts w:ascii="Times New Roman" w:hAnsi="Times New Roman"/>
          <w:sz w:val="20"/>
        </w:rPr>
        <w:t xml:space="preserve">The default by us under any other debt, including any other series of debt securities, is not a default under the senior indenture. </w:t>
      </w:r>
    </w:p>
    <w:p>
      <w:pPr>
        <w:pStyle w:val="TextBody"/>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 </w:t>
      </w:r>
    </w:p>
    <w:p>
      <w:pPr>
        <w:pStyle w:val="TextBody"/>
        <w:spacing w:before="240" w:after="0"/>
        <w:jc w:val="left"/>
        <w:rPr>
          <w:rFonts w:ascii="Times New Roman" w:hAnsi="Times New Roman"/>
          <w:sz w:val="20"/>
        </w:rPr>
      </w:pPr>
      <w:r>
        <w:rPr>
          <w:rFonts w:ascii="Times New Roman" w:hAnsi="Times New Roman"/>
          <w:sz w:val="20"/>
        </w:rPr>
        <w:t xml:space="preserve">If an event of default specified in the fourth bullet point above occurs and is continuing, the entire principal amount of and accrued interest on each series of senior debt securities then outstanding shall automatically become immediately due and payable. </w:t>
      </w:r>
    </w:p>
    <w:p>
      <w:pPr>
        <w:pStyle w:val="TextBody"/>
        <w:spacing w:before="240" w:after="0"/>
        <w:jc w:val="left"/>
        <w:rPr>
          <w:rFonts w:ascii="Times New Roman" w:hAnsi="Times New Roman"/>
          <w:sz w:val="20"/>
        </w:rPr>
      </w:pPr>
      <w:r>
        <w:rPr>
          <w:rFonts w:ascii="Times New Roman" w:hAnsi="Times New Roman"/>
          <w:sz w:val="20"/>
        </w:rPr>
        <w:t xml:space="preserve">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 </w:t>
      </w:r>
    </w:p>
    <w:p>
      <w:pPr>
        <w:pStyle w:val="TextBody"/>
        <w:spacing w:before="240" w:after="0"/>
        <w:jc w:val="left"/>
        <w:rPr>
          <w:rFonts w:ascii="Times New Roman" w:hAnsi="Times New Roman"/>
          <w:sz w:val="20"/>
        </w:rPr>
      </w:pPr>
      <w:r>
        <w:rPr>
          <w:rFonts w:ascii="Times New Roman" w:hAnsi="Times New Roman"/>
          <w:sz w:val="20"/>
        </w:rPr>
        <w:t xml:space="preserve">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 gives the trustee written notice of a continuing event of default;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holders of at least 25% in aggregate principal amount of such series of senior debt securities make a written request to the trustee to pursue the remedy in respect of such event of default;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requesting holder or holders offer the trustee indemnity satisfactory to the trustee against any costs, liability or expense;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trustee does not comply with the request within 60 days after receipt of the request and the offer of indemnity;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during such 60-day period, the holders of a majority in aggregate principal amount of such series of senior debt securities do not give the trustee a direction that is inconsistent with the request. </w:t>
            </w:r>
          </w:p>
        </w:tc>
      </w:tr>
    </w:tbl>
    <w:p>
      <w:pPr>
        <w:pStyle w:val="TextBody"/>
        <w:spacing w:before="240" w:after="0"/>
        <w:jc w:val="left"/>
        <w:rPr>
          <w:rFonts w:ascii="Times New Roman" w:hAnsi="Times New Roman"/>
          <w:sz w:val="20"/>
        </w:rPr>
      </w:pPr>
      <w:r>
        <w:rPr>
          <w:rFonts w:ascii="Times New Roman" w:hAnsi="Times New Roman"/>
          <w:sz w:val="20"/>
        </w:rPr>
        <w:t xml:space="preserve">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 </w:t>
      </w:r>
    </w:p>
    <w:p>
      <w:pPr>
        <w:pStyle w:val="TextBody"/>
        <w:spacing w:before="240" w:after="0"/>
        <w:jc w:val="left"/>
        <w:rPr>
          <w:rFonts w:ascii="Times New Roman" w:hAnsi="Times New Roman"/>
          <w:sz w:val="20"/>
        </w:rPr>
      </w:pPr>
      <w:r>
        <w:rPr>
          <w:rFonts w:ascii="Times New Roman" w:hAnsi="Times New Roman"/>
          <w:sz w:val="20"/>
        </w:rPr>
        <w:t xml:space="preserve">The senior indenture requires certain of our officers to certify, on or before a fixed date in each year in which any senior debt security is outstanding, as to their knowledge of our compliance with all covenants, agreements and conditions under the senior indenture. </w:t>
      </w:r>
    </w:p>
    <w:p>
      <w:pPr>
        <w:pStyle w:val="TextBody"/>
        <w:spacing w:before="240" w:after="0"/>
        <w:jc w:val="left"/>
        <w:rPr>
          <w:rFonts w:ascii="Times New Roman" w:hAnsi="Times New Roman"/>
          <w:sz w:val="20"/>
        </w:rPr>
      </w:pPr>
      <w:r>
        <w:rPr>
          <w:rFonts w:ascii="Times New Roman" w:hAnsi="Times New Roman"/>
          <w:i/>
          <w:sz w:val="20"/>
        </w:rPr>
        <w:t>Satisfaction and Discharge</w:t>
      </w:r>
      <w:r>
        <w:rPr>
          <w:rFonts w:ascii="Times New Roman" w:hAnsi="Times New Roman"/>
          <w:sz w:val="20"/>
        </w:rPr>
        <w:t xml:space="preserve">. We can satisfy and discharge our obligations to holders of any series of debt securities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paid or caused to be paid the principal of and interest on all senior debt securities of such series (with certain limited exceptions) when due and payable;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deliver to the senior trustee for cancellation all senior debt securities of such series theretofore authenticated under the senior indenture (with certain limited exceptions);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w:t>
            </w:r>
          </w:p>
        </w:tc>
      </w:tr>
    </w:tbl>
    <w:p>
      <w:pPr>
        <w:pStyle w:val="TextBody"/>
        <w:spacing w:before="240" w:after="0"/>
        <w:jc w:val="left"/>
        <w:rPr>
          <w:rFonts w:ascii="Times New Roman" w:hAnsi="Times New Roman"/>
          <w:sz w:val="20"/>
        </w:rPr>
      </w:pPr>
      <w:r>
        <w:rPr>
          <w:rFonts w:ascii="Times New Roman" w:hAnsi="Times New Roman"/>
          <w:sz w:val="20"/>
        </w:rPr>
        <w:t xml:space="preserve">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 </w:t>
      </w:r>
    </w:p>
    <w:p>
      <w:pPr>
        <w:pStyle w:val="TextBody"/>
        <w:spacing w:before="240" w:after="0"/>
        <w:jc w:val="left"/>
        <w:rPr>
          <w:rFonts w:ascii="Times New Roman" w:hAnsi="Times New Roman"/>
          <w:sz w:val="20"/>
        </w:rPr>
      </w:pPr>
      <w:r>
        <w:rPr>
          <w:rFonts w:ascii="Times New Roman" w:hAnsi="Times New Roman"/>
          <w:sz w:val="20"/>
        </w:rPr>
        <w:t xml:space="preserve">Under current U.S. federal income tax law, the deposit and our legal release from the debt securities would be treated as though we took back your debt securities and gave you your share of the cash and debt securities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 </w:t>
      </w:r>
    </w:p>
    <w:p>
      <w:pPr>
        <w:pStyle w:val="TextBody"/>
        <w:spacing w:before="240" w:after="0"/>
        <w:jc w:val="left"/>
        <w:rPr>
          <w:rFonts w:ascii="Times New Roman" w:hAnsi="Times New Roman"/>
          <w:sz w:val="20"/>
        </w:rPr>
      </w:pPr>
      <w:r>
        <w:rPr>
          <w:rFonts w:ascii="Times New Roman" w:hAnsi="Times New Roman"/>
          <w:i/>
          <w:sz w:val="20"/>
        </w:rPr>
        <w:t xml:space="preserve">Defeasance. </w:t>
      </w:r>
      <w:r>
        <w:rPr>
          <w:rFonts w:ascii="Times New Roman" w:hAnsi="Times New Roman"/>
          <w:sz w:val="20"/>
        </w:rPr>
        <w:t xml:space="preserve">Unless the applicable prospectus supplement provides otherwise, the following discussion of legal defeasance and covenant defeasance will apply to any series of debt securities issued under the indentures. </w:t>
      </w:r>
    </w:p>
    <w:p>
      <w:pPr>
        <w:pStyle w:val="TextBody"/>
        <w:spacing w:before="24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We can legally release ourselves from any payment or other obligations on the debt securities of any series (called legal defeasance) if certain conditions are met,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deliver to the trustee a legal opinion of our counsel confirming the tax law change or ruling described above. </w:t>
            </w:r>
          </w:p>
        </w:tc>
      </w:tr>
    </w:tbl>
    <w:p>
      <w:pPr>
        <w:pStyle w:val="TextBody"/>
        <w:spacing w:before="240" w:after="0"/>
        <w:jc w:val="left"/>
        <w:rPr>
          <w:rFonts w:ascii="Times New Roman" w:hAnsi="Times New Roman"/>
          <w:sz w:val="20"/>
        </w:rPr>
      </w:pPr>
      <w:r>
        <w:rPr>
          <w:rFonts w:ascii="Times New Roman" w:hAnsi="Times New Roman"/>
          <w:sz w:val="20"/>
        </w:rPr>
        <w:t xml:space="preserve">If we accomplish legal defeasance, as described above, you would have to rely solely on the trust deposit for repayment of the debt securities. You could not look to us for repayment in the event of any shortfall. </w:t>
      </w:r>
    </w:p>
    <w:p>
      <w:pPr>
        <w:pStyle w:val="TextBody"/>
        <w:spacing w:before="240" w:after="0"/>
        <w:jc w:val="left"/>
        <w:rPr>
          <w:rFonts w:ascii="Times New Roman" w:hAnsi="Times New Roman"/>
          <w:sz w:val="20"/>
        </w:rPr>
      </w:pPr>
      <w:r>
        <w:rPr>
          <w:rFonts w:ascii="Times New Roman" w:hAnsi="Times New Roman"/>
          <w:i/>
          <w:sz w:val="20"/>
        </w:rPr>
        <w:t>Covenant Defeasance</w:t>
      </w:r>
      <w:r>
        <w:rPr>
          <w:rFonts w:ascii="Times New Roman" w:hAnsi="Times New Roman"/>
          <w:sz w:val="20"/>
        </w:rPr>
        <w:t xml:space="preserve">. Without any change in current U.S. federal tax law, we can make the same type of deposit described above and be released from 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must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 </w:t>
            </w:r>
          </w:p>
        </w:tc>
      </w:tr>
    </w:tbl>
    <w:p>
      <w:pPr>
        <w:pStyle w:val="TextBody"/>
        <w:spacing w:before="240" w:after="0"/>
        <w:jc w:val="left"/>
        <w:rPr>
          <w:rFonts w:ascii="Times New Roman" w:hAnsi="Times New Roman"/>
          <w:sz w:val="20"/>
        </w:rPr>
      </w:pPr>
      <w:r>
        <w:rPr>
          <w:rFonts w:ascii="Times New Roman" w:hAnsi="Times New Roman"/>
          <w:sz w:val="20"/>
        </w:rPr>
        <w:t xml:space="preserve">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 xml:space="preserve">Modification and Waiver. </w:t>
      </w:r>
      <w:r>
        <w:rPr>
          <w:rFonts w:ascii="Times New Roman" w:hAnsi="Times New Roman"/>
          <w:sz w:val="20"/>
        </w:rPr>
        <w:t xml:space="preserve">We and the trustee may amend or supplement the senior indenture or the senior debt securities of any series without the consent of any holder: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convey, transfer, assign, mortgage or pledge any assets as security for the senior debt securities of one or more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comply with the requirements of the SEC in order to effect or maintain the qualification of the senior indenture under the Trust Indenture Act of 1939, as amended (the Trust Indenture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provide for or add guarantors with respect to the senior debt securities of any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establish the form or forms or terms of the senior debt securities as permitted by the senior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senior indenture by a successor trustee, or to make such changes as shall be necessary to provide for or facilitate the administration of the trusts in the senior indenture by more than one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make any change to the senior debt securities of any series so long as no senior debt securities of such series are outstanding;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in any material respect. </w:t>
            </w:r>
          </w:p>
        </w:tc>
      </w:tr>
    </w:tbl>
    <w:p>
      <w:pPr>
        <w:pStyle w:val="TextBody"/>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extends the final maturity of any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reduces the principal amount of any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reduces the rate, or extends the time for payment of, interest on any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reduces the amount payable upon the redemption of any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the currency of payment of principal of or interest on any senior debt securities of such series;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reduces the principal amount of original issue discount securities payable upon acceleration of maturity or the amount provable in bankruptcy;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waives a continuing default in the payment of principal of or interest on the senior debt securities (other than any such default in payment resulting solely from an acceleration of the senior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the provisions relating to the waiver of past defaults or impairs the right of holders to receive payment or to institute suit for the enforcement of any payment or conversion of any senior debt securities of such series on or after the due date therefor;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adversely affects the right to convert or exchange senior debt securities into common stock or other property in accordance with the terms of the senior debt securities;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reduces the above-stated percentage of outstanding senior debt securities of such series whose holders must consent to a supplemental indenture or modifies or amends or waives certain provisions of or defaults under the senior indenture. </w:t>
            </w:r>
          </w:p>
        </w:tc>
      </w:tr>
    </w:tbl>
    <w:p>
      <w:pPr>
        <w:pStyle w:val="TextBody"/>
        <w:spacing w:before="240" w:after="0"/>
        <w:jc w:val="left"/>
        <w:rPr>
          <w:rFonts w:ascii="Times New Roman" w:hAnsi="Times New Roman"/>
          <w:sz w:val="20"/>
        </w:rPr>
      </w:pPr>
      <w:r>
        <w:rPr>
          <w:rFonts w:ascii="Times New Roman" w:hAnsi="Times New Roman"/>
          <w:sz w:val="20"/>
        </w:rPr>
        <w:t xml:space="preserve">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 </w:t>
      </w:r>
    </w:p>
    <w:p>
      <w:pPr>
        <w:pStyle w:val="TextBody"/>
        <w:spacing w:before="240" w:after="0"/>
        <w:jc w:val="left"/>
        <w:rPr>
          <w:rFonts w:ascii="Times New Roman" w:hAnsi="Times New Roman"/>
          <w:sz w:val="20"/>
        </w:rPr>
      </w:pPr>
      <w:r>
        <w:rPr>
          <w:rFonts w:ascii="Times New Roman" w:hAnsi="Times New Roman"/>
          <w:i/>
          <w:sz w:val="20"/>
        </w:rPr>
        <w:t xml:space="preserve">No Personal Liability of Incorporators, Stockholders, Officers or Directors. </w:t>
      </w:r>
      <w:r>
        <w:rPr>
          <w:rFonts w:ascii="Times New Roman" w:hAnsi="Times New Roman"/>
          <w:sz w:val="20"/>
        </w:rPr>
        <w:t xml:space="preserve">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 </w:t>
      </w:r>
    </w:p>
    <w:p>
      <w:pPr>
        <w:pStyle w:val="TextBody"/>
        <w:spacing w:before="240" w:after="0"/>
        <w:jc w:val="left"/>
        <w:rPr>
          <w:rFonts w:ascii="Times New Roman" w:hAnsi="Times New Roman"/>
          <w:sz w:val="20"/>
        </w:rPr>
      </w:pPr>
      <w:r>
        <w:rPr>
          <w:rFonts w:ascii="Times New Roman" w:hAnsi="Times New Roman"/>
          <w:i/>
          <w:sz w:val="20"/>
        </w:rPr>
        <w:t xml:space="preserve">Concerning the Trustee. </w:t>
      </w:r>
      <w:r>
        <w:rPr>
          <w:rFonts w:ascii="Times New Roman" w:hAnsi="Times New Roman"/>
          <w:sz w:val="20"/>
        </w:rPr>
        <w:t xml:space="preserve">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 </w:t>
      </w:r>
    </w:p>
    <w:p>
      <w:pPr>
        <w:pStyle w:val="TextBody"/>
        <w:spacing w:before="240" w:after="0"/>
        <w:jc w:val="left"/>
        <w:rPr>
          <w:rFonts w:ascii="Times New Roman" w:hAnsi="Times New Roman"/>
          <w:sz w:val="20"/>
        </w:rPr>
      </w:pPr>
      <w:r>
        <w:rPr>
          <w:rFonts w:ascii="Times New Roman" w:hAnsi="Times New Roman"/>
          <w:sz w:val="20"/>
        </w:rPr>
        <w:t xml:space="preserve">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 </w:t>
      </w:r>
    </w:p>
    <w:p>
      <w:pPr>
        <w:pStyle w:val="TextBody"/>
        <w:spacing w:before="240" w:after="0"/>
        <w:jc w:val="left"/>
        <w:rPr>
          <w:rFonts w:ascii="Times New Roman" w:hAnsi="Times New Roman"/>
          <w:sz w:val="20"/>
        </w:rPr>
      </w:pPr>
      <w:r>
        <w:rPr>
          <w:rFonts w:ascii="Times New Roman" w:hAnsi="Times New Roman"/>
          <w:sz w:val="20"/>
        </w:rPr>
        <w:t xml:space="preserve">We may have normal banking relationships with the senior trustee in the ordinary course of business. </w:t>
      </w:r>
    </w:p>
    <w:p>
      <w:pPr>
        <w:pStyle w:val="TextBody"/>
        <w:spacing w:before="240" w:after="0"/>
        <w:jc w:val="left"/>
        <w:rPr>
          <w:rFonts w:ascii="Times New Roman" w:hAnsi="Times New Roman"/>
          <w:sz w:val="20"/>
        </w:rPr>
      </w:pPr>
      <w:r>
        <w:rPr>
          <w:rFonts w:ascii="Times New Roman" w:hAnsi="Times New Roman"/>
          <w:i/>
          <w:sz w:val="20"/>
        </w:rPr>
        <w:t xml:space="preserve">Unclaimed Funds. </w:t>
      </w:r>
      <w:r>
        <w:rPr>
          <w:rFonts w:ascii="Times New Roman" w:hAnsi="Times New Roman"/>
          <w:sz w:val="20"/>
        </w:rPr>
        <w:t xml:space="preserve">All funds deposited with the trustee or any paying agent for the payment of principal, premium, interest or additional amounts in respect of the senior debt securities that remain unclaimed for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two years after the date upon which such amounts became due and payable will be repaid to us. Thereafter, any right of any holder of senior debt securities to such funds shall be enforceable only against us, and the trustee and paying agents will have no liability therefor. </w:t>
      </w:r>
    </w:p>
    <w:p>
      <w:pPr>
        <w:pStyle w:val="TextBody"/>
        <w:spacing w:before="240" w:after="0"/>
        <w:jc w:val="left"/>
        <w:rPr>
          <w:rFonts w:ascii="Times New Roman" w:hAnsi="Times New Roman"/>
          <w:sz w:val="20"/>
        </w:rPr>
      </w:pPr>
      <w:r>
        <w:rPr>
          <w:rFonts w:ascii="Times New Roman" w:hAnsi="Times New Roman"/>
          <w:i/>
          <w:sz w:val="20"/>
        </w:rPr>
        <w:t xml:space="preserve">Governing Law. </w:t>
      </w:r>
      <w:r>
        <w:rPr>
          <w:rFonts w:ascii="Times New Roman" w:hAnsi="Times New Roman"/>
          <w:sz w:val="20"/>
        </w:rPr>
        <w:t xml:space="preserve">The senior indenture and the senior debt securities will be governed by, and construed in accordance with, the internal laws of the State of New York. </w:t>
      </w:r>
    </w:p>
    <w:p>
      <w:pPr>
        <w:pStyle w:val="TextBody"/>
        <w:spacing w:before="360" w:after="0"/>
        <w:jc w:val="left"/>
        <w:rPr>
          <w:rFonts w:ascii="Times New Roman" w:hAnsi="Times New Roman"/>
          <w:b/>
          <w:sz w:val="20"/>
        </w:rPr>
      </w:pPr>
      <w:r>
        <w:rPr>
          <w:rFonts w:ascii="Times New Roman" w:hAnsi="Times New Roman"/>
          <w:b/>
          <w:sz w:val="20"/>
        </w:rPr>
        <w:t xml:space="preserve">Certain Terms of the Subordinated Debt Securities </w:t>
      </w:r>
    </w:p>
    <w:p>
      <w:pPr>
        <w:pStyle w:val="TextBody"/>
        <w:spacing w:before="120" w:after="0"/>
        <w:jc w:val="left"/>
        <w:rPr>
          <w:rFonts w:ascii="Times New Roman" w:hAnsi="Times New Roman"/>
          <w:sz w:val="20"/>
        </w:rPr>
      </w:pPr>
      <w:r>
        <w:rPr>
          <w:rFonts w:ascii="Times New Roman" w:hAnsi="Times New Roman"/>
          <w:sz w:val="20"/>
        </w:rPr>
        <w:t xml:space="preserve">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w:t>
      </w:r>
    </w:p>
    <w:p>
      <w:pPr>
        <w:pStyle w:val="TextBody"/>
        <w:spacing w:before="240" w:after="0"/>
        <w:jc w:val="left"/>
        <w:rPr>
          <w:rFonts w:ascii="Times New Roman" w:hAnsi="Times New Roman"/>
          <w:sz w:val="20"/>
        </w:rPr>
      </w:pPr>
      <w:r>
        <w:rPr>
          <w:rFonts w:ascii="Times New Roman" w:hAnsi="Times New Roman"/>
          <w:sz w:val="20"/>
        </w:rPr>
        <w:t xml:space="preserve">Additional or different subordination terms may be specified in the prospectus supplement applicable to a particular series. </w:t>
      </w:r>
    </w:p>
    <w:p>
      <w:pPr>
        <w:pStyle w:val="TextBody"/>
        <w:spacing w:before="240" w:after="0"/>
        <w:jc w:val="left"/>
        <w:rPr>
          <w:rFonts w:ascii="Times New Roman" w:hAnsi="Times New Roman"/>
          <w:sz w:val="20"/>
        </w:rPr>
      </w:pPr>
      <w:r>
        <w:rPr>
          <w:rFonts w:ascii="Times New Roman" w:hAnsi="Times New Roman"/>
          <w:i/>
          <w:sz w:val="20"/>
        </w:rPr>
        <w:t xml:space="preserve">Subordination. </w:t>
      </w:r>
      <w:r>
        <w:rPr>
          <w:rFonts w:ascii="Times New Roman" w:hAnsi="Times New Roman"/>
          <w:sz w:val="20"/>
        </w:rPr>
        <w:t xml:space="preserve">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 </w:t>
      </w:r>
    </w:p>
    <w:p>
      <w:pPr>
        <w:pStyle w:val="TextBody"/>
        <w:spacing w:before="240" w:after="0"/>
        <w:jc w:val="left"/>
        <w:rPr>
          <w:rFonts w:ascii="Times New Roman" w:hAnsi="Times New Roman"/>
          <w:sz w:val="20"/>
        </w:rPr>
      </w:pPr>
      <w:r>
        <w:rPr>
          <w:rFonts w:ascii="Times New Roman" w:hAnsi="Times New Roman"/>
          <w:sz w:val="20"/>
        </w:rPr>
        <w:t xml:space="preserve">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the indebtedness of that person for money borrowed;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the indebtedness of that person evidenced by notes, debentures, bonds or other securities sold by that person for money;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the lease obligations that are capitalized on the books of that person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renewals, extensions or refundings of indebtedness of the kinds described in the first, second or fourth bullet point above and all renewals or extensions of leases of the kinds described in the third or fourth bullet point above; </w:t>
            </w:r>
          </w:p>
        </w:tc>
      </w:tr>
    </w:tbl>
    <w:p>
      <w:pPr>
        <w:pStyle w:val="TextBody"/>
        <w:spacing w:before="120" w:after="0"/>
        <w:jc w:val="left"/>
        <w:rPr>
          <w:rFonts w:ascii="Times New Roman" w:hAnsi="Times New Roman"/>
          <w:sz w:val="20"/>
        </w:rPr>
      </w:pPr>
      <w:r>
        <w:rPr>
          <w:rFonts w:ascii="Times New Roman" w:hAnsi="Times New Roman"/>
          <w:sz w:val="20"/>
        </w:rPr>
        <w:t xml:space="preserve">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toc207524_9"/>
      <w:bookmarkEnd w:id="25"/>
      <w:r>
        <w:rPr>
          <w:rFonts w:ascii="Times New Roman" w:hAnsi="Times New Roman"/>
          <w:b/>
          <w:sz w:val="20"/>
        </w:rPr>
        <w:t xml:space="preserve">DESCRIPTION OF CAPITAL STOCK </w:t>
      </w:r>
    </w:p>
    <w:p>
      <w:pPr>
        <w:pStyle w:val="TextBody"/>
        <w:spacing w:before="240" w:after="0"/>
        <w:jc w:val="left"/>
        <w:rPr>
          <w:rFonts w:ascii="Times New Roman" w:hAnsi="Times New Roman"/>
          <w:sz w:val="20"/>
        </w:rPr>
      </w:pPr>
      <w:r>
        <w:rPr>
          <w:rFonts w:ascii="Times New Roman" w:hAnsi="Times New Roman"/>
          <w:sz w:val="20"/>
        </w:rPr>
        <w:t xml:space="preserve">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 </w:t>
      </w:r>
    </w:p>
    <w:p>
      <w:pPr>
        <w:pStyle w:val="TextBody"/>
        <w:spacing w:before="240" w:after="0"/>
        <w:jc w:val="left"/>
        <w:rPr>
          <w:rFonts w:ascii="Times New Roman" w:hAnsi="Times New Roman"/>
          <w:sz w:val="20"/>
        </w:rPr>
      </w:pPr>
      <w:r>
        <w:rPr>
          <w:rFonts w:ascii="Times New Roman" w:hAnsi="Times New Roman"/>
          <w:sz w:val="20"/>
        </w:rPr>
        <w:t xml:space="preserve">Our authorized capital stock consists of 200,000,000 shares of our common stock, par value $0.001 per share, and 5,000,000 shares of our preferred stock, par value $0.001 per share, all of which preferred stock is undesignated. </w:t>
      </w:r>
    </w:p>
    <w:p>
      <w:pPr>
        <w:pStyle w:val="TextBody"/>
        <w:spacing w:before="240" w:after="0"/>
        <w:jc w:val="left"/>
        <w:rPr>
          <w:rFonts w:ascii="Times New Roman" w:hAnsi="Times New Roman"/>
          <w:sz w:val="20"/>
        </w:rPr>
      </w:pPr>
      <w:r>
        <w:rPr>
          <w:rFonts w:ascii="Times New Roman" w:hAnsi="Times New Roman"/>
          <w:sz w:val="20"/>
        </w:rPr>
        <w:t xml:space="preserve">As of June 30, 2020, we had issued and outstanding 27,452,872 shares of our common stock held by 75 stockholders of record (not including beneficial owners whose shares are held in nominee or street name), including 229,076 shares of unvested restricted stock subject to repurchase by us. </w:t>
      </w:r>
    </w:p>
    <w:p>
      <w:pPr>
        <w:pStyle w:val="TextBody"/>
        <w:spacing w:before="360" w:after="0"/>
        <w:jc w:val="left"/>
        <w:rPr>
          <w:rFonts w:ascii="Times New Roman" w:hAnsi="Times New Roman"/>
          <w:b/>
          <w:sz w:val="20"/>
        </w:rPr>
      </w:pPr>
      <w:r>
        <w:rPr>
          <w:rFonts w:ascii="Times New Roman" w:hAnsi="Times New Roman"/>
          <w:b/>
          <w:sz w:val="20"/>
        </w:rPr>
        <w:t xml:space="preserve">Common Stock </w:t>
      </w:r>
    </w:p>
    <w:p>
      <w:pPr>
        <w:pStyle w:val="TextBody"/>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 </w:t>
      </w:r>
    </w:p>
    <w:p>
      <w:pPr>
        <w:pStyle w:val="TextBody"/>
        <w:spacing w:before="240" w:after="0"/>
        <w:jc w:val="left"/>
        <w:rPr>
          <w:rFonts w:ascii="Times New Roman" w:hAnsi="Times New Roman"/>
          <w:sz w:val="20"/>
        </w:rPr>
      </w:pPr>
      <w:r>
        <w:rPr>
          <w:rFonts w:ascii="Times New Roman" w:hAnsi="Times New Roman"/>
          <w:sz w:val="20"/>
        </w:rPr>
        <w:t xml:space="preserve">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 </w:t>
      </w:r>
    </w:p>
    <w:p>
      <w:pPr>
        <w:pStyle w:val="TextBody"/>
        <w:spacing w:before="360" w:after="0"/>
        <w:jc w:val="left"/>
        <w:rPr>
          <w:rFonts w:ascii="Times New Roman" w:hAnsi="Times New Roman"/>
          <w:b/>
          <w:sz w:val="20"/>
        </w:rPr>
      </w:pPr>
      <w:r>
        <w:rPr>
          <w:rFonts w:ascii="Times New Roman" w:hAnsi="Times New Roman"/>
          <w:b/>
          <w:sz w:val="20"/>
        </w:rPr>
        <w:t xml:space="preserve">Preferred Stock </w:t>
      </w:r>
    </w:p>
    <w:p>
      <w:pPr>
        <w:pStyle w:val="TextBody"/>
        <w:spacing w:before="120" w:after="0"/>
        <w:jc w:val="left"/>
        <w:rPr>
          <w:rFonts w:ascii="Times New Roman" w:hAnsi="Times New Roman"/>
          <w:sz w:val="20"/>
        </w:rPr>
      </w:pPr>
      <w:r>
        <w:rPr>
          <w:rFonts w:ascii="Times New Roman" w:hAnsi="Times New Roman"/>
          <w:sz w:val="20"/>
        </w:rPr>
        <w:t xml:space="preserve">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 </w:t>
      </w:r>
    </w:p>
    <w:p>
      <w:pPr>
        <w:pStyle w:val="TextBody"/>
        <w:spacing w:before="240" w:after="0"/>
        <w:jc w:val="left"/>
        <w:rPr>
          <w:rFonts w:ascii="Times New Roman" w:hAnsi="Times New Roman"/>
          <w:sz w:val="20"/>
        </w:rPr>
      </w:pPr>
      <w:r>
        <w:rPr>
          <w:rFonts w:ascii="Times New Roman" w:hAnsi="Times New Roman"/>
          <w:sz w:val="20"/>
        </w:rPr>
        <w:t xml:space="preserve">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and stated value per share of the preferred stock and the number of shares offered;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of liquidation preference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price at which the preferred stock will be issued;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dividend rate, or method of calculation of dividends, the dates on which dividends will be payable, whether dividends will be cumulative or noncumulative and, if cumulative, the dates from which dividends will commence to accumulate;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redemption or sinking fund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including composite currencies in which the preferred stock is denominated and/or in which payments will or may be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conversion provisions;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we have elected to offer depositary shares as described under Description of Depositary Shares;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rights, preferences, privileges, limitations and restrictions on the preferred stock. </w:t>
            </w:r>
          </w:p>
        </w:tc>
      </w:tr>
    </w:tbl>
    <w:p>
      <w:pPr>
        <w:pStyle w:val="TextBody"/>
        <w:spacing w:before="240" w:after="0"/>
        <w:jc w:val="left"/>
        <w:rPr>
          <w:rFonts w:ascii="Times New Roman" w:hAnsi="Times New Roman"/>
          <w:sz w:val="20"/>
        </w:rPr>
      </w:pPr>
      <w:r>
        <w:rPr>
          <w:rFonts w:ascii="Times New Roman" w:hAnsi="Times New Roman"/>
          <w:sz w:val="20"/>
        </w:rPr>
        <w:t xml:space="preserve">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 </w:t>
      </w:r>
    </w:p>
    <w:p>
      <w:pPr>
        <w:pStyle w:val="TextBody"/>
        <w:spacing w:before="240" w:after="0"/>
        <w:jc w:val="left"/>
        <w:rPr>
          <w:rFonts w:ascii="Times New Roman" w:hAnsi="Times New Roman"/>
          <w:sz w:val="20"/>
        </w:rPr>
      </w:pPr>
      <w:r>
        <w:rPr>
          <w:rFonts w:ascii="Times New Roman" w:hAnsi="Times New Roman"/>
          <w:sz w:val="20"/>
        </w:rPr>
        <w:t xml:space="preserve">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 </w:t>
      </w:r>
    </w:p>
    <w:p>
      <w:pPr>
        <w:pStyle w:val="TextBody"/>
        <w:spacing w:before="240" w:after="0"/>
        <w:jc w:val="left"/>
        <w:rPr>
          <w:rFonts w:ascii="Times New Roman" w:hAnsi="Times New Roman"/>
          <w:sz w:val="20"/>
        </w:rPr>
      </w:pPr>
      <w:r>
        <w:rPr>
          <w:rFonts w:ascii="Times New Roman" w:hAnsi="Times New Roman"/>
          <w:i/>
          <w:sz w:val="20"/>
        </w:rPr>
        <w:t>Rank</w:t>
      </w:r>
      <w:r>
        <w:rPr>
          <w:rFonts w:ascii="Times New Roman" w:hAnsi="Times New Roman"/>
          <w:sz w:val="20"/>
        </w:rPr>
        <w:t xml:space="preserve">. Unless otherwise specified in the prospectus supplement, the preferred stock will, with respect to dividend rights and rights upon our liquidation, dissolution or winding up of our affairs, rank: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senior to our common stock and to all equity securities ranking junior to such preferred stock with respect to dividend rights or rights upon our liquidation, dissolution or winding up of our affairs;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a parity with all equity securities issued by us, the terms of which specifically provide that such equity securities rank on a parity with the preferred stock with respect to dividend rights or rights upon our liquidation, dissolution or winding up of our affairs;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junior to all equity securities issued by us, the terms of which specifically provide that such equity securities rank senior to the preferred stock with respect to dividend rights or rights upon our liquidation, dissolution or winding up of our affairs. </w:t>
            </w:r>
          </w:p>
        </w:tc>
      </w:tr>
    </w:tbl>
    <w:p>
      <w:pPr>
        <w:pStyle w:val="TextBody"/>
        <w:spacing w:before="240" w:after="0"/>
        <w:jc w:val="left"/>
        <w:rPr>
          <w:rFonts w:ascii="Times New Roman" w:hAnsi="Times New Roman"/>
          <w:sz w:val="20"/>
        </w:rPr>
      </w:pPr>
      <w:r>
        <w:rPr>
          <w:rFonts w:ascii="Times New Roman" w:hAnsi="Times New Roman"/>
          <w:sz w:val="20"/>
        </w:rPr>
        <w:t xml:space="preserve">The term equity securities does not include convertible debt securities. </w:t>
      </w:r>
    </w:p>
    <w:p>
      <w:pPr>
        <w:pStyle w:val="TextBody"/>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Holders of the preferred stock of each series will be entitled to receive, when, as and if declared by our board of directors, cash dividends at such rates and on such dates described in the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 </w:t>
      </w:r>
    </w:p>
    <w:p>
      <w:pPr>
        <w:pStyle w:val="TextBody"/>
        <w:spacing w:before="240" w:after="0"/>
        <w:jc w:val="left"/>
        <w:rPr>
          <w:rFonts w:ascii="Times New Roman" w:hAnsi="Times New Roman"/>
          <w:sz w:val="20"/>
        </w:rPr>
      </w:pPr>
      <w:r>
        <w:rPr>
          <w:rFonts w:ascii="Times New Roman" w:hAnsi="Times New Roman"/>
          <w:sz w:val="20"/>
        </w:rPr>
        <w:t xml:space="preserve">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 </w:t>
      </w:r>
    </w:p>
    <w:p>
      <w:pPr>
        <w:pStyle w:val="TextBody"/>
        <w:spacing w:before="240" w:after="0"/>
        <w:jc w:val="left"/>
        <w:rPr>
          <w:rFonts w:ascii="Times New Roman" w:hAnsi="Times New Roman"/>
          <w:sz w:val="20"/>
        </w:rPr>
      </w:pPr>
      <w:r>
        <w:rPr>
          <w:rFonts w:ascii="Times New Roman" w:hAnsi="Times New Roman"/>
          <w:i/>
          <w:sz w:val="20"/>
        </w:rPr>
        <w:t>Liquidation Preference</w:t>
      </w:r>
      <w:r>
        <w:rPr>
          <w:rFonts w:ascii="Times New Roman" w:hAnsi="Times New Roman"/>
          <w:sz w:val="20"/>
        </w:rPr>
        <w:t xml:space="preserve">. Upon any voluntary or involuntary liquidation, dissolution or winding up of our affairs, then, before we make any distribution or 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 </w:t>
      </w:r>
    </w:p>
    <w:p>
      <w:pPr>
        <w:pStyle w:val="TextBody"/>
        <w:spacing w:before="240" w:after="0"/>
        <w:jc w:val="left"/>
        <w:rPr>
          <w:rFonts w:ascii="Times New Roman" w:hAnsi="Times New Roman"/>
          <w:sz w:val="20"/>
        </w:rPr>
      </w:pPr>
      <w:r>
        <w:rPr>
          <w:rFonts w:ascii="Times New Roman" w:hAnsi="Times New Roman"/>
          <w:sz w:val="20"/>
        </w:rPr>
        <w:t xml:space="preserve">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 </w:t>
      </w:r>
    </w:p>
    <w:p>
      <w:pPr>
        <w:pStyle w:val="TextBody"/>
        <w:spacing w:before="240" w:after="0"/>
        <w:jc w:val="left"/>
        <w:rPr>
          <w:rFonts w:ascii="Times New Roman" w:hAnsi="Times New Roman"/>
          <w:sz w:val="20"/>
        </w:rPr>
      </w:pPr>
      <w:r>
        <w:rPr>
          <w:rFonts w:ascii="Times New Roman" w:hAnsi="Times New Roman"/>
          <w:i/>
          <w:sz w:val="20"/>
        </w:rPr>
        <w:t>Redemption</w:t>
      </w:r>
      <w:r>
        <w:rPr>
          <w:rFonts w:ascii="Times New Roman" w:hAnsi="Times New Roman"/>
          <w:sz w:val="20"/>
        </w:rPr>
        <w:t xml:space="preserve">. If so provided in the applicable prospectus supplement, the preferred stock will be subject to mandatory redemption or redemption at our option, as a whole or in part, in each case upon the terms, at the times and at the redemption prices set forth in such prospectus supplement. </w:t>
      </w:r>
    </w:p>
    <w:p>
      <w:pPr>
        <w:pStyle w:val="TextBody"/>
        <w:spacing w:before="240" w:after="0"/>
        <w:jc w:val="left"/>
        <w:rPr>
          <w:rFonts w:ascii="Times New Roman" w:hAnsi="Times New Roman"/>
          <w:sz w:val="20"/>
        </w:rPr>
      </w:pPr>
      <w:r>
        <w:rPr>
          <w:rFonts w:ascii="Times New Roman" w:hAnsi="Times New Roman"/>
          <w:sz w:val="20"/>
        </w:rPr>
        <w:t xml:space="preserve">The prospectus supplement relating to a series of preferred stock that is subject to mandatory redemption will specify the number of shares of preferred stock that shall be redeemed by us in each year commencing after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the preferred stock for all past dividend periods and the then current dividend period;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such series of preferred stock does not have a cumulative dividend, we have declared and paid or contemporaneously declare and pay or set aside funds to pay full dividends for the then current dividend period. </w:t>
            </w:r>
          </w:p>
        </w:tc>
      </w:tr>
    </w:tbl>
    <w:p>
      <w:pPr>
        <w:pStyle w:val="TextBody"/>
        <w:spacing w:before="240" w:after="0"/>
        <w:jc w:val="left"/>
        <w:rPr>
          <w:rFonts w:ascii="Times New Roman" w:hAnsi="Times New Roman"/>
          <w:sz w:val="20"/>
        </w:rPr>
      </w:pPr>
      <w:r>
        <w:rPr>
          <w:rFonts w:ascii="Times New Roman" w:hAnsi="Times New Roman"/>
          <w:sz w:val="20"/>
        </w:rPr>
        <w:t xml:space="preserve">In addition, we will not acquire any preferred stock of a series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that series of preferred stock does not have a cumulative dividend, we have declared and paid or contemporaneously declare and pay or set aside funds to pay full dividends on the preferred stock of such series for the then current dividend period. </w:t>
            </w:r>
          </w:p>
        </w:tc>
      </w:tr>
    </w:tbl>
    <w:p>
      <w:pPr>
        <w:pStyle w:val="TextBody"/>
        <w:spacing w:before="240" w:after="0"/>
        <w:jc w:val="left"/>
        <w:rPr>
          <w:rFonts w:ascii="Times New Roman" w:hAnsi="Times New Roman"/>
          <w:sz w:val="20"/>
        </w:rPr>
      </w:pPr>
      <w:r>
        <w:rPr>
          <w:rFonts w:ascii="Times New Roman" w:hAnsi="Times New Roman"/>
          <w:sz w:val="20"/>
        </w:rPr>
        <w:t xml:space="preserve">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 </w:t>
      </w:r>
    </w:p>
    <w:p>
      <w:pPr>
        <w:pStyle w:val="TextBody"/>
        <w:spacing w:before="240" w:after="0"/>
        <w:jc w:val="left"/>
        <w:rPr>
          <w:rFonts w:ascii="Times New Roman" w:hAnsi="Times New Roman"/>
          <w:sz w:val="20"/>
        </w:rPr>
      </w:pPr>
      <w:r>
        <w:rPr>
          <w:rFonts w:ascii="Times New Roman" w:hAnsi="Times New Roman"/>
          <w:sz w:val="20"/>
        </w:rPr>
        <w:t xml:space="preserve">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 </w:t>
      </w:r>
    </w:p>
    <w:p>
      <w:pPr>
        <w:pStyle w:val="TextBody"/>
        <w:spacing w:before="240" w:after="0"/>
        <w:jc w:val="left"/>
        <w:rPr>
          <w:rFonts w:ascii="Times New Roman" w:hAnsi="Times New Roman"/>
          <w:sz w:val="20"/>
        </w:rPr>
      </w:pPr>
      <w:r>
        <w:rPr>
          <w:rFonts w:ascii="Times New Roman" w:hAnsi="Times New Roman"/>
          <w:sz w:val="20"/>
        </w:rPr>
        <w:t xml:space="preserve">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redemption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and series of preferred stock to be redeemed;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redemption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place or places where certificates for such preferred stock are to be surrendered for payment of the redemption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that dividends on the shares to be redeemed will cease to accrue on such redemption date;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on which the holders conversion rights, if any, as to such shares shall terminate;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specific number of shares to be redeemed from each such holder if fewer than all the shares of any series are to be redeemed. </w:t>
            </w:r>
          </w:p>
        </w:tc>
      </w:tr>
    </w:tbl>
    <w:p>
      <w:pPr>
        <w:pStyle w:val="TextBody"/>
        <w:spacing w:before="240" w:after="0"/>
        <w:jc w:val="left"/>
        <w:rPr>
          <w:rFonts w:ascii="Times New Roman" w:hAnsi="Times New Roman"/>
          <w:sz w:val="20"/>
        </w:rPr>
      </w:pPr>
      <w:r>
        <w:rPr>
          <w:rFonts w:ascii="Times New Roman" w:hAnsi="Times New Roman"/>
          <w:sz w:val="20"/>
        </w:rPr>
        <w:t xml:space="preserve">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 </w:t>
      </w:r>
    </w:p>
    <w:p>
      <w:pPr>
        <w:pStyle w:val="TextBody"/>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preferred stock will not have any voting rights, except as required by law or as indicated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 </w:t>
      </w:r>
    </w:p>
    <w:p>
      <w:pPr>
        <w:pStyle w:val="TextBody"/>
        <w:spacing w:before="240" w:after="0"/>
        <w:jc w:val="left"/>
        <w:rPr>
          <w:rFonts w:ascii="Times New Roman" w:hAnsi="Times New Roman"/>
          <w:sz w:val="20"/>
        </w:rPr>
      </w:pPr>
      <w:r>
        <w:rPr>
          <w:rFonts w:ascii="Times New Roman" w:hAnsi="Times New Roman"/>
          <w:i/>
          <w:sz w:val="20"/>
        </w:rPr>
        <w:t>Conversion Rights</w:t>
      </w:r>
      <w:r>
        <w:rPr>
          <w:rFonts w:ascii="Times New Roman" w:hAnsi="Times New Roman"/>
          <w:sz w:val="20"/>
        </w:rPr>
        <w:t xml:space="preserve">. The terms and conditions, if any, upon which any series of preferred stock is convertible into our common stock will be set 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 </w:t>
      </w:r>
    </w:p>
    <w:p>
      <w:pPr>
        <w:pStyle w:val="TextBody"/>
        <w:spacing w:before="240" w:after="0"/>
        <w:jc w:val="left"/>
        <w:rPr>
          <w:rFonts w:ascii="Times New Roman" w:hAnsi="Times New Roman"/>
          <w:sz w:val="20"/>
        </w:rPr>
      </w:pPr>
      <w:r>
        <w:rPr>
          <w:rFonts w:ascii="Times New Roman" w:hAnsi="Times New Roman"/>
          <w:i/>
          <w:sz w:val="20"/>
        </w:rPr>
        <w:t>Transfer Agent and Registrar</w:t>
      </w:r>
      <w:r>
        <w:rPr>
          <w:rFonts w:ascii="Times New Roman" w:hAnsi="Times New Roman"/>
          <w:sz w:val="20"/>
        </w:rPr>
        <w:t xml:space="preserve">. The transfer agent and registrar for the preferred stock will be set forth in the applicable prospectus supplement. </w:t>
      </w:r>
    </w:p>
    <w:p>
      <w:pPr>
        <w:pStyle w:val="TextBody"/>
        <w:spacing w:before="360" w:after="0"/>
        <w:jc w:val="left"/>
        <w:rPr>
          <w:rFonts w:ascii="Times New Roman" w:hAnsi="Times New Roman"/>
          <w:b/>
          <w:sz w:val="20"/>
        </w:rPr>
      </w:pPr>
      <w:r>
        <w:rPr>
          <w:rFonts w:ascii="Times New Roman" w:hAnsi="Times New Roman"/>
          <w:b/>
          <w:sz w:val="20"/>
        </w:rPr>
        <w:t xml:space="preserve">Delaware Anti-Takeover Law and Certain Charter and Bylaw Provisions </w:t>
      </w:r>
    </w:p>
    <w:p>
      <w:pPr>
        <w:pStyle w:val="TextBody"/>
        <w:spacing w:before="120" w:after="0"/>
        <w:jc w:val="left"/>
        <w:rPr>
          <w:rFonts w:ascii="Times New Roman" w:hAnsi="Times New Roman"/>
          <w:b/>
          <w:i/>
          <w:sz w:val="20"/>
        </w:rPr>
      </w:pPr>
      <w:r>
        <w:rPr>
          <w:rFonts w:ascii="Times New Roman" w:hAnsi="Times New Roman"/>
          <w:b/>
          <w:i/>
          <w:sz w:val="20"/>
        </w:rPr>
        <w:t xml:space="preserve">Delaware Law </w:t>
      </w:r>
    </w:p>
    <w:p>
      <w:pPr>
        <w:pStyle w:val="TextBody"/>
        <w:spacing w:before="120" w:after="0"/>
        <w:jc w:val="left"/>
        <w:rPr>
          <w:rFonts w:ascii="Times New Roman" w:hAnsi="Times New Roman"/>
          <w:sz w:val="20"/>
        </w:rPr>
      </w:pPr>
      <w:r>
        <w:rPr>
          <w:rFonts w:ascii="Times New Roman" w:hAnsi="Times New Roman"/>
          <w:sz w:val="20"/>
        </w:rPr>
        <w:t xml:space="preserve">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w:t>
      </w:r>
    </w:p>
    <w:p>
      <w:pPr>
        <w:pStyle w:val="TextBody"/>
        <w:spacing w:before="360" w:after="0"/>
        <w:jc w:val="left"/>
        <w:rPr>
          <w:rFonts w:ascii="Times New Roman" w:hAnsi="Times New Roman"/>
          <w:b/>
          <w:i/>
          <w:sz w:val="20"/>
        </w:rPr>
      </w:pPr>
      <w:r>
        <w:rPr>
          <w:rFonts w:ascii="Times New Roman" w:hAnsi="Times New Roman"/>
          <w:b/>
          <w:i/>
          <w:sz w:val="20"/>
        </w:rPr>
        <w:t xml:space="preserve">Staggered Board; Removal of Directors </w:t>
      </w:r>
    </w:p>
    <w:p>
      <w:pPr>
        <w:pStyle w:val="TextBody"/>
        <w:spacing w:before="120" w:after="0"/>
        <w:jc w:val="left"/>
        <w:rPr>
          <w:rFonts w:ascii="Times New Roman" w:hAnsi="Times New Roman"/>
          <w:sz w:val="20"/>
        </w:rPr>
      </w:pPr>
      <w:r>
        <w:rPr>
          <w:rFonts w:ascii="Times New Roman" w:hAnsi="Times New Roman"/>
          <w:sz w:val="20"/>
        </w:rPr>
        <w:t xml:space="preserve">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 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 </w:t>
      </w:r>
    </w:p>
    <w:p>
      <w:pPr>
        <w:pStyle w:val="TextBody"/>
        <w:spacing w:before="360" w:after="0"/>
        <w:jc w:val="left"/>
        <w:rPr>
          <w:rFonts w:ascii="Times New Roman" w:hAnsi="Times New Roman"/>
          <w:b/>
          <w:i/>
          <w:sz w:val="20"/>
        </w:rPr>
      </w:pPr>
      <w:r>
        <w:rPr>
          <w:rFonts w:ascii="Times New Roman" w:hAnsi="Times New Roman"/>
          <w:b/>
          <w:i/>
          <w:sz w:val="20"/>
        </w:rPr>
        <w:t xml:space="preserve">Stockholder Action; Special Meeting of Stockholders; Advance Notice Requirements for Stockholder Proposals and Director Nominations </w:t>
      </w:r>
    </w:p>
    <w:p>
      <w:pPr>
        <w:pStyle w:val="TextBody"/>
        <w:spacing w:before="120" w:after="0"/>
        <w:jc w:val="left"/>
        <w:rPr>
          <w:rFonts w:ascii="Times New Roman" w:hAnsi="Times New Roman"/>
          <w:sz w:val="20"/>
        </w:rPr>
      </w:pPr>
      <w:r>
        <w:rPr>
          <w:rFonts w:ascii="Times New Roman" w:hAnsi="Times New Roman"/>
          <w:sz w:val="20"/>
        </w:rPr>
        <w:t xml:space="preserve">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 </w:t>
      </w:r>
    </w:p>
    <w:p>
      <w:pPr>
        <w:pStyle w:val="TextBody"/>
        <w:spacing w:before="360" w:after="0"/>
        <w:jc w:val="left"/>
        <w:rPr>
          <w:rFonts w:ascii="Times New Roman" w:hAnsi="Times New Roman"/>
          <w:b/>
          <w:i/>
          <w:sz w:val="20"/>
        </w:rPr>
      </w:pPr>
      <w:r>
        <w:rPr>
          <w:rFonts w:ascii="Times New Roman" w:hAnsi="Times New Roman"/>
          <w:b/>
          <w:i/>
          <w:sz w:val="20"/>
        </w:rPr>
        <w:t xml:space="preserve">Super-Majority Voting </w:t>
      </w:r>
    </w:p>
    <w:p>
      <w:pPr>
        <w:pStyle w:val="TextBody"/>
        <w:spacing w:before="120" w:after="0"/>
        <w:jc w:val="left"/>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 </w:t>
      </w:r>
    </w:p>
    <w:p>
      <w:pPr>
        <w:pStyle w:val="TextBody"/>
        <w:spacing w:before="360" w:after="0"/>
        <w:jc w:val="left"/>
        <w:rPr>
          <w:rFonts w:ascii="Times New Roman" w:hAnsi="Times New Roman"/>
          <w:b/>
          <w:i/>
          <w:sz w:val="20"/>
        </w:rPr>
      </w:pPr>
      <w:r>
        <w:rPr>
          <w:rFonts w:ascii="Times New Roman" w:hAnsi="Times New Roman"/>
          <w:b/>
          <w:i/>
          <w:sz w:val="20"/>
        </w:rPr>
        <w:t xml:space="preserve">Exclusive Forum Selection </w:t>
      </w:r>
    </w:p>
    <w:p>
      <w:pPr>
        <w:pStyle w:val="TextBody"/>
        <w:spacing w:before="120" w:after="0"/>
        <w:jc w:val="left"/>
        <w:rPr>
          <w:rFonts w:ascii="Times New Roman" w:hAnsi="Times New Roman"/>
          <w:sz w:val="20"/>
        </w:rPr>
      </w:pPr>
      <w:r>
        <w:rPr>
          <w:rFonts w:ascii="Times New Roman" w:hAnsi="Times New Roman"/>
          <w:sz w:val="20"/>
        </w:rPr>
        <w:t xml:space="preserve">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Registration Rights </w:t>
      </w:r>
    </w:p>
    <w:p>
      <w:pPr>
        <w:pStyle w:val="TextBody"/>
        <w:spacing w:before="120" w:after="0"/>
        <w:jc w:val="left"/>
        <w:rPr>
          <w:rFonts w:ascii="Times New Roman" w:hAnsi="Times New Roman"/>
          <w:b/>
          <w:i/>
          <w:sz w:val="20"/>
        </w:rPr>
      </w:pPr>
      <w:r>
        <w:rPr>
          <w:rFonts w:ascii="Times New Roman" w:hAnsi="Times New Roman"/>
          <w:b/>
          <w:i/>
          <w:sz w:val="20"/>
        </w:rPr>
        <w:t xml:space="preserve">Investors Rights Agreement </w:t>
      </w:r>
    </w:p>
    <w:p>
      <w:pPr>
        <w:pStyle w:val="TextBody"/>
        <w:spacing w:before="120" w:after="0"/>
        <w:jc w:val="left"/>
        <w:rPr>
          <w:rFonts w:ascii="Times New Roman" w:hAnsi="Times New Roman"/>
          <w:sz w:val="20"/>
        </w:rPr>
      </w:pPr>
      <w:r>
        <w:rPr>
          <w:rFonts w:ascii="Times New Roman" w:hAnsi="Times New Roman"/>
          <w:sz w:val="20"/>
        </w:rPr>
        <w:t xml:space="preserve">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 </w:t>
      </w:r>
    </w:p>
    <w:p>
      <w:pPr>
        <w:pStyle w:val="TextBody"/>
        <w:spacing w:before="360" w:after="0"/>
        <w:jc w:val="left"/>
        <w:rPr>
          <w:rFonts w:ascii="Times New Roman" w:hAnsi="Times New Roman"/>
          <w:b/>
          <w:i/>
          <w:sz w:val="20"/>
        </w:rPr>
      </w:pPr>
      <w:r>
        <w:rPr>
          <w:rFonts w:ascii="Times New Roman" w:hAnsi="Times New Roman"/>
          <w:b/>
          <w:i/>
          <w:sz w:val="20"/>
        </w:rPr>
        <w:t xml:space="preserve">Demand and Form S-3 Registration Rights </w:t>
      </w:r>
    </w:p>
    <w:p>
      <w:pPr>
        <w:pStyle w:val="TextBody"/>
        <w:spacing w:before="120" w:after="0"/>
        <w:jc w:val="left"/>
        <w:rPr>
          <w:rFonts w:ascii="Times New Roman" w:hAnsi="Times New Roman"/>
          <w:sz w:val="20"/>
        </w:rPr>
      </w:pPr>
      <w:r>
        <w:rPr>
          <w:rFonts w:ascii="Times New Roman" w:hAnsi="Times New Roman"/>
          <w:sz w:val="20"/>
        </w:rPr>
        <w:t xml:space="preserve">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 </w:t>
      </w:r>
    </w:p>
    <w:p>
      <w:pPr>
        <w:pStyle w:val="TextBody"/>
        <w:spacing w:before="240" w:after="0"/>
        <w:jc w:val="left"/>
        <w:rPr>
          <w:rFonts w:ascii="Times New Roman" w:hAnsi="Times New Roman"/>
          <w:sz w:val="20"/>
        </w:rPr>
      </w:pPr>
      <w:r>
        <w:rPr>
          <w:rFonts w:ascii="Times New Roman" w:hAnsi="Times New Roman"/>
          <w:sz w:val="20"/>
        </w:rPr>
        <w:t xml:space="preserve">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 </w:t>
      </w:r>
    </w:p>
    <w:p>
      <w:pPr>
        <w:pStyle w:val="TextBody"/>
        <w:spacing w:before="360" w:after="0"/>
        <w:jc w:val="left"/>
        <w:rPr>
          <w:rFonts w:ascii="Times New Roman" w:hAnsi="Times New Roman"/>
          <w:b/>
          <w:i/>
          <w:sz w:val="20"/>
        </w:rPr>
      </w:pPr>
      <w:r>
        <w:rPr>
          <w:rFonts w:ascii="Times New Roman" w:hAnsi="Times New Roman"/>
          <w:b/>
          <w:i/>
          <w:sz w:val="20"/>
        </w:rPr>
        <w:t xml:space="preserve">Incidental Registration Rights </w:t>
      </w:r>
    </w:p>
    <w:p>
      <w:pPr>
        <w:pStyle w:val="TextBody"/>
        <w:spacing w:before="120" w:after="0"/>
        <w:jc w:val="left"/>
        <w:rPr>
          <w:rFonts w:ascii="Times New Roman" w:hAnsi="Times New Roman"/>
          <w:sz w:val="20"/>
        </w:rPr>
      </w:pPr>
      <w:r>
        <w:rPr>
          <w:rFonts w:ascii="Times New Roman" w:hAnsi="Times New Roman"/>
          <w:sz w:val="20"/>
        </w:rPr>
        <w:t xml:space="preserve">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 </w:t>
      </w:r>
    </w:p>
    <w:p>
      <w:pPr>
        <w:pStyle w:val="TextBody"/>
        <w:spacing w:before="240" w:after="0"/>
        <w:jc w:val="left"/>
        <w:rPr>
          <w:rFonts w:ascii="Times New Roman" w:hAnsi="Times New Roman"/>
          <w:sz w:val="20"/>
        </w:rPr>
      </w:pPr>
      <w:r>
        <w:rPr>
          <w:rFonts w:ascii="Times New Roman" w:hAnsi="Times New Roman"/>
          <w:sz w:val="20"/>
        </w:rPr>
        <w:t xml:space="preserve">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 </w:t>
      </w:r>
    </w:p>
    <w:p>
      <w:pPr>
        <w:pStyle w:val="TextBody"/>
        <w:spacing w:before="360" w:after="0"/>
        <w:jc w:val="left"/>
        <w:rPr>
          <w:rFonts w:ascii="Times New Roman" w:hAnsi="Times New Roman"/>
          <w:b/>
          <w:i/>
          <w:sz w:val="20"/>
        </w:rPr>
      </w:pPr>
      <w:r>
        <w:rPr>
          <w:rFonts w:ascii="Times New Roman" w:hAnsi="Times New Roman"/>
          <w:b/>
          <w:i/>
          <w:sz w:val="20"/>
        </w:rPr>
        <w:t xml:space="preserve">Expenses </w:t>
      </w:r>
    </w:p>
    <w:p>
      <w:pPr>
        <w:pStyle w:val="TextBody"/>
        <w:spacing w:before="120" w:after="0"/>
        <w:jc w:val="left"/>
        <w:rPr>
          <w:rFonts w:ascii="Times New Roman" w:hAnsi="Times New Roman"/>
          <w:sz w:val="20"/>
        </w:rPr>
      </w:pPr>
      <w:r>
        <w:rPr>
          <w:rFonts w:ascii="Times New Roman" w:hAnsi="Times New Roman"/>
          <w:sz w:val="20"/>
        </w:rPr>
        <w:t xml:space="preserve">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 </w:t>
      </w:r>
    </w:p>
    <w:p>
      <w:pPr>
        <w:pStyle w:val="TextBody"/>
        <w:spacing w:before="240" w:after="0"/>
        <w:jc w:val="left"/>
        <w:rPr>
          <w:rFonts w:ascii="Times New Roman" w:hAnsi="Times New Roman"/>
          <w:sz w:val="20"/>
        </w:rPr>
      </w:pPr>
      <w:r>
        <w:rPr>
          <w:rFonts w:ascii="Times New Roman" w:hAnsi="Times New Roman"/>
          <w:sz w:val="20"/>
        </w:rPr>
        <w:t xml:space="preserve">The investors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spacing w:before="360" w:after="0"/>
        <w:jc w:val="left"/>
        <w:rPr>
          <w:rFonts w:ascii="Times New Roman" w:hAnsi="Times New Roman"/>
          <w:b/>
          <w:sz w:val="20"/>
        </w:rPr>
      </w:pPr>
      <w:r>
        <w:rPr>
          <w:rFonts w:ascii="Times New Roman" w:hAnsi="Times New Roman"/>
          <w:b/>
          <w:sz w:val="20"/>
        </w:rPr>
        <w:t xml:space="preserve">Nasdaq Global Market </w:t>
      </w:r>
    </w:p>
    <w:p>
      <w:pPr>
        <w:pStyle w:val="TextBody"/>
        <w:spacing w:before="120" w:after="0"/>
        <w:jc w:val="left"/>
        <w:rPr>
          <w:rFonts w:ascii="Times New Roman" w:hAnsi="Times New Roman"/>
          <w:sz w:val="20"/>
        </w:rPr>
      </w:pPr>
      <w:r>
        <w:rPr>
          <w:rFonts w:ascii="Times New Roman" w:hAnsi="Times New Roman"/>
          <w:sz w:val="20"/>
        </w:rPr>
        <w:t xml:space="preserve">Our common stock is listed on the Nasdaq Global Market under the symbol FULC.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toc207524_10"/>
      <w:bookmarkEnd w:id="26"/>
      <w:r>
        <w:rPr>
          <w:rFonts w:ascii="Times New Roman" w:hAnsi="Times New Roman"/>
          <w:b/>
          <w:sz w:val="20"/>
        </w:rPr>
        <w:t xml:space="preserve">DESCRIPTION OF DEPOSITARY SHARES </w:t>
      </w:r>
    </w:p>
    <w:p>
      <w:pPr>
        <w:pStyle w:val="TextBody"/>
        <w:spacing w:before="24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 </w:t>
      </w:r>
    </w:p>
    <w:p>
      <w:pPr>
        <w:pStyle w:val="TextBody"/>
        <w:spacing w:before="240" w:after="0"/>
        <w:jc w:val="left"/>
        <w:rPr>
          <w:rFonts w:ascii="Times New Roman" w:hAnsi="Times New Roman"/>
          <w:sz w:val="20"/>
        </w:rPr>
      </w:pPr>
      <w:r>
        <w:rPr>
          <w:rFonts w:ascii="Times New Roman" w:hAnsi="Times New Roman"/>
          <w:sz w:val="20"/>
        </w:rPr>
        <w:t xml:space="preserve">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 </w:t>
      </w:r>
    </w:p>
    <w:p>
      <w:pPr>
        <w:pStyle w:val="TextBody"/>
        <w:spacing w:before="240" w:after="0"/>
        <w:jc w:val="left"/>
        <w:rPr>
          <w:rFonts w:ascii="Times New Roman" w:hAnsi="Times New Roman"/>
          <w:sz w:val="20"/>
        </w:rPr>
      </w:pPr>
      <w:r>
        <w:rPr>
          <w:rFonts w:ascii="Times New Roman" w:hAnsi="Times New Roman"/>
          <w:sz w:val="20"/>
        </w:rPr>
        <w:t xml:space="preserve">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 </w:t>
      </w:r>
    </w:p>
    <w:p>
      <w:pPr>
        <w:pStyle w:val="TextBody"/>
        <w:spacing w:before="240" w:after="0"/>
        <w:jc w:val="left"/>
        <w:rPr>
          <w:rFonts w:ascii="Times New Roman" w:hAnsi="Times New Roman"/>
          <w:sz w:val="20"/>
        </w:rPr>
      </w:pPr>
      <w:r>
        <w:rPr>
          <w:rFonts w:ascii="Times New Roman" w:hAnsi="Times New Roman"/>
          <w:sz w:val="20"/>
        </w:rPr>
        <w:t xml:space="preserve">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 </w:t>
      </w:r>
    </w:p>
    <w:p>
      <w:pPr>
        <w:pStyle w:val="TextBody"/>
        <w:spacing w:before="360" w:after="0"/>
        <w:jc w:val="left"/>
        <w:rPr>
          <w:rFonts w:ascii="Times New Roman" w:hAnsi="Times New Roman"/>
          <w:b/>
          <w:sz w:val="20"/>
        </w:rPr>
      </w:pPr>
      <w:r>
        <w:rPr>
          <w:rFonts w:ascii="Times New Roman" w:hAnsi="Times New Roman"/>
          <w:b/>
          <w:sz w:val="20"/>
        </w:rPr>
        <w:t xml:space="preserve">Dividends and Other Distributions </w:t>
      </w:r>
    </w:p>
    <w:p>
      <w:pPr>
        <w:pStyle w:val="TextBody"/>
        <w:spacing w:before="120" w:after="0"/>
        <w:jc w:val="left"/>
        <w:rPr>
          <w:rFonts w:ascii="Times New Roman" w:hAnsi="Times New Roman"/>
          <w:sz w:val="20"/>
        </w:rPr>
      </w:pPr>
      <w:r>
        <w:rPr>
          <w:rFonts w:ascii="Times New Roman" w:hAnsi="Times New Roman"/>
          <w:sz w:val="20"/>
        </w:rPr>
        <w:t xml:space="preserve">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 </w:t>
      </w:r>
    </w:p>
    <w:p>
      <w:pPr>
        <w:pStyle w:val="TextBody"/>
        <w:spacing w:before="240" w:after="0"/>
        <w:jc w:val="left"/>
        <w:rPr>
          <w:rFonts w:ascii="Times New Roman" w:hAnsi="Times New Roman"/>
          <w:sz w:val="20"/>
        </w:rPr>
      </w:pPr>
      <w:r>
        <w:rPr>
          <w:rFonts w:ascii="Times New Roman" w:hAnsi="Times New Roman"/>
          <w:sz w:val="20"/>
        </w:rPr>
        <w:t xml:space="preserve">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 </w:t>
      </w:r>
    </w:p>
    <w:p>
      <w:pPr>
        <w:pStyle w:val="TextBody"/>
        <w:spacing w:before="360" w:after="0"/>
        <w:jc w:val="left"/>
        <w:rPr>
          <w:rFonts w:ascii="Times New Roman" w:hAnsi="Times New Roman"/>
          <w:b/>
          <w:sz w:val="20"/>
        </w:rPr>
      </w:pPr>
      <w:r>
        <w:rPr>
          <w:rFonts w:ascii="Times New Roman" w:hAnsi="Times New Roman"/>
          <w:b/>
          <w:sz w:val="20"/>
        </w:rPr>
        <w:t xml:space="preserve">Liquidation Preference </w:t>
      </w:r>
    </w:p>
    <w:p>
      <w:pPr>
        <w:pStyle w:val="TextBody"/>
        <w:spacing w:before="120" w:after="0"/>
        <w:jc w:val="left"/>
        <w:rPr>
          <w:rFonts w:ascii="Times New Roman" w:hAnsi="Times New Roman"/>
          <w:sz w:val="20"/>
        </w:rPr>
      </w:pPr>
      <w:r>
        <w:rPr>
          <w:rFonts w:ascii="Times New Roman" w:hAnsi="Times New Roman"/>
          <w:sz w:val="20"/>
        </w:rPr>
        <w:t xml:space="preserve">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 </w:t>
      </w:r>
    </w:p>
    <w:p>
      <w:pPr>
        <w:pStyle w:val="TextBody"/>
        <w:spacing w:before="360" w:after="0"/>
        <w:jc w:val="left"/>
        <w:rPr>
          <w:rFonts w:ascii="Times New Roman" w:hAnsi="Times New Roman"/>
          <w:b/>
          <w:sz w:val="20"/>
        </w:rPr>
      </w:pPr>
      <w:r>
        <w:rPr>
          <w:rFonts w:ascii="Times New Roman" w:hAnsi="Times New Roman"/>
          <w:b/>
          <w:sz w:val="20"/>
        </w:rPr>
        <w:t xml:space="preserve">Withdrawal of Stock </w:t>
      </w:r>
    </w:p>
    <w:p>
      <w:pPr>
        <w:pStyle w:val="TextBody"/>
        <w:spacing w:before="120" w:after="0"/>
        <w:jc w:val="left"/>
        <w:rPr>
          <w:rFonts w:ascii="Times New Roman" w:hAnsi="Times New Roman"/>
          <w:sz w:val="20"/>
        </w:rPr>
      </w:pPr>
      <w:r>
        <w:rPr>
          <w:rFonts w:ascii="Times New Roman" w:hAnsi="Times New Roman"/>
          <w:sz w:val="20"/>
        </w:rPr>
        <w:t xml:space="preserve">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 </w:t>
      </w:r>
    </w:p>
    <w:p>
      <w:pPr>
        <w:pStyle w:val="TextBody"/>
        <w:spacing w:before="360" w:after="0"/>
        <w:jc w:val="left"/>
        <w:rPr>
          <w:rFonts w:ascii="Times New Roman" w:hAnsi="Times New Roman"/>
          <w:b/>
          <w:sz w:val="20"/>
        </w:rPr>
      </w:pPr>
      <w:r>
        <w:rPr>
          <w:rFonts w:ascii="Times New Roman" w:hAnsi="Times New Roman"/>
          <w:b/>
          <w:sz w:val="20"/>
        </w:rPr>
        <w:t xml:space="preserve">Redemption of Depositary Shares </w:t>
      </w:r>
    </w:p>
    <w:p>
      <w:pPr>
        <w:pStyle w:val="TextBody"/>
        <w:spacing w:before="120" w:after="0"/>
        <w:jc w:val="left"/>
        <w:rPr>
          <w:rFonts w:ascii="Times New Roman" w:hAnsi="Times New Roman"/>
          <w:sz w:val="20"/>
        </w:rPr>
      </w:pPr>
      <w:r>
        <w:rPr>
          <w:rFonts w:ascii="Times New Roman" w:hAnsi="Times New Roman"/>
          <w:sz w:val="20"/>
        </w:rPr>
        <w:t xml:space="preserve">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 </w:t>
      </w:r>
    </w:p>
    <w:p>
      <w:pPr>
        <w:pStyle w:val="TextBody"/>
        <w:spacing w:before="240" w:after="0"/>
        <w:jc w:val="left"/>
        <w:rPr>
          <w:rFonts w:ascii="Times New Roman" w:hAnsi="Times New Roman"/>
          <w:sz w:val="20"/>
        </w:rPr>
      </w:pPr>
      <w:r>
        <w:rPr>
          <w:rFonts w:ascii="Times New Roman" w:hAnsi="Times New Roman"/>
          <w:sz w:val="20"/>
        </w:rPr>
        <w:t xml:space="preserve">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 </w:t>
      </w:r>
    </w:p>
    <w:p>
      <w:pPr>
        <w:pStyle w:val="TextBody"/>
        <w:spacing w:before="360" w:after="0"/>
        <w:jc w:val="left"/>
        <w:rPr>
          <w:rFonts w:ascii="Times New Roman" w:hAnsi="Times New Roman"/>
          <w:b/>
          <w:sz w:val="20"/>
        </w:rPr>
      </w:pPr>
      <w:r>
        <w:rPr>
          <w:rFonts w:ascii="Times New Roman" w:hAnsi="Times New Roman"/>
          <w:b/>
          <w:sz w:val="20"/>
        </w:rPr>
        <w:t xml:space="preserve">Voting the Preferred Stock </w:t>
      </w:r>
    </w:p>
    <w:p>
      <w:pPr>
        <w:pStyle w:val="TextBody"/>
        <w:spacing w:before="120" w:after="0"/>
        <w:jc w:val="left"/>
        <w:rPr>
          <w:rFonts w:ascii="Times New Roman" w:hAnsi="Times New Roman"/>
          <w:sz w:val="20"/>
        </w:rPr>
      </w:pPr>
      <w:r>
        <w:rPr>
          <w:rFonts w:ascii="Times New Roman" w:hAnsi="Times New Roman"/>
          <w:sz w:val="20"/>
        </w:rPr>
        <w:t xml:space="preserve">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 </w:t>
      </w:r>
    </w:p>
    <w:p>
      <w:pPr>
        <w:pStyle w:val="TextBody"/>
        <w:spacing w:before="360" w:after="0"/>
        <w:jc w:val="left"/>
        <w:rPr>
          <w:rFonts w:ascii="Times New Roman" w:hAnsi="Times New Roman"/>
          <w:b/>
          <w:sz w:val="20"/>
        </w:rPr>
      </w:pPr>
      <w:r>
        <w:rPr>
          <w:rFonts w:ascii="Times New Roman" w:hAnsi="Times New Roman"/>
          <w:b/>
          <w:sz w:val="20"/>
        </w:rPr>
        <w:t xml:space="preserve">Charges of Depositary </w:t>
      </w:r>
    </w:p>
    <w:p>
      <w:pPr>
        <w:pStyle w:val="TextBody"/>
        <w:spacing w:before="120" w:after="0"/>
        <w:jc w:val="left"/>
        <w:rPr>
          <w:rFonts w:ascii="Times New Roman" w:hAnsi="Times New Roman"/>
          <w:sz w:val="20"/>
        </w:rPr>
      </w:pPr>
      <w:r>
        <w:rPr>
          <w:rFonts w:ascii="Times New Roman" w:hAnsi="Times New Roman"/>
          <w:sz w:val="20"/>
        </w:rPr>
        <w:t xml:space="preserve">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 </w:t>
      </w:r>
    </w:p>
    <w:p>
      <w:pPr>
        <w:pStyle w:val="TextBody"/>
        <w:spacing w:before="360" w:after="0"/>
        <w:jc w:val="left"/>
        <w:rPr>
          <w:rFonts w:ascii="Times New Roman" w:hAnsi="Times New Roman"/>
          <w:b/>
          <w:sz w:val="20"/>
        </w:rPr>
      </w:pPr>
      <w:r>
        <w:rPr>
          <w:rFonts w:ascii="Times New Roman" w:hAnsi="Times New Roman"/>
          <w:b/>
          <w:sz w:val="20"/>
        </w:rPr>
        <w:t xml:space="preserve">Amendment and Termination of the Deposit Agreement </w:t>
      </w:r>
    </w:p>
    <w:p>
      <w:pPr>
        <w:pStyle w:val="TextBody"/>
        <w:spacing w:before="120" w:after="0"/>
        <w:jc w:val="left"/>
        <w:rPr>
          <w:rFonts w:ascii="Times New Roman" w:hAnsi="Times New Roman"/>
          <w:sz w:val="20"/>
        </w:rPr>
      </w:pPr>
      <w:r>
        <w:rPr>
          <w:rFonts w:ascii="Times New Roman" w:hAnsi="Times New Roman"/>
          <w:sz w:val="20"/>
        </w:rPr>
        <w:t xml:space="preserve">The form of depositary receipt evidencing the depositary shares and any provision of the deposit agreement may be amended by agreement between us and the depositary. However, any amendment that materially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outstanding depositary shares have been redeemed;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has been a final distribution of the preferred stock in connection with our dissolution and such distribution has been made to all the holders of depositary shares. </w:t>
            </w:r>
          </w:p>
        </w:tc>
      </w:tr>
    </w:tbl>
    <w:p>
      <w:pPr>
        <w:pStyle w:val="TextBody"/>
        <w:spacing w:before="360" w:after="0"/>
        <w:jc w:val="left"/>
        <w:rPr>
          <w:rFonts w:ascii="Times New Roman" w:hAnsi="Times New Roman"/>
          <w:b/>
          <w:sz w:val="20"/>
        </w:rPr>
      </w:pPr>
      <w:r>
        <w:rPr>
          <w:rFonts w:ascii="Times New Roman" w:hAnsi="Times New Roman"/>
          <w:b/>
          <w:sz w:val="20"/>
        </w:rPr>
        <w:t xml:space="preserve">Resignation and Removal of Depositary </w:t>
      </w:r>
    </w:p>
    <w:p>
      <w:pPr>
        <w:pStyle w:val="TextBody"/>
        <w:spacing w:before="120" w:after="0"/>
        <w:jc w:val="left"/>
        <w:rPr>
          <w:rFonts w:ascii="Times New Roman" w:hAnsi="Times New Roman"/>
          <w:sz w:val="20"/>
        </w:rPr>
      </w:pPr>
      <w:r>
        <w:rPr>
          <w:rFonts w:ascii="Times New Roman" w:hAnsi="Times New Roman"/>
          <w:sz w:val="20"/>
        </w:rPr>
        <w:t xml:space="preserve">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 </w:t>
      </w:r>
    </w:p>
    <w:p>
      <w:pPr>
        <w:pStyle w:val="TextBody"/>
        <w:spacing w:before="360" w:after="0"/>
        <w:jc w:val="left"/>
        <w:rPr>
          <w:rFonts w:ascii="Times New Roman" w:hAnsi="Times New Roman"/>
          <w:b/>
          <w:sz w:val="20"/>
        </w:rPr>
      </w:pPr>
      <w:r>
        <w:rPr>
          <w:rFonts w:ascii="Times New Roman" w:hAnsi="Times New Roman"/>
          <w:b/>
          <w:sz w:val="20"/>
        </w:rPr>
        <w:t xml:space="preserve">Notices </w:t>
      </w:r>
    </w:p>
    <w:p>
      <w:pPr>
        <w:pStyle w:val="TextBody"/>
        <w:spacing w:before="120" w:after="0"/>
        <w:jc w:val="left"/>
        <w:rPr>
          <w:rFonts w:ascii="Times New Roman" w:hAnsi="Times New Roman"/>
          <w:sz w:val="20"/>
        </w:rPr>
      </w:pPr>
      <w:r>
        <w:rPr>
          <w:rFonts w:ascii="Times New Roman" w:hAnsi="Times New Roman"/>
          <w:sz w:val="20"/>
        </w:rPr>
        <w:t xml:space="preserve">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 </w:t>
      </w:r>
    </w:p>
    <w:p>
      <w:pPr>
        <w:pStyle w:val="TextBody"/>
        <w:spacing w:before="360" w:after="0"/>
        <w:jc w:val="left"/>
        <w:rPr>
          <w:rFonts w:ascii="Times New Roman" w:hAnsi="Times New Roman"/>
          <w:b/>
          <w:sz w:val="20"/>
        </w:rPr>
      </w:pPr>
      <w:r>
        <w:rPr>
          <w:rFonts w:ascii="Times New Roman" w:hAnsi="Times New Roman"/>
          <w:b/>
          <w:sz w:val="20"/>
        </w:rPr>
        <w:t xml:space="preserve">Limitation of Liability </w:t>
      </w:r>
    </w:p>
    <w:p>
      <w:pPr>
        <w:pStyle w:val="TextBody"/>
        <w:spacing w:before="120" w:after="0"/>
        <w:jc w:val="left"/>
        <w:rPr>
          <w:rFonts w:ascii="Times New Roman" w:hAnsi="Times New Roman"/>
          <w:sz w:val="20"/>
        </w:rPr>
      </w:pPr>
      <w:r>
        <w:rPr>
          <w:rFonts w:ascii="Times New Roman" w:hAnsi="Times New Roman"/>
          <w:sz w:val="20"/>
        </w:rPr>
        <w:t xml:space="preserve">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toc207524_11"/>
      <w:bookmarkEnd w:id="27"/>
      <w:r>
        <w:rPr>
          <w:rFonts w:ascii="Times New Roman" w:hAnsi="Times New Roman"/>
          <w:b/>
          <w:sz w:val="20"/>
        </w:rPr>
        <w:t xml:space="preserve">DESCRIPTION OF UNITS </w:t>
      </w:r>
    </w:p>
    <w:p>
      <w:pPr>
        <w:pStyle w:val="TextBody"/>
        <w:spacing w:before="240" w:after="0"/>
        <w:jc w:val="left"/>
        <w:rPr>
          <w:rFonts w:ascii="Times New Roman" w:hAnsi="Times New Roman"/>
          <w:sz w:val="20"/>
        </w:rPr>
      </w:pPr>
      <w:r>
        <w:rPr>
          <w:rFonts w:ascii="Times New Roman" w:hAnsi="Times New Roman"/>
          <w:sz w:val="20"/>
        </w:rPr>
        <w:t xml:space="preserve">We may issue units comprised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 </w:t>
      </w:r>
    </w:p>
    <w:p>
      <w:pPr>
        <w:pStyle w:val="TextBody"/>
        <w:spacing w:before="240" w:after="0"/>
        <w:jc w:val="left"/>
        <w:rPr>
          <w:rFonts w:ascii="Times New Roman" w:hAnsi="Times New Roman"/>
          <w:sz w:val="20"/>
        </w:rPr>
      </w:pPr>
      <w:r>
        <w:rPr>
          <w:rFonts w:ascii="Times New Roman" w:hAnsi="Times New Roman"/>
          <w:sz w:val="20"/>
        </w:rPr>
        <w:t xml:space="preserve">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t>
      </w:r>
    </w:p>
    <w:p>
      <w:pPr>
        <w:pStyle w:val="TextBody"/>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units being offered,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material terms of the units and of the securities comprising the units, including whether and under what circumstances those securities may be held or transferred separately;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material provisions relating to the issuance, payment, settlement, transfer or exchange of the units or of the securities comprising the units;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material provisions of the governing unit agreement that differ from those described above. </w:t>
            </w:r>
          </w:p>
        </w:tc>
      </w:tr>
    </w:tbl>
    <w:p>
      <w:pPr>
        <w:pStyle w:val="TextBody"/>
        <w:spacing w:before="240" w:after="0"/>
        <w:jc w:val="left"/>
        <w:rPr>
          <w:rFonts w:ascii="Times New Roman" w:hAnsi="Times New Roman"/>
          <w:sz w:val="20"/>
        </w:rPr>
      </w:pPr>
      <w:r>
        <w:rPr>
          <w:rFonts w:ascii="Times New Roman" w:hAnsi="Times New Roman"/>
          <w:sz w:val="20"/>
        </w:rPr>
        <w:t xml:space="preserve">We may issue units in such amounts and in such numbers of distinct series as we determine. </w:t>
      </w:r>
    </w:p>
    <w:p>
      <w:pPr>
        <w:pStyle w:val="TextBody"/>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 </w:t>
      </w:r>
    </w:p>
    <w:p>
      <w:pPr>
        <w:pStyle w:val="TextBody"/>
        <w:spacing w:before="360" w:after="0"/>
        <w:jc w:val="left"/>
        <w:rPr>
          <w:rFonts w:ascii="Times New Roman" w:hAnsi="Times New Roman"/>
          <w:b/>
          <w:sz w:val="20"/>
        </w:rPr>
      </w:pPr>
      <w:r>
        <w:rPr>
          <w:rFonts w:ascii="Times New Roman" w:hAnsi="Times New Roman"/>
          <w:b/>
          <w:sz w:val="20"/>
        </w:rPr>
        <w:t xml:space="preserve">Unit Agent </w:t>
      </w:r>
    </w:p>
    <w:p>
      <w:pPr>
        <w:pStyle w:val="TextBody"/>
        <w:spacing w:before="120" w:after="0"/>
        <w:jc w:val="left"/>
        <w:rPr>
          <w:rFonts w:ascii="Times New Roman" w:hAnsi="Times New Roman"/>
          <w:sz w:val="20"/>
        </w:rPr>
      </w:pPr>
      <w:r>
        <w:rPr>
          <w:rFonts w:ascii="Times New Roman" w:hAnsi="Times New Roman"/>
          <w:sz w:val="20"/>
        </w:rPr>
        <w:t xml:space="preserve">The name and address of the unit agent for any units we offer will be set forth in the applicable prospectus supplement. </w:t>
      </w:r>
    </w:p>
    <w:p>
      <w:pPr>
        <w:pStyle w:val="TextBody"/>
        <w:spacing w:before="360" w:after="0"/>
        <w:jc w:val="left"/>
        <w:rPr>
          <w:rFonts w:ascii="Times New Roman" w:hAnsi="Times New Roman"/>
          <w:b/>
          <w:sz w:val="20"/>
        </w:rPr>
      </w:pPr>
      <w:r>
        <w:rPr>
          <w:rFonts w:ascii="Times New Roman" w:hAnsi="Times New Roman"/>
          <w:b/>
          <w:sz w:val="20"/>
        </w:rPr>
        <w:t xml:space="preserve">Enforceability of Rights by Holders of Units </w:t>
      </w:r>
    </w:p>
    <w:p>
      <w:pPr>
        <w:pStyle w:val="TextBody"/>
        <w:spacing w:before="120" w:after="0"/>
        <w:jc w:val="left"/>
        <w:rPr>
          <w:rFonts w:ascii="Times New Roman" w:hAnsi="Times New Roman"/>
          <w:sz w:val="20"/>
        </w:rPr>
      </w:pPr>
      <w:r>
        <w:rPr>
          <w:rFonts w:ascii="Times New Roman" w:hAnsi="Times New Roman"/>
          <w:sz w:val="20"/>
        </w:rPr>
        <w:t xml:space="preserve">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8" w:name="toc207524_12"/>
      <w:bookmarkEnd w:id="28"/>
      <w:r>
        <w:rPr>
          <w:rFonts w:ascii="Times New Roman" w:hAnsi="Times New Roman"/>
          <w:b/>
          <w:sz w:val="20"/>
        </w:rPr>
        <w:t xml:space="preserve">DESCRIPTION OF WARRANTS </w:t>
      </w:r>
    </w:p>
    <w:p>
      <w:pPr>
        <w:pStyle w:val="TextBody"/>
        <w:spacing w:before="240" w:after="0"/>
        <w:jc w:val="left"/>
        <w:rPr>
          <w:rFonts w:ascii="Times New Roman" w:hAnsi="Times New Roman"/>
          <w:sz w:val="20"/>
        </w:rPr>
      </w:pPr>
      <w:r>
        <w:rPr>
          <w:rFonts w:ascii="Times New Roman" w:hAnsi="Times New Roman"/>
          <w:sz w:val="20"/>
        </w:rPr>
        <w:t xml:space="preserve">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designation and terms of the preferred stock or depositary shares with which the warrants are issued and the number of warrants issued with each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debt securities, preferred stock, depositary shares or common stock will be separately transferable;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common stock, preferred stock or depositary shares purchasable upon exercise of a warrant and the price at which those shares may be purchased;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anti-dilution provisions of, and other provisions for changes to or adjustment in the exercise price of, the warrants,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toc207524_13"/>
      <w:bookmarkEnd w:id="29"/>
      <w:r>
        <w:rPr>
          <w:rFonts w:ascii="Times New Roman" w:hAnsi="Times New Roman"/>
          <w:b/>
          <w:sz w:val="20"/>
        </w:rPr>
        <w:t xml:space="preserve">FORMS OF SECURITIES </w:t>
      </w:r>
    </w:p>
    <w:p>
      <w:pPr>
        <w:pStyle w:val="TextBody"/>
        <w:spacing w:before="240" w:after="0"/>
        <w:jc w:val="left"/>
        <w:rPr>
          <w:rFonts w:ascii="Times New Roman" w:hAnsi="Times New Roman"/>
          <w:sz w:val="20"/>
        </w:rPr>
      </w:pPr>
      <w:r>
        <w:rPr>
          <w:rFonts w:ascii="Times New Roman" w:hAnsi="Times New Roman"/>
          <w:sz w:val="20"/>
        </w:rPr>
        <w:t xml:space="preserve">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spacing w:before="360" w:after="0"/>
        <w:jc w:val="left"/>
        <w:rPr>
          <w:rFonts w:ascii="Times New Roman" w:hAnsi="Times New Roman"/>
          <w:b/>
          <w:sz w:val="20"/>
        </w:rPr>
      </w:pPr>
      <w:r>
        <w:rPr>
          <w:rFonts w:ascii="Times New Roman" w:hAnsi="Times New Roman"/>
          <w:b/>
          <w:sz w:val="20"/>
        </w:rPr>
        <w:t xml:space="preserve">Global Securities </w:t>
      </w:r>
    </w:p>
    <w:p>
      <w:pPr>
        <w:pStyle w:val="TextBody"/>
        <w:spacing w:before="120" w:after="0"/>
        <w:jc w:val="left"/>
        <w:rPr>
          <w:rFonts w:ascii="Times New Roman" w:hAnsi="Times New Roman"/>
          <w:sz w:val="20"/>
        </w:rPr>
      </w:pPr>
      <w:r>
        <w:rPr>
          <w:rFonts w:ascii="Times New Roman" w:hAnsi="Times New Roman"/>
          <w:sz w:val="20"/>
        </w:rPr>
        <w:t xml:space="preserve">We may issue the debt securities,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 </w:t>
      </w:r>
    </w:p>
    <w:p>
      <w:pPr>
        <w:pStyle w:val="TextBody"/>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 </w:t>
      </w:r>
    </w:p>
    <w:p>
      <w:pPr>
        <w:pStyle w:val="TextBody"/>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 </w:t>
      </w:r>
    </w:p>
    <w:p>
      <w:pPr>
        <w:pStyle w:val="TextBody"/>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 </w:t>
      </w:r>
    </w:p>
    <w:p>
      <w:pPr>
        <w:pStyle w:val="TextBody"/>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 </w:t>
      </w:r>
    </w:p>
    <w:p>
      <w:pPr>
        <w:pStyle w:val="TextBody"/>
        <w:spacing w:before="240" w:after="0"/>
        <w:jc w:val="left"/>
        <w:rPr>
          <w:rFonts w:ascii="Times New Roman" w:hAnsi="Times New Roman"/>
          <w:sz w:val="20"/>
        </w:rPr>
      </w:pPr>
      <w:r>
        <w:rPr>
          <w:rFonts w:ascii="Times New Roman" w:hAnsi="Times New Roman"/>
          <w:sz w:val="20"/>
        </w:rPr>
        <w:t xml:space="preserve">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toc207524_14"/>
      <w:bookmarkEnd w:id="30"/>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may sell securities: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or through underwriters;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or through brokers or 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to one or more purchasers in negotiated sales or competitively bid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 block trade in which the broker or dealer engaged to handle the block trade will attempt to sell the securities as agent, but may position and resell a portion of the block as principal to facilitate the transaction;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w:t>
      </w:r>
    </w:p>
    <w:p>
      <w:pPr>
        <w:pStyle w:val="TextBody"/>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public offering or purchase price and the proceeds we will receive from the sale of the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the agent or underwriters;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discounts and commissions to be allowed or re-allowed or paid to dealers;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spacing w:before="240" w:after="0"/>
        <w:jc w:val="left"/>
        <w:rPr>
          <w:rFonts w:ascii="Times New Roman" w:hAnsi="Times New Roman"/>
          <w:sz w:val="20"/>
        </w:rPr>
      </w:pPr>
      <w:r>
        <w:rPr>
          <w:rFonts w:ascii="Times New Roman" w:hAnsi="Times New Roman"/>
          <w:sz w:val="20"/>
        </w:rPr>
        <w:t xml:space="preserve">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w:t>
      </w:r>
    </w:p>
    <w:p>
      <w:pPr>
        <w:pStyle w:val="TextBody"/>
        <w:spacing w:before="24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spacing w:before="240" w:after="0"/>
        <w:jc w:val="left"/>
        <w:rPr>
          <w:rFonts w:ascii="Times New Roman" w:hAnsi="Times New Roman"/>
          <w:sz w:val="20"/>
        </w:rPr>
      </w:pPr>
      <w:r>
        <w:rPr>
          <w:rFonts w:ascii="Times New Roman" w:hAnsi="Times New Roman"/>
          <w:sz w:val="20"/>
        </w:rPr>
        <w:t xml:space="preserve">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two business days, unless the parties to any such trade expressly agree otherwise or the securities are sold by us to an underwriter in a firm commitment underwritten offering. The applicable prospectus supplement may provide that the original issue date for your securities may be more than two scheduled business days after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w:t>
      </w:r>
    </w:p>
    <w:p>
      <w:pPr>
        <w:pStyle w:val="TextBody"/>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toc207524_15"/>
      <w:bookmarkEnd w:id="31"/>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in respect of which this prospectus is being delivered will be passed upon by Wilmer Cutler Pickering Hale and Dorr LLP. </w:t>
      </w:r>
    </w:p>
    <w:p>
      <w:pPr>
        <w:pStyle w:val="TextBody"/>
        <w:spacing w:before="480" w:after="0"/>
        <w:jc w:val="center"/>
        <w:rPr>
          <w:rFonts w:ascii="Times New Roman" w:hAnsi="Times New Roman"/>
          <w:b/>
          <w:sz w:val="20"/>
        </w:rPr>
      </w:pPr>
      <w:bookmarkStart w:id="32" w:name="toc207524_16"/>
      <w:bookmarkEnd w:id="32"/>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Fulcrum Therapeutics, Inc. appearing in Fulcrum Therapeutics, Inc.s Annual Report (Form 10-K) for the year ended December 31, 2019,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323215" cy="79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323215" cy="7937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16" w:space="1" w:color="000000"/>
        </w:pBdr>
        <w:spacing w:lineRule="atLeast" w:line="141" w:before="0" w:after="40"/>
        <w:jc w:val="left"/>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80581/000156459021010715/fulc-10k_20201231.htm" TargetMode="External"/><Relationship Id="rId4" Type="http://schemas.openxmlformats.org/officeDocument/2006/relationships/hyperlink" Target="http://www.sec.gov/Archives/edgar/data/1680581/000119312521138549/d41208ddef14a.htm" TargetMode="External"/><Relationship Id="rId5" Type="http://schemas.openxmlformats.org/officeDocument/2006/relationships/hyperlink" Target="http://www.sec.gov/Archives/edgar/data/../../../ix?doc=/Archives/edgar/data/1680581/000156459021024505/fulc-10q_20210331.htm" TargetMode="External"/><Relationship Id="rId6" Type="http://schemas.openxmlformats.org/officeDocument/2006/relationships/hyperlink" Target="http://www.sec.gov/Archives/edgar/data/../../../ix?doc=/Archives/edgar/data/1680581/000156459021042876/fulc-10q_20210630.htm" TargetMode="External"/><Relationship Id="rId7" Type="http://schemas.openxmlformats.org/officeDocument/2006/relationships/hyperlink" Target="http://www.sec.gov/Archives/edgar/data/0001680581/000119312521011438/d102359d8k.htm" TargetMode="External"/><Relationship Id="rId8" Type="http://schemas.openxmlformats.org/officeDocument/2006/relationships/hyperlink" Target="http://www.sec.gov/Archives/edgar/data/0001680581/000119312521012403/d114001d8k.htm" TargetMode="External"/><Relationship Id="rId9" Type="http://schemas.openxmlformats.org/officeDocument/2006/relationships/hyperlink" Target="http://www.sec.gov/Archives/edgar/data/0001680581/000119312521068440/d122679d8k.htm" TargetMode="External"/><Relationship Id="rId10" Type="http://schemas.openxmlformats.org/officeDocument/2006/relationships/hyperlink" Target="http://www.sec.gov/Archives/edgar/data/0001680581/000119312521092672/d25784d8k.htm" TargetMode="External"/><Relationship Id="rId11" Type="http://schemas.openxmlformats.org/officeDocument/2006/relationships/hyperlink" Target="http://www.sec.gov/Archives/edgar/data/0001680581/000119312521188915/d163356d8k.htm" TargetMode="External"/><Relationship Id="rId12" Type="http://schemas.openxmlformats.org/officeDocument/2006/relationships/hyperlink" Target="http://www.sec.gov/Archives/edgar/data/1680581/000119312521198675/d190429d8k.htm" TargetMode="External"/><Relationship Id="rId13" Type="http://schemas.openxmlformats.org/officeDocument/2006/relationships/hyperlink" Target="http://www.sec.gov/Archives/edgar/data/1680581/000110465919040208/a19-3408_78a12b.htm" TargetMode="External"/><Relationship Id="rId14" Type="http://schemas.openxmlformats.org/officeDocument/2006/relationships/image" Target="media/image2.jpeg"/><Relationship Id="rId15" Type="http://schemas.openxmlformats.org/officeDocument/2006/relationships/hyperlink" Target="http://www.sec.gov/Archives/edgar/data/1680581/000156459020008951/fulc-10k_20191231.htm" TargetMode="External"/><Relationship Id="rId16" Type="http://schemas.openxmlformats.org/officeDocument/2006/relationships/hyperlink" Target="http://www.sec.gov/Archives/edgar/data/1680581/000119312520124813/d895226ddef14a.htm" TargetMode="External"/><Relationship Id="rId17" Type="http://schemas.openxmlformats.org/officeDocument/2006/relationships/hyperlink" Target="http://www.sec.gov/Archives/edgar/data/1680581/000156459020024866/fulc-10q_20200331.htm" TargetMode="External"/><Relationship Id="rId18" Type="http://schemas.openxmlformats.org/officeDocument/2006/relationships/hyperlink" Target="http://www.sec.gov/Archives/edgar/data/1680581/000156459020039121/fulc-10q_20200630.htm" TargetMode="External"/><Relationship Id="rId19" Type="http://schemas.openxmlformats.org/officeDocument/2006/relationships/hyperlink" Target="http://www.sec.gov/Archives/edgar/data/1680581/000119312520001768/d831315d8k.htm" TargetMode="External"/><Relationship Id="rId20" Type="http://schemas.openxmlformats.org/officeDocument/2006/relationships/hyperlink" Target="http://www.sec.gov/Archives/edgar/data/1680581/000156459020014860/fulc-8k_20200331.htm" TargetMode="External"/><Relationship Id="rId21" Type="http://schemas.openxmlformats.org/officeDocument/2006/relationships/hyperlink" Target="http://www.sec.gov/Archives/edgar/data/1680581/000119312520165696/d857108d8k.htm" TargetMode="External"/><Relationship Id="rId22" Type="http://schemas.openxmlformats.org/officeDocument/2006/relationships/hyperlink" Target="http://www.sec.gov/Archives/edgar/data/1680581/000119312520166654/d941094d8k.htm" TargetMode="External"/><Relationship Id="rId23" Type="http://schemas.openxmlformats.org/officeDocument/2006/relationships/hyperlink" Target="http://www.sec.gov/Archives/edgar/data/1680581/000119312520181057/d944287d8k.htm" TargetMode="External"/><Relationship Id="rId24" Type="http://schemas.openxmlformats.org/officeDocument/2006/relationships/hyperlink" Target="http://www.sec.gov/Archives/edgar/data/1680581/000119312520197820/d77378d8k.htm" TargetMode="External"/><Relationship Id="rId25" Type="http://schemas.openxmlformats.org/officeDocument/2006/relationships/hyperlink" Target="http://www.sec.gov/Archives/edgar/data/1680581/000110465919040208/a19-3408_78a12b.htm" TargetMode="External"/><Relationship Id="rId26" Type="http://schemas.openxmlformats.org/officeDocument/2006/relationships/image" Target="media/image3.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69</Pages>
  <Words>35045</Words>
  <CharactersWithSpaces>219418</CharactersWithSpaces>
  <Paragraphs>2445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