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509270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524510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118745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9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145415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July 29,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187960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38"/>
          <w:szCs w:val="38"/>
          <w:b w:val="1"/>
          <w:bCs w:val="1"/>
          <w:color w:val="auto"/>
        </w:rPr>
        <w:t>Fulcrum Therapeutics, Inc.</w:t>
      </w:r>
    </w:p>
    <w:p>
      <w:pPr>
        <w:spacing w:after="0" w:line="79"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213360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1325" w:type="dxa"/>
        <w:tblCellMar>
          <w:top w:w="0" w:type="dxa"/>
          <w:left w:w="0" w:type="dxa"/>
          <w:bottom w:w="0" w:type="dxa"/>
          <w:right w:w="0" w:type="dxa"/>
        </w:tblCellMar>
      </w:tblPr>
      <w:tr>
        <w:trPr>
          <w:trHeight w:val="195"/>
        </w:trPr>
        <w:tc>
          <w:tcPr>
            <w:tcW w:w="2800" w:type="dxa"/>
            <w:vAlign w:val="bottom"/>
          </w:tcPr>
          <w:p>
            <w:pPr>
              <w:jc w:val="center"/>
              <w:ind w:right="77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280" w:type="dxa"/>
            <w:vAlign w:val="bottom"/>
          </w:tcPr>
          <w:p>
            <w:pPr>
              <w:jc w:val="right"/>
              <w:ind w:right="1351"/>
              <w:spacing w:after="0"/>
              <w:rPr>
                <w:sz w:val="20"/>
                <w:szCs w:val="20"/>
                <w:color w:val="auto"/>
              </w:rPr>
            </w:pPr>
            <w:r>
              <w:rPr>
                <w:rFonts w:ascii="Times New Roman" w:cs="Times New Roman" w:eastAsia="Times New Roman" w:hAnsi="Times New Roman"/>
                <w:sz w:val="16"/>
                <w:szCs w:val="16"/>
                <w:b w:val="1"/>
                <w:bCs w:val="1"/>
                <w:color w:val="auto"/>
              </w:rPr>
              <w:t>001-38978</w:t>
            </w:r>
          </w:p>
        </w:tc>
        <w:tc>
          <w:tcPr>
            <w:tcW w:w="202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47-4839948</w:t>
            </w:r>
          </w:p>
        </w:tc>
      </w:tr>
      <w:tr>
        <w:trPr>
          <w:trHeight w:val="130"/>
        </w:trPr>
        <w:tc>
          <w:tcPr>
            <w:tcW w:w="2800" w:type="dxa"/>
            <w:vAlign w:val="bottom"/>
          </w:tcPr>
          <w:p>
            <w:pPr>
              <w:jc w:val="center"/>
              <w:ind w:right="751"/>
              <w:spacing w:after="0" w:line="130" w:lineRule="exact"/>
              <w:rPr>
                <w:sz w:val="20"/>
                <w:szCs w:val="20"/>
                <w:color w:val="auto"/>
              </w:rPr>
            </w:pPr>
            <w:r>
              <w:rPr>
                <w:rFonts w:ascii="Times New Roman" w:cs="Times New Roman" w:eastAsia="Times New Roman" w:hAnsi="Times New Roman"/>
                <w:sz w:val="12"/>
                <w:szCs w:val="12"/>
                <w:b w:val="1"/>
                <w:bCs w:val="1"/>
                <w:color w:val="auto"/>
                <w:w w:val="97"/>
              </w:rPr>
              <w:t>(State or other jurisdiction</w:t>
            </w:r>
          </w:p>
        </w:tc>
        <w:tc>
          <w:tcPr>
            <w:tcW w:w="3280" w:type="dxa"/>
            <w:vAlign w:val="bottom"/>
          </w:tcPr>
          <w:p>
            <w:pPr>
              <w:jc w:val="center"/>
              <w:ind w:right="191"/>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2020" w:type="dxa"/>
            <w:vAlign w:val="bottom"/>
          </w:tcPr>
          <w:p>
            <w:pPr>
              <w:jc w:val="center"/>
              <w:ind w:left="1013"/>
              <w:spacing w:after="0" w:line="130"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5"/>
        </w:trPr>
        <w:tc>
          <w:tcPr>
            <w:tcW w:w="2800" w:type="dxa"/>
            <w:vAlign w:val="bottom"/>
          </w:tcPr>
          <w:p>
            <w:pPr>
              <w:jc w:val="center"/>
              <w:ind w:right="751"/>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328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48"/>
        </w:trPr>
        <w:tc>
          <w:tcPr>
            <w:tcW w:w="2800" w:type="dxa"/>
            <w:vAlign w:val="bottom"/>
          </w:tcPr>
          <w:p>
            <w:pPr>
              <w:jc w:val="center"/>
              <w:ind w:right="751"/>
              <w:spacing w:after="0"/>
              <w:rPr>
                <w:sz w:val="20"/>
                <w:szCs w:val="20"/>
                <w:color w:val="auto"/>
              </w:rPr>
            </w:pPr>
            <w:r>
              <w:rPr>
                <w:rFonts w:ascii="Times New Roman" w:cs="Times New Roman" w:eastAsia="Times New Roman" w:hAnsi="Times New Roman"/>
                <w:sz w:val="16"/>
                <w:szCs w:val="16"/>
                <w:b w:val="1"/>
                <w:bCs w:val="1"/>
                <w:color w:val="auto"/>
                <w:w w:val="98"/>
              </w:rPr>
              <w:t>26 Landsdowne Street</w:t>
            </w:r>
          </w:p>
        </w:tc>
        <w:tc>
          <w:tcPr>
            <w:tcW w:w="32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95"/>
        </w:trPr>
        <w:tc>
          <w:tcPr>
            <w:tcW w:w="2800" w:type="dxa"/>
            <w:vAlign w:val="bottom"/>
          </w:tcPr>
          <w:p>
            <w:pPr>
              <w:jc w:val="center"/>
              <w:ind w:right="751"/>
              <w:spacing w:after="0"/>
              <w:rPr>
                <w:sz w:val="20"/>
                <w:szCs w:val="20"/>
                <w:color w:val="auto"/>
              </w:rPr>
            </w:pPr>
            <w:r>
              <w:rPr>
                <w:rFonts w:ascii="Times New Roman" w:cs="Times New Roman" w:eastAsia="Times New Roman" w:hAnsi="Times New Roman"/>
                <w:sz w:val="16"/>
                <w:szCs w:val="16"/>
                <w:b w:val="1"/>
                <w:bCs w:val="1"/>
                <w:color w:val="auto"/>
                <w:w w:val="98"/>
              </w:rPr>
              <w:t>Cambridge, Massachusetts</w:t>
            </w:r>
          </w:p>
        </w:tc>
        <w:tc>
          <w:tcPr>
            <w:tcW w:w="3280" w:type="dxa"/>
            <w:vAlign w:val="bottom"/>
          </w:tcPr>
          <w:p>
            <w:pPr>
              <w:spacing w:after="0"/>
              <w:rPr>
                <w:sz w:val="16"/>
                <w:szCs w:val="16"/>
                <w:color w:val="auto"/>
              </w:rPr>
            </w:pPr>
          </w:p>
        </w:tc>
        <w:tc>
          <w:tcPr>
            <w:tcW w:w="20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02139</w:t>
            </w:r>
          </w:p>
        </w:tc>
      </w:tr>
      <w:tr>
        <w:trPr>
          <w:trHeight w:val="155"/>
        </w:trPr>
        <w:tc>
          <w:tcPr>
            <w:tcW w:w="2800" w:type="dxa"/>
            <w:vAlign w:val="bottom"/>
          </w:tcPr>
          <w:p>
            <w:pPr>
              <w:jc w:val="center"/>
              <w:ind w:right="771"/>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328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359"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(617) 651-8851</w:t>
      </w:r>
    </w:p>
    <w:p>
      <w:pPr>
        <w:spacing w:after="0" w:line="3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212090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00"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5" w:lineRule="exact"/>
        <w:rPr>
          <w:sz w:val="24"/>
          <w:szCs w:val="24"/>
          <w:color w:val="auto"/>
        </w:rPr>
      </w:pPr>
    </w:p>
    <w:tbl>
      <w:tblPr>
        <w:tblLayout w:type="fixed"/>
        <w:tblInd w:w="5" w:type="dxa"/>
        <w:tblCellMar>
          <w:top w:w="0" w:type="dxa"/>
          <w:left w:w="0" w:type="dxa"/>
          <w:bottom w:w="0" w:type="dxa"/>
          <w:right w:w="0" w:type="dxa"/>
        </w:tblCellMar>
      </w:tblPr>
      <w:tr>
        <w:trPr>
          <w:trHeight w:val="208"/>
        </w:trPr>
        <w:tc>
          <w:tcPr>
            <w:tcW w:w="4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60" w:type="dxa"/>
            <w:vAlign w:val="bottom"/>
          </w:tcPr>
          <w:p>
            <w:pPr>
              <w:spacing w:after="0"/>
              <w:rPr>
                <w:sz w:val="18"/>
                <w:szCs w:val="18"/>
                <w:color w:val="auto"/>
              </w:rPr>
            </w:pPr>
          </w:p>
        </w:tc>
      </w:tr>
      <w:tr>
        <w:trPr>
          <w:trHeight w:val="312"/>
        </w:trPr>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12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20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198"/>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Common stock, par value $0.001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FULC</w:t>
            </w:r>
          </w:p>
        </w:tc>
        <w:tc>
          <w:tcPr>
            <w:tcW w:w="12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Nasdaq Global Market</w:t>
            </w:r>
          </w:p>
        </w:tc>
      </w:tr>
    </w:tbl>
    <w:p>
      <w:pPr>
        <w:spacing w:after="0" w:line="155" w:lineRule="exact"/>
        <w:rPr>
          <w:sz w:val="24"/>
          <w:szCs w:val="24"/>
          <w:color w:val="auto"/>
        </w:rPr>
      </w:pPr>
    </w:p>
    <w:p>
      <w:pPr>
        <w:ind w:left="5" w:right="2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3" w:lineRule="exact"/>
        <w:rPr>
          <w:sz w:val="24"/>
          <w:szCs w:val="24"/>
          <w:color w:val="auto"/>
        </w:rPr>
      </w:pPr>
    </w:p>
    <w:p>
      <w:pPr>
        <w:ind w:left="790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1" w:lineRule="exact"/>
        <w:rPr>
          <w:sz w:val="24"/>
          <w:szCs w:val="24"/>
          <w:color w:val="auto"/>
        </w:rPr>
      </w:pPr>
    </w:p>
    <w:p>
      <w:pPr>
        <w:ind w:left="5" w:right="30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535305</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105410</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714946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ectPr>
          <w:pgSz w:w="11900" w:h="16838" w:orient="portrait"/>
          <w:cols w:equalWidth="0" w:num="1">
            <w:col w:w="11265"/>
          </w:cols>
          <w:pgMar w:left="315" w:top="1079" w:right="319" w:bottom="1440" w:gutter="0" w:footer="0" w:header="0"/>
        </w:sectPr>
      </w:pPr>
    </w:p>
    <w:bookmarkStart w:id="1" w:name="page2"/>
    <w:bookmarkEnd w:id="1"/>
    <w:p>
      <w:pPr>
        <w:ind w:left="5"/>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102" w:lineRule="exact"/>
        <w:rPr>
          <w:sz w:val="20"/>
          <w:szCs w:val="20"/>
          <w:color w:val="auto"/>
        </w:rPr>
      </w:pPr>
    </w:p>
    <w:p>
      <w:pPr>
        <w:ind w:left="5" w:right="560"/>
        <w:spacing w:after="0" w:line="276" w:lineRule="auto"/>
        <w:rPr>
          <w:sz w:val="20"/>
          <w:szCs w:val="20"/>
          <w:color w:val="auto"/>
        </w:rPr>
      </w:pPr>
      <w:r>
        <w:rPr>
          <w:rFonts w:ascii="Times New Roman" w:cs="Times New Roman" w:eastAsia="Times New Roman" w:hAnsi="Times New Roman"/>
          <w:sz w:val="16"/>
          <w:szCs w:val="16"/>
          <w:color w:val="auto"/>
        </w:rPr>
        <w:t>On July 29, 2025, Fulcrum Therapeutics, Inc., or Fulcrum, announced its financial results for the quarter ended June 30, 2025. The full text of the press release issued in connection with the announcement is being furnished as Exhibit 99.1 to this Current Report on Form 8-K and is incorporated herein by reference.</w:t>
      </w:r>
    </w:p>
    <w:p>
      <w:pPr>
        <w:spacing w:after="0" w:line="145" w:lineRule="exact"/>
        <w:rPr>
          <w:sz w:val="20"/>
          <w:szCs w:val="20"/>
          <w:color w:val="auto"/>
        </w:rPr>
      </w:pPr>
    </w:p>
    <w:p>
      <w:pPr>
        <w:jc w:val="both"/>
        <w:ind w:left="5" w:right="280"/>
        <w:spacing w:after="0" w:line="261" w:lineRule="auto"/>
        <w:rPr>
          <w:sz w:val="20"/>
          <w:szCs w:val="20"/>
          <w:color w:val="auto"/>
        </w:rPr>
      </w:pPr>
      <w:r>
        <w:rPr>
          <w:rFonts w:ascii="Times New Roman" w:cs="Times New Roman" w:eastAsia="Times New Roman" w:hAnsi="Times New Roman"/>
          <w:sz w:val="16"/>
          <w:szCs w:val="16"/>
          <w:color w:val="auto"/>
        </w:rPr>
        <w:t>The information in this Item 2.02, including Exhibit 99.1 attached hereto, shall not be deemed “filed” for purposes of Section 18 of the Securities Exchange Act of 1934, as amended, or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4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Item 8.01 Other Events.</w:t>
      </w:r>
    </w:p>
    <w:p>
      <w:pPr>
        <w:spacing w:after="0" w:line="102" w:lineRule="exact"/>
        <w:rPr>
          <w:sz w:val="20"/>
          <w:szCs w:val="20"/>
          <w:color w:val="auto"/>
        </w:rPr>
      </w:pPr>
    </w:p>
    <w:p>
      <w:pPr>
        <w:ind w:left="5" w:right="40"/>
        <w:spacing w:after="0" w:line="276" w:lineRule="auto"/>
        <w:rPr>
          <w:sz w:val="20"/>
          <w:szCs w:val="20"/>
          <w:color w:val="auto"/>
        </w:rPr>
      </w:pPr>
      <w:r>
        <w:rPr>
          <w:rFonts w:ascii="Times New Roman" w:cs="Times New Roman" w:eastAsia="Times New Roman" w:hAnsi="Times New Roman"/>
          <w:sz w:val="16"/>
          <w:szCs w:val="16"/>
          <w:color w:val="auto"/>
        </w:rPr>
        <w:t>On July 29, 2025, Fulcrum announced results from the 12 mg dose cohort of its Phase 1b clinical trial of pociredir in sickle cell disease, or SCD, following conclusion of the 12-week treatment period (n=16). Results are as follows:</w:t>
      </w:r>
    </w:p>
    <w:p>
      <w:pPr>
        <w:spacing w:after="0" w:line="50" w:lineRule="exact"/>
        <w:rPr>
          <w:sz w:val="20"/>
          <w:szCs w:val="20"/>
          <w:color w:val="auto"/>
        </w:rPr>
      </w:pPr>
    </w:p>
    <w:p>
      <w:pPr>
        <w:ind w:left="1025" w:hanging="516"/>
        <w:spacing w:after="0" w:line="254" w:lineRule="auto"/>
        <w:tabs>
          <w:tab w:leader="none" w:pos="1025"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Mean absolute fetal hemoglobin, or HbF, increased by 8.6% at 12 weeks of treatment with pociredir, representing an increase from a baseline of 7.6% to 16.2%. Seven of 16 patients achieved absolute HbF levels greater than 20% after 12 weeks of treatment with pociredir. HbF levels of 20% are associated with approximately 90% of individual patients experiencing zero vaso-occlusive crises, or VOCs, per year, based on a recent analysis of real-world data conducted by Fulcrum, which has been accepted for publication at the 20th Annual Sickle Cell &amp; Thalassaemia Conference (ASCAT), to be held in London, United Kingdom, October 1-4, 2025.</w:t>
      </w:r>
    </w:p>
    <w:p>
      <w:pPr>
        <w:spacing w:after="0" w:line="67" w:lineRule="exact"/>
        <w:rPr>
          <w:rFonts w:ascii="Times New Roman" w:cs="Times New Roman" w:eastAsia="Times New Roman" w:hAnsi="Times New Roman"/>
          <w:sz w:val="16"/>
          <w:szCs w:val="16"/>
          <w:color w:val="auto"/>
        </w:rPr>
      </w:pPr>
    </w:p>
    <w:p>
      <w:pPr>
        <w:ind w:left="1025" w:right="240" w:hanging="516"/>
        <w:spacing w:after="0" w:line="261" w:lineRule="auto"/>
        <w:tabs>
          <w:tab w:leader="none" w:pos="1025"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Proportion of F-cells (HbF-containing red blood cells) increased from a mean of 34% at baseline to 67% at 12 weeks of treatment (n=8), consistent with pan-cellular HbF induction (evenly distributed across red blood cells). F-cells are resistant to red blood cell sickling and hemolysis because of HbF-mediated inhibition of sickle hemoglobin polymerization. Consequently, a higher proportion of F-cells is associated with improved red blood cell health.</w:t>
      </w:r>
    </w:p>
    <w:p>
      <w:pPr>
        <w:spacing w:after="0" w:line="62" w:lineRule="exact"/>
        <w:rPr>
          <w:rFonts w:ascii="Times New Roman" w:cs="Times New Roman" w:eastAsia="Times New Roman" w:hAnsi="Times New Roman"/>
          <w:sz w:val="16"/>
          <w:szCs w:val="16"/>
          <w:color w:val="auto"/>
        </w:rPr>
      </w:pPr>
    </w:p>
    <w:p>
      <w:pPr>
        <w:ind w:left="1025" w:hanging="516"/>
        <w:spacing w:after="0"/>
        <w:tabs>
          <w:tab w:leader="none" w:pos="1025"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Markers of hemolysis and erythropoiesis improved with pociredir treatment at 12 weeks:</w:t>
      </w:r>
    </w:p>
    <w:p>
      <w:pPr>
        <w:spacing w:after="0" w:line="99" w:lineRule="exact"/>
        <w:rPr>
          <w:rFonts w:ascii="Times New Roman" w:cs="Times New Roman" w:eastAsia="Times New Roman" w:hAnsi="Times New Roman"/>
          <w:sz w:val="16"/>
          <w:szCs w:val="16"/>
          <w:color w:val="auto"/>
        </w:rPr>
      </w:pPr>
    </w:p>
    <w:p>
      <w:pPr>
        <w:ind w:left="102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w:t>
      </w:r>
      <w:r>
        <w:rPr>
          <w:rFonts w:ascii="Times New Roman" w:cs="Times New Roman" w:eastAsia="Times New Roman" w:hAnsi="Times New Roman"/>
          <w:sz w:val="15"/>
          <w:szCs w:val="15"/>
          <w:color w:val="auto"/>
        </w:rPr>
        <w:t>Decreased indirect bilirubin (mean decrease of 37%)</w:t>
      </w:r>
    </w:p>
    <w:p>
      <w:pPr>
        <w:spacing w:after="0" w:line="99" w:lineRule="exact"/>
        <w:rPr>
          <w:rFonts w:ascii="Times New Roman" w:cs="Times New Roman" w:eastAsia="Times New Roman" w:hAnsi="Times New Roman"/>
          <w:sz w:val="16"/>
          <w:szCs w:val="16"/>
          <w:color w:val="auto"/>
        </w:rPr>
      </w:pPr>
    </w:p>
    <w:p>
      <w:pPr>
        <w:ind w:left="102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w:t>
      </w:r>
      <w:r>
        <w:rPr>
          <w:rFonts w:ascii="Times New Roman" w:cs="Times New Roman" w:eastAsia="Times New Roman" w:hAnsi="Times New Roman"/>
          <w:sz w:val="15"/>
          <w:szCs w:val="15"/>
          <w:color w:val="auto"/>
        </w:rPr>
        <w:t>Decreased lactate dehydrogenase (mean decrease of 28%)</w:t>
      </w:r>
    </w:p>
    <w:p>
      <w:pPr>
        <w:spacing w:after="0" w:line="99" w:lineRule="exact"/>
        <w:rPr>
          <w:rFonts w:ascii="Times New Roman" w:cs="Times New Roman" w:eastAsia="Times New Roman" w:hAnsi="Times New Roman"/>
          <w:sz w:val="16"/>
          <w:szCs w:val="16"/>
          <w:color w:val="auto"/>
        </w:rPr>
      </w:pPr>
    </w:p>
    <w:p>
      <w:pPr>
        <w:ind w:left="102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w:t>
      </w:r>
      <w:r>
        <w:rPr>
          <w:rFonts w:ascii="Times New Roman" w:cs="Times New Roman" w:eastAsia="Times New Roman" w:hAnsi="Times New Roman"/>
          <w:sz w:val="15"/>
          <w:szCs w:val="15"/>
          <w:color w:val="auto"/>
        </w:rPr>
        <w:t>Decreased red cell distribution width (mean decrease of 27%), indicating a more uniform red blood cell population</w:t>
      </w:r>
    </w:p>
    <w:p>
      <w:pPr>
        <w:spacing w:after="0" w:line="99" w:lineRule="exact"/>
        <w:rPr>
          <w:rFonts w:ascii="Times New Roman" w:cs="Times New Roman" w:eastAsia="Times New Roman" w:hAnsi="Times New Roman"/>
          <w:sz w:val="16"/>
          <w:szCs w:val="16"/>
          <w:color w:val="auto"/>
        </w:rPr>
      </w:pPr>
    </w:p>
    <w:p>
      <w:pPr>
        <w:ind w:left="102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w:t>
      </w:r>
      <w:r>
        <w:rPr>
          <w:rFonts w:ascii="Times New Roman" w:cs="Times New Roman" w:eastAsia="Times New Roman" w:hAnsi="Times New Roman"/>
          <w:sz w:val="15"/>
          <w:szCs w:val="15"/>
          <w:color w:val="auto"/>
        </w:rPr>
        <w:t>Decreased reticulocyte counts (mean decrease of 30%), indicating healthier bone marrow function</w:t>
      </w:r>
    </w:p>
    <w:p>
      <w:pPr>
        <w:spacing w:after="0" w:line="99" w:lineRule="exact"/>
        <w:rPr>
          <w:rFonts w:ascii="Times New Roman" w:cs="Times New Roman" w:eastAsia="Times New Roman" w:hAnsi="Times New Roman"/>
          <w:sz w:val="16"/>
          <w:szCs w:val="16"/>
          <w:color w:val="auto"/>
        </w:rPr>
      </w:pPr>
    </w:p>
    <w:p>
      <w:pPr>
        <w:ind w:left="1025" w:right="80" w:hanging="516"/>
        <w:spacing w:after="0" w:line="261" w:lineRule="auto"/>
        <w:tabs>
          <w:tab w:leader="none" w:pos="1025"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Mean hemoglobin concentration increased by 0.9 g/dL at 12 weeks of treatment with pociredir, from a baseline of 7.8 g/dL to 8.7 g/dL. Together with the observed decrease in reticulocyte counts, the increase in total hemoglobin indicates that pociredir decreased red blood cell destruction and showed reductions in anemia.</w:t>
      </w:r>
    </w:p>
    <w:p>
      <w:pPr>
        <w:spacing w:after="0" w:line="62" w:lineRule="exact"/>
        <w:rPr>
          <w:rFonts w:ascii="Times New Roman" w:cs="Times New Roman" w:eastAsia="Times New Roman" w:hAnsi="Times New Roman"/>
          <w:sz w:val="16"/>
          <w:szCs w:val="16"/>
          <w:color w:val="auto"/>
        </w:rPr>
      </w:pPr>
    </w:p>
    <w:p>
      <w:pPr>
        <w:jc w:val="both"/>
        <w:ind w:left="1025" w:right="260" w:hanging="516"/>
        <w:spacing w:after="0" w:line="261" w:lineRule="auto"/>
        <w:tabs>
          <w:tab w:leader="none" w:pos="1025"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trend of reduced VOC rates was observed during the study period (as assessed by VOCs reported as adverse events, or AEs), compared to cohort patients’ VOC frequency over the 6–12 months prior to enrollment. Eight of 16 patients (50%) reported no VOCs during the treatment period (12 weeks); three VOCs occurred during the follow-up period as of the June 26, 2025 data cut-off date.</w:t>
      </w:r>
    </w:p>
    <w:p>
      <w:pPr>
        <w:spacing w:after="0" w:line="62" w:lineRule="exact"/>
        <w:rPr>
          <w:rFonts w:ascii="Times New Roman" w:cs="Times New Roman" w:eastAsia="Times New Roman" w:hAnsi="Times New Roman"/>
          <w:sz w:val="16"/>
          <w:szCs w:val="16"/>
          <w:color w:val="auto"/>
        </w:rPr>
      </w:pPr>
    </w:p>
    <w:p>
      <w:pPr>
        <w:ind w:left="1025" w:hanging="516"/>
        <w:spacing w:after="0"/>
        <w:tabs>
          <w:tab w:leader="none" w:pos="1025"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Through the completion of the 12 mg dose cohort, pociredir has been dosed in 135 adults, including 76 subjects in multiple dose cohorts up to 12 weeks.</w:t>
      </w:r>
    </w:p>
    <w:p>
      <w:pPr>
        <w:spacing w:after="0" w:line="99" w:lineRule="exact"/>
        <w:rPr>
          <w:rFonts w:ascii="Times New Roman" w:cs="Times New Roman" w:eastAsia="Times New Roman" w:hAnsi="Times New Roman"/>
          <w:sz w:val="16"/>
          <w:szCs w:val="16"/>
          <w:color w:val="auto"/>
        </w:rPr>
      </w:pPr>
    </w:p>
    <w:p>
      <w:pPr>
        <w:ind w:left="102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w:t>
      </w:r>
      <w:r>
        <w:rPr>
          <w:rFonts w:ascii="Times New Roman" w:cs="Times New Roman" w:eastAsia="Times New Roman" w:hAnsi="Times New Roman"/>
          <w:sz w:val="15"/>
          <w:szCs w:val="15"/>
          <w:color w:val="auto"/>
        </w:rPr>
        <w:t>103 healthy subjects, including 44 who received pociredir from 10 to 14 days treatment duration</w:t>
      </w:r>
    </w:p>
    <w:p>
      <w:pPr>
        <w:spacing w:after="0" w:line="99" w:lineRule="exact"/>
        <w:rPr>
          <w:rFonts w:ascii="Times New Roman" w:cs="Times New Roman" w:eastAsia="Times New Roman" w:hAnsi="Times New Roman"/>
          <w:sz w:val="16"/>
          <w:szCs w:val="16"/>
          <w:color w:val="auto"/>
        </w:rPr>
      </w:pPr>
    </w:p>
    <w:p>
      <w:pPr>
        <w:ind w:left="102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w:t>
      </w:r>
      <w:r>
        <w:rPr>
          <w:rFonts w:ascii="Times New Roman" w:cs="Times New Roman" w:eastAsia="Times New Roman" w:hAnsi="Times New Roman"/>
          <w:sz w:val="15"/>
          <w:szCs w:val="15"/>
          <w:color w:val="auto"/>
        </w:rPr>
        <w:t>32 SCD patients who received pociredir up to 12 weeks treatment duration</w:t>
      </w:r>
    </w:p>
    <w:p>
      <w:pPr>
        <w:spacing w:after="0" w:line="99" w:lineRule="exact"/>
        <w:rPr>
          <w:rFonts w:ascii="Times New Roman" w:cs="Times New Roman" w:eastAsia="Times New Roman" w:hAnsi="Times New Roman"/>
          <w:sz w:val="16"/>
          <w:szCs w:val="16"/>
          <w:color w:val="auto"/>
        </w:rPr>
      </w:pPr>
    </w:p>
    <w:p>
      <w:pPr>
        <w:ind w:left="1025" w:right="60" w:hanging="516"/>
        <w:spacing w:after="0" w:line="261" w:lineRule="auto"/>
        <w:tabs>
          <w:tab w:leader="none" w:pos="1025"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safety profile for pociredir observed in the 12 mg dose cohort was consistent with previously reported safety data. Pociredir was generally well-tolerated, with no drug-related serious adverse events and no discontinuations due to treatment-emergent adverse events through the completion of the 12 mg dose cohort. In addition, all treatment-related adverse events were Grade 1.</w:t>
      </w:r>
    </w:p>
    <w:p>
      <w:pPr>
        <w:spacing w:after="0" w:line="62" w:lineRule="exact"/>
        <w:rPr>
          <w:rFonts w:ascii="Times New Roman" w:cs="Times New Roman" w:eastAsia="Times New Roman" w:hAnsi="Times New Roman"/>
          <w:sz w:val="16"/>
          <w:szCs w:val="16"/>
          <w:color w:val="auto"/>
        </w:rPr>
      </w:pPr>
    </w:p>
    <w:p>
      <w:pPr>
        <w:ind w:left="1025" w:hanging="516"/>
        <w:spacing w:after="0"/>
        <w:tabs>
          <w:tab w:leader="none" w:pos="1025"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Additional observations after completion of the 4-week follow-up period for 12 mg dose cohort (ongoing) will be shared at a future medical meeting.</w:t>
      </w:r>
    </w:p>
    <w:p>
      <w:pPr>
        <w:spacing w:after="0" w:line="10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The 12 mg data (n=16) discussed in this press release relates to cohort 3b (incomplete prior 12 mg cohort (3a) conducted prior to study hold not included in this analysis).</w:t>
      </w:r>
    </w:p>
    <w:p>
      <w:pPr>
        <w:spacing w:after="0" w:line="28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02" w:lineRule="exact"/>
        <w:rPr>
          <w:sz w:val="20"/>
          <w:szCs w:val="20"/>
          <w:color w:val="auto"/>
        </w:rPr>
      </w:pPr>
    </w:p>
    <w:p>
      <w:pPr>
        <w:ind w:left="425" w:hanging="425"/>
        <w:spacing w:after="0"/>
        <w:tabs>
          <w:tab w:leader="none" w:pos="425"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541655</wp:posOffset>
            </wp:positionV>
            <wp:extent cx="717486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85"/>
          </w:cols>
          <w:pgMar w:left="315" w:top="972" w:right="399" w:bottom="1440" w:gutter="0" w:footer="0" w:header="0"/>
        </w:sectPr>
      </w:pPr>
    </w:p>
    <w:bookmarkStart w:id="2" w:name="page3"/>
    <w:bookmarkEnd w:id="2"/>
    <w:p>
      <w:pPr>
        <w:ind w:left="6"/>
        <w:spacing w:after="0"/>
        <w:tabs>
          <w:tab w:leader="none" w:pos="665" w:val="left"/>
        </w:tabs>
        <w:rPr>
          <w:sz w:val="20"/>
          <w:szCs w:val="20"/>
          <w:color w:val="auto"/>
        </w:rPr>
      </w:pPr>
      <w:r>
        <w:rPr>
          <w:rFonts w:ascii="Times New Roman" w:cs="Times New Roman" w:eastAsia="Times New Roman" w:hAnsi="Times New Roman"/>
          <w:sz w:val="16"/>
          <w:szCs w:val="16"/>
          <w:color w:val="auto"/>
        </w:rPr>
        <w:t>99.1+</w:t>
      </w:r>
      <w:r>
        <w:rPr>
          <w:sz w:val="20"/>
          <w:szCs w:val="20"/>
          <w:color w:val="auto"/>
        </w:rPr>
        <w:tab/>
      </w:r>
      <w:r>
        <w:rPr>
          <w:rFonts w:ascii="Times New Roman" w:cs="Times New Roman" w:eastAsia="Times New Roman" w:hAnsi="Times New Roman"/>
          <w:sz w:val="15"/>
          <w:szCs w:val="15"/>
          <w:u w:val="single" w:color="auto"/>
          <w:color w:val="0000FF"/>
        </w:rPr>
        <w:t>Press Release issued July 29, 2025, announcing financial results for the quarter ended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-8255</wp:posOffset>
            </wp:positionV>
            <wp:extent cx="401383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013835" cy="7620"/>
                    </a:xfrm>
                    <a:prstGeom prst="rect">
                      <a:avLst/>
                    </a:prstGeom>
                    <a:noFill/>
                  </pic:spPr>
                </pic:pic>
              </a:graphicData>
            </a:graphic>
          </wp:anchor>
        </w:drawing>
      </w:r>
    </w:p>
    <w:p>
      <w:pPr>
        <w:spacing w:after="0" w:line="2" w:lineRule="exact"/>
        <w:rPr>
          <w:sz w:val="20"/>
          <w:szCs w:val="20"/>
          <w:color w:val="auto"/>
        </w:rPr>
      </w:pPr>
    </w:p>
    <w:p>
      <w:pPr>
        <w:ind w:left="6"/>
        <w:spacing w:after="0"/>
        <w:tabs>
          <w:tab w:leader="none" w:pos="665" w:val="left"/>
        </w:tabs>
        <w:rPr>
          <w:sz w:val="20"/>
          <w:szCs w:val="20"/>
          <w:color w:val="auto"/>
        </w:rPr>
      </w:pPr>
      <w:r>
        <w:rPr>
          <w:rFonts w:ascii="Times New Roman" w:cs="Times New Roman" w:eastAsia="Times New Roman" w:hAnsi="Times New Roman"/>
          <w:sz w:val="16"/>
          <w:szCs w:val="16"/>
          <w:color w:val="auto"/>
        </w:rPr>
        <w:t>99.2*</w:t>
      </w:r>
      <w:r>
        <w:rPr>
          <w:sz w:val="20"/>
          <w:szCs w:val="20"/>
          <w:color w:val="auto"/>
        </w:rPr>
        <w:tab/>
      </w:r>
      <w:r>
        <w:rPr>
          <w:rFonts w:ascii="Times New Roman" w:cs="Times New Roman" w:eastAsia="Times New Roman" w:hAnsi="Times New Roman"/>
          <w:sz w:val="15"/>
          <w:szCs w:val="15"/>
          <w:u w:val="single" w:color="auto"/>
          <w:color w:val="0000FF"/>
        </w:rPr>
        <w:t>Presentation issued July 29, 2025, announcing results from the 12 mg Dose Cohort of the Phase 1b PIONEER Trial of Pociredir in Sickle Cell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-19050</wp:posOffset>
            </wp:positionV>
            <wp:extent cx="603250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32500" cy="7620"/>
                    </a:xfrm>
                    <a:prstGeom prst="rect">
                      <a:avLst/>
                    </a:prstGeom>
                    <a:noFill/>
                  </pic:spPr>
                </pic:pic>
              </a:graphicData>
            </a:graphic>
          </wp:anchor>
        </w:drawing>
      </w:r>
    </w:p>
    <w:p>
      <w:pPr>
        <w:ind w:left="686" w:hanging="685"/>
        <w:spacing w:after="0"/>
        <w:tabs>
          <w:tab w:leader="none" w:pos="686"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(embedded within the Inline XBRL document)</w:t>
      </w:r>
    </w:p>
    <w:p>
      <w:pPr>
        <w:spacing w:after="0" w:line="260" w:lineRule="exact"/>
        <w:rPr>
          <w:rFonts w:ascii="Times New Roman" w:cs="Times New Roman" w:eastAsia="Times New Roman" w:hAnsi="Times New Roman"/>
          <w:sz w:val="16"/>
          <w:szCs w:val="16"/>
          <w:color w:val="auto"/>
        </w:rPr>
      </w:pPr>
    </w:p>
    <w:p>
      <w:pPr>
        <w:ind w:left="126" w:hanging="126"/>
        <w:spacing w:after="0"/>
        <w:tabs>
          <w:tab w:leader="none" w:pos="126"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-135890</wp:posOffset>
            </wp:positionV>
            <wp:extent cx="95377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53770" cy="7620"/>
                    </a:xfrm>
                    <a:prstGeom prst="rect">
                      <a:avLst/>
                    </a:prstGeom>
                    <a:noFill/>
                  </pic:spPr>
                </pic:pic>
              </a:graphicData>
            </a:graphic>
          </wp:anchor>
        </w:drawing>
      </w:r>
    </w:p>
    <w:p>
      <w:pPr>
        <w:spacing w:after="0" w:line="2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421640</wp:posOffset>
            </wp:positionV>
            <wp:extent cx="717486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186"/>
          </w:cols>
          <w:pgMar w:left="314" w:top="691" w:right="1399" w:bottom="1440" w:gutter="0" w:footer="0" w:header="0"/>
        </w:sectPr>
      </w:pPr>
    </w:p>
    <w:bookmarkStart w:id="3" w:name="page4"/>
    <w:bookmarkEnd w:id="3"/>
    <w:p>
      <w:pPr>
        <w:ind w:left="512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color w:val="auto"/>
        </w:rPr>
        <w:t>FULCRUM THERAPEUTICS, INC.</w:t>
      </w:r>
    </w:p>
    <w:p>
      <w:pPr>
        <w:spacing w:after="0" w:line="325"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July 29, 2025</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Alex C. Sapir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13970</wp:posOffset>
            </wp:positionV>
            <wp:extent cx="328168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81680" cy="7620"/>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color w:val="auto"/>
        </w:rPr>
        <w:t>Name: Alex C. Sapir</w:t>
      </w:r>
    </w:p>
    <w:p>
      <w:pPr>
        <w:spacing w:after="0" w:line="2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621030</wp:posOffset>
            </wp:positionV>
            <wp:extent cx="717486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720"/>
          </w:cols>
          <w:pgMar w:left="320" w:top="689" w:right="859" w:bottom="1440" w:gutter="0" w:footer="0" w:header="0"/>
        </w:sectPr>
      </w:pPr>
    </w:p>
    <w:bookmarkStart w:id="4" w:name="page5"/>
    <w:bookmarkEnd w:id="4"/>
    <w:p>
      <w:pPr>
        <w:ind w:left="10405"/>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1366520" cy="3302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66520" cy="330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4"/>
        <w:spacing w:after="0"/>
        <w:rPr>
          <w:sz w:val="20"/>
          <w:szCs w:val="20"/>
          <w:color w:val="auto"/>
        </w:rPr>
      </w:pPr>
      <w:r>
        <w:rPr>
          <w:rFonts w:ascii="Times New Roman" w:cs="Times New Roman" w:eastAsia="Times New Roman" w:hAnsi="Times New Roman"/>
          <w:sz w:val="22"/>
          <w:szCs w:val="22"/>
          <w:b w:val="1"/>
          <w:bCs w:val="1"/>
          <w:color w:val="auto"/>
        </w:rPr>
        <w:t>Fulcrum Therapeutics Announces Recent Business Highlights and Financial Results</w:t>
      </w:r>
    </w:p>
    <w:p>
      <w:pPr>
        <w:spacing w:after="0" w:line="196" w:lineRule="exact"/>
        <w:rPr>
          <w:sz w:val="20"/>
          <w:szCs w:val="20"/>
          <w:color w:val="auto"/>
        </w:rPr>
      </w:pPr>
    </w:p>
    <w:p>
      <w:pPr>
        <w:jc w:val="center"/>
        <w:ind w:right="-24"/>
        <w:spacing w:after="0"/>
        <w:rPr>
          <w:sz w:val="20"/>
          <w:szCs w:val="20"/>
          <w:color w:val="auto"/>
        </w:rPr>
      </w:pPr>
      <w:r>
        <w:rPr>
          <w:rFonts w:ascii="Times New Roman" w:cs="Times New Roman" w:eastAsia="Times New Roman" w:hAnsi="Times New Roman"/>
          <w:sz w:val="22"/>
          <w:szCs w:val="22"/>
          <w:b w:val="1"/>
          <w:bCs w:val="1"/>
          <w:color w:val="auto"/>
        </w:rPr>
        <w:t>for Second Quarter 2025</w:t>
      </w:r>
    </w:p>
    <w:p>
      <w:pPr>
        <w:spacing w:after="0" w:line="225" w:lineRule="exact"/>
        <w:rPr>
          <w:sz w:val="20"/>
          <w:szCs w:val="20"/>
          <w:color w:val="auto"/>
        </w:rPr>
      </w:pPr>
    </w:p>
    <w:p>
      <w:pPr>
        <w:ind w:left="205" w:hanging="205"/>
        <w:spacing w:after="0"/>
        <w:tabs>
          <w:tab w:leader="none" w:pos="205" w:val="left"/>
        </w:tabs>
        <w:numPr>
          <w:ilvl w:val="0"/>
          <w:numId w:val="5"/>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Announced results from the 12 mg dose cohort (n=16) of the Phase 1b PIONEER trial of pociredir in sickle cell disease (SCD); pociredir was generally well-tolerated with no</w:t>
      </w:r>
    </w:p>
    <w:p>
      <w:pPr>
        <w:spacing w:after="0" w:line="35" w:lineRule="exact"/>
        <w:rPr>
          <w:rFonts w:ascii="Times New Roman" w:cs="Times New Roman" w:eastAsia="Times New Roman" w:hAnsi="Times New Roman"/>
          <w:sz w:val="15"/>
          <w:szCs w:val="15"/>
          <w:i w:val="1"/>
          <w:iCs w:val="1"/>
          <w:color w:val="auto"/>
        </w:rPr>
      </w:pPr>
    </w:p>
    <w:p>
      <w:pPr>
        <w:ind w:left="4005"/>
        <w:spacing w:after="0"/>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6"/>
          <w:szCs w:val="16"/>
          <w:i w:val="1"/>
          <w:iCs w:val="1"/>
          <w:color w:val="auto"/>
        </w:rPr>
        <w:t>treatment-related serious adverse events (SAEs) ―</w:t>
      </w:r>
    </w:p>
    <w:p>
      <w:pPr>
        <w:spacing w:after="0" w:line="175" w:lineRule="exact"/>
        <w:rPr>
          <w:rFonts w:ascii="Times New Roman" w:cs="Times New Roman" w:eastAsia="Times New Roman" w:hAnsi="Times New Roman"/>
          <w:sz w:val="15"/>
          <w:szCs w:val="15"/>
          <w:i w:val="1"/>
          <w:iCs w:val="1"/>
          <w:color w:val="auto"/>
        </w:rPr>
      </w:pPr>
    </w:p>
    <w:p>
      <w:pPr>
        <w:ind w:left="225" w:hanging="202"/>
        <w:spacing w:after="0"/>
        <w:tabs>
          <w:tab w:leader="none" w:pos="225" w:val="left"/>
        </w:tabs>
        <w:numPr>
          <w:ilvl w:val="1"/>
          <w:numId w:val="5"/>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Observed robust and rapid pan-cellular increases in fetal hemoglobin (HbF); meaningful improvements in key markers of hemolysis and anemia; encouraging trends in vaso-</w:t>
      </w:r>
    </w:p>
    <w:p>
      <w:pPr>
        <w:spacing w:after="0" w:line="35" w:lineRule="exact"/>
        <w:rPr>
          <w:rFonts w:ascii="Times New Roman" w:cs="Times New Roman" w:eastAsia="Times New Roman" w:hAnsi="Times New Roman"/>
          <w:sz w:val="15"/>
          <w:szCs w:val="15"/>
          <w:i w:val="1"/>
          <w:iCs w:val="1"/>
          <w:color w:val="auto"/>
        </w:rPr>
      </w:pPr>
    </w:p>
    <w:p>
      <w:pPr>
        <w:ind w:left="4765"/>
        <w:spacing w:after="0"/>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6"/>
          <w:szCs w:val="16"/>
          <w:i w:val="1"/>
          <w:iCs w:val="1"/>
          <w:color w:val="auto"/>
        </w:rPr>
        <w:t>occlusive crises (VOCs) ―</w:t>
      </w:r>
    </w:p>
    <w:p>
      <w:pPr>
        <w:spacing w:after="0" w:line="175" w:lineRule="exact"/>
        <w:rPr>
          <w:rFonts w:ascii="Times New Roman" w:cs="Times New Roman" w:eastAsia="Times New Roman" w:hAnsi="Times New Roman"/>
          <w:sz w:val="15"/>
          <w:szCs w:val="15"/>
          <w:i w:val="1"/>
          <w:iCs w:val="1"/>
          <w:color w:val="auto"/>
        </w:rPr>
      </w:pPr>
    </w:p>
    <w:p>
      <w:pPr>
        <w:ind w:left="3105" w:hanging="199"/>
        <w:spacing w:after="0"/>
        <w:tabs>
          <w:tab w:leader="none" w:pos="3105" w:val="left"/>
        </w:tabs>
        <w:numPr>
          <w:ilvl w:val="3"/>
          <w:numId w:val="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On track to provide clinical data from the 20 mg dose cohort by the end of 2025 ―</w:t>
      </w:r>
    </w:p>
    <w:p>
      <w:pPr>
        <w:spacing w:after="0" w:line="218" w:lineRule="exact"/>
        <w:rPr>
          <w:rFonts w:ascii="Times New Roman" w:cs="Times New Roman" w:eastAsia="Times New Roman" w:hAnsi="Times New Roman"/>
          <w:sz w:val="16"/>
          <w:szCs w:val="16"/>
          <w:i w:val="1"/>
          <w:iCs w:val="1"/>
          <w:color w:val="auto"/>
        </w:rPr>
      </w:pPr>
    </w:p>
    <w:p>
      <w:pPr>
        <w:ind w:left="2065" w:hanging="190"/>
        <w:spacing w:after="0"/>
        <w:tabs>
          <w:tab w:leader="none" w:pos="2065" w:val="left"/>
        </w:tabs>
        <w:numPr>
          <w:ilvl w:val="2"/>
          <w:numId w:val="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Ended Q2 2025 with $214.1 million in cash, cash equivalents, and marketable securities; cash runway into 2028 ―</w:t>
      </w:r>
    </w:p>
    <w:p>
      <w:pPr>
        <w:spacing w:after="0" w:line="296" w:lineRule="exact"/>
        <w:rPr>
          <w:sz w:val="20"/>
          <w:szCs w:val="20"/>
          <w:color w:val="auto"/>
        </w:rPr>
      </w:pPr>
    </w:p>
    <w:p>
      <w:pPr>
        <w:ind w:left="5" w:right="180"/>
        <w:spacing w:after="0" w:line="239" w:lineRule="auto"/>
        <w:rPr>
          <w:sz w:val="20"/>
          <w:szCs w:val="20"/>
          <w:color w:val="auto"/>
        </w:rPr>
      </w:pPr>
      <w:r>
        <w:rPr>
          <w:rFonts w:ascii="Times New Roman" w:cs="Times New Roman" w:eastAsia="Times New Roman" w:hAnsi="Times New Roman"/>
          <w:sz w:val="15"/>
          <w:szCs w:val="15"/>
          <w:b w:val="1"/>
          <w:bCs w:val="1"/>
          <w:color w:val="auto"/>
        </w:rPr>
        <w:t xml:space="preserve">CAMBRIDGE, Mass., – July 29, 2025 </w:t>
      </w:r>
      <w:r>
        <w:rPr>
          <w:rFonts w:ascii="Times New Roman" w:cs="Times New Roman" w:eastAsia="Times New Roman" w:hAnsi="Times New Roman"/>
          <w:sz w:val="15"/>
          <w:szCs w:val="15"/>
          <w:color w:val="auto"/>
        </w:rPr>
        <w:t>– Fulcrum Therapeutics, Inc.</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(Fulcrum) (Nasdaq: FULC), a clinical-stage biopharmaceutical company focused on developing small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molecules to improve the lives of patients with genetically defined rare diseases, today reported financial results for the second quarter of 2025 and provided a business update.</w:t>
      </w:r>
    </w:p>
    <w:p>
      <w:pPr>
        <w:spacing w:after="0" w:line="174" w:lineRule="exact"/>
        <w:rPr>
          <w:sz w:val="20"/>
          <w:szCs w:val="20"/>
          <w:color w:val="auto"/>
        </w:rPr>
      </w:pPr>
    </w:p>
    <w:p>
      <w:pPr>
        <w:ind w:left="5" w:right="160"/>
        <w:spacing w:after="0" w:line="256" w:lineRule="auto"/>
        <w:rPr>
          <w:sz w:val="20"/>
          <w:szCs w:val="20"/>
          <w:color w:val="auto"/>
        </w:rPr>
      </w:pPr>
      <w:r>
        <w:rPr>
          <w:rFonts w:ascii="Times New Roman" w:cs="Times New Roman" w:eastAsia="Times New Roman" w:hAnsi="Times New Roman"/>
          <w:sz w:val="16"/>
          <w:szCs w:val="16"/>
          <w:color w:val="auto"/>
        </w:rPr>
        <w:t>“Fulcrum has made substantial progress this quarter, having reported very promising results from the 12 mg cohort of the PIONEER trial,” said Alex C. Sapir, Fulcrum’s President and Chief Executive Officer. “We believe that this data demonstrates that pociredir has the potential to increase fetal hemoglobin to levels that could ameliorate SCD symptomology and transform the standard of care with a once daily oral treatment option. We look forward to reporting the 20 mg data later this year and progressing pociredir into later-stage development.”</w:t>
      </w:r>
    </w:p>
    <w:p>
      <w:pPr>
        <w:spacing w:after="0" w:line="15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u w:val="single" w:color="auto"/>
          <w:color w:val="auto"/>
        </w:rPr>
        <w:t>Recent Business Highlights</w:t>
      </w:r>
    </w:p>
    <w:p>
      <w:pPr>
        <w:spacing w:after="0" w:line="102" w:lineRule="exact"/>
        <w:rPr>
          <w:sz w:val="20"/>
          <w:szCs w:val="20"/>
          <w:color w:val="auto"/>
        </w:rPr>
      </w:pPr>
    </w:p>
    <w:p>
      <w:pPr>
        <w:ind w:left="1025" w:right="340" w:hanging="516"/>
        <w:spacing w:after="0" w:line="254" w:lineRule="auto"/>
        <w:tabs>
          <w:tab w:leader="none" w:pos="1025"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Announced results from the 12 mg dose cohort of the PIONEER trial, following conclusion of the 12-week treatment period. Results included a robust mean increase of 8.6% in HbF, evidence of pan-cellular induction of HbF shown by a mean of 67% F-cells, improvements in markers of hemolysis and a 0.9 g/dL increase in total hemoglobin, and encouraging trends in VOC reductions. Pociredir was generally well-tolerated, with no drug-related SAEs and no discontinuations due to treatment-emergent adverse events through the completion of the 12 mg dose cohort. In addition, all treatment-related AEs through completion of the 12 mg dose cohort were Grade 1.</w:t>
      </w:r>
    </w:p>
    <w:p>
      <w:pPr>
        <w:spacing w:after="0" w:line="67" w:lineRule="exact"/>
        <w:rPr>
          <w:rFonts w:ascii="Times New Roman" w:cs="Times New Roman" w:eastAsia="Times New Roman" w:hAnsi="Times New Roman"/>
          <w:sz w:val="16"/>
          <w:szCs w:val="16"/>
          <w:color w:val="auto"/>
        </w:rPr>
      </w:pPr>
    </w:p>
    <w:p>
      <w:pPr>
        <w:ind w:left="1025" w:hanging="516"/>
        <w:spacing w:after="0"/>
        <w:tabs>
          <w:tab w:leader="none" w:pos="1025"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20 mg dose cohort is ongoing, and Fulcrum plans to share data from this cohort by the end of 2025.</w:t>
      </w:r>
    </w:p>
    <w:p>
      <w:pPr>
        <w:spacing w:after="0" w:line="99" w:lineRule="exact"/>
        <w:rPr>
          <w:rFonts w:ascii="Times New Roman" w:cs="Times New Roman" w:eastAsia="Times New Roman" w:hAnsi="Times New Roman"/>
          <w:sz w:val="16"/>
          <w:szCs w:val="16"/>
          <w:color w:val="auto"/>
        </w:rPr>
      </w:pPr>
    </w:p>
    <w:p>
      <w:pPr>
        <w:ind w:left="1025" w:right="140" w:hanging="516"/>
        <w:spacing w:after="0" w:line="261" w:lineRule="auto"/>
        <w:tabs>
          <w:tab w:leader="none" w:pos="1025"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Two abstracts were presented at the 2025 European Hematology Association (EHA) Congress in Milan, Italy, which took place June 12-15, 2025. The abstracts highlight preclinical target engagement and gene expression reversibility data of pociredir and clinical data from our previously completed Phase 1 healthy volunteer study.</w:t>
      </w:r>
    </w:p>
    <w:p>
      <w:pPr>
        <w:spacing w:after="0" w:line="62" w:lineRule="exact"/>
        <w:rPr>
          <w:rFonts w:ascii="Times New Roman" w:cs="Times New Roman" w:eastAsia="Times New Roman" w:hAnsi="Times New Roman"/>
          <w:sz w:val="16"/>
          <w:szCs w:val="16"/>
          <w:color w:val="auto"/>
        </w:rPr>
      </w:pPr>
    </w:p>
    <w:p>
      <w:pPr>
        <w:ind w:left="1025" w:right="380" w:hanging="516"/>
        <w:spacing w:after="0" w:line="310" w:lineRule="auto"/>
        <w:tabs>
          <w:tab w:leader="none" w:pos="1025"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Fulcrum continues to advance its program for the potential treatment of inherited aplastic anemias, such as Diamond-Blackfan anemia (DBA), Shwachman-Diamond syndrome, and Fanconi anemia, and plans to submit an investigational new drug application (IND) for DBA during the fourth quarter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375920</wp:posOffset>
            </wp:positionV>
            <wp:extent cx="717486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5"/>
          </w:cols>
          <w:pgMar w:left="315" w:top="68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u w:val="single" w:color="auto"/>
          <w:color w:val="auto"/>
        </w:rPr>
        <w:t>Second Quarter 2025 Financial Results</w:t>
      </w:r>
    </w:p>
    <w:p>
      <w:pPr>
        <w:spacing w:after="0" w:line="100" w:lineRule="exact"/>
        <w:rPr>
          <w:sz w:val="20"/>
          <w:szCs w:val="20"/>
          <w:color w:val="auto"/>
        </w:rPr>
      </w:pPr>
    </w:p>
    <w:p>
      <w:pPr>
        <w:ind w:left="1020" w:right="160" w:hanging="516"/>
        <w:spacing w:after="0" w:line="278" w:lineRule="auto"/>
        <w:tabs>
          <w:tab w:leader="none" w:pos="10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Cash Position: </w:t>
      </w:r>
      <w:r>
        <w:rPr>
          <w:rFonts w:ascii="Times New Roman" w:cs="Times New Roman" w:eastAsia="Times New Roman" w:hAnsi="Times New Roman"/>
          <w:sz w:val="16"/>
          <w:szCs w:val="16"/>
          <w:color w:val="auto"/>
        </w:rPr>
        <w:t>As of June 30, 2025, cash, cash equivalents, and marketable securities were $214.1 million, as compared to $241.0 million as of December 31,</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2024. The decrease of $26.9 million is primarily due to cash used to fund operating activities in 2025.</w:t>
      </w:r>
    </w:p>
    <w:p>
      <w:pPr>
        <w:spacing w:after="0" w:line="46" w:lineRule="exact"/>
        <w:rPr>
          <w:rFonts w:ascii="Times New Roman" w:cs="Times New Roman" w:eastAsia="Times New Roman" w:hAnsi="Times New Roman"/>
          <w:sz w:val="16"/>
          <w:szCs w:val="16"/>
          <w:color w:val="auto"/>
        </w:rPr>
      </w:pPr>
    </w:p>
    <w:p>
      <w:pPr>
        <w:ind w:left="1020" w:right="100" w:hanging="516"/>
        <w:spacing w:after="0" w:line="262" w:lineRule="auto"/>
        <w:tabs>
          <w:tab w:leader="none" w:pos="10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Collaboration Revenue: </w:t>
      </w:r>
      <w:r>
        <w:rPr>
          <w:rFonts w:ascii="Times New Roman" w:cs="Times New Roman" w:eastAsia="Times New Roman" w:hAnsi="Times New Roman"/>
          <w:sz w:val="16"/>
          <w:szCs w:val="16"/>
          <w:color w:val="auto"/>
        </w:rPr>
        <w:t>Collaboration revenue was zero for the three months ended June 30, 2025, as compared to $80.0 million for the three months ended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June 30, 2024. The decrease of $80.0 million was primarily due to the recognition of the $80.0 million upfront license payment received from Sanofi during the second quarter of 2024.</w:t>
      </w:r>
    </w:p>
    <w:p>
      <w:pPr>
        <w:spacing w:after="0" w:line="59" w:lineRule="exact"/>
        <w:rPr>
          <w:rFonts w:ascii="Times New Roman" w:cs="Times New Roman" w:eastAsia="Times New Roman" w:hAnsi="Times New Roman"/>
          <w:sz w:val="16"/>
          <w:szCs w:val="16"/>
          <w:color w:val="auto"/>
        </w:rPr>
      </w:pPr>
    </w:p>
    <w:p>
      <w:pPr>
        <w:ind w:left="1020" w:right="20" w:hanging="516"/>
        <w:spacing w:after="0" w:line="257" w:lineRule="auto"/>
        <w:tabs>
          <w:tab w:leader="none" w:pos="10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R&amp;D Expenses: </w:t>
      </w:r>
      <w:r>
        <w:rPr>
          <w:rFonts w:ascii="Times New Roman" w:cs="Times New Roman" w:eastAsia="Times New Roman" w:hAnsi="Times New Roman"/>
          <w:sz w:val="16"/>
          <w:szCs w:val="16"/>
          <w:color w:val="auto"/>
        </w:rPr>
        <w:t>Research and development expenses were $13.0 million for the three months ended June 30, 2025, as compared to $17.3 million for the three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months ended June 30, 2024. The decrease of $4.3 million was primarily due to decreased employee compensation costs as a result of the reduction in workforce implemented in the third quarter of 2024 as well as decreased costs associated with the discontinuation of our losmapimod program, partially offset by increased costs related to the advancement of the Phase 1b PIONEER trial of pociredir.</w:t>
      </w:r>
    </w:p>
    <w:p>
      <w:pPr>
        <w:spacing w:after="0" w:line="63" w:lineRule="exact"/>
        <w:rPr>
          <w:rFonts w:ascii="Times New Roman" w:cs="Times New Roman" w:eastAsia="Times New Roman" w:hAnsi="Times New Roman"/>
          <w:sz w:val="16"/>
          <w:szCs w:val="16"/>
          <w:color w:val="auto"/>
        </w:rPr>
      </w:pPr>
    </w:p>
    <w:p>
      <w:pPr>
        <w:ind w:left="1020" w:right="220" w:hanging="516"/>
        <w:spacing w:after="0" w:line="262" w:lineRule="auto"/>
        <w:tabs>
          <w:tab w:leader="none" w:pos="10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G&amp;A Expenses: </w:t>
      </w:r>
      <w:r>
        <w:rPr>
          <w:rFonts w:ascii="Times New Roman" w:cs="Times New Roman" w:eastAsia="Times New Roman" w:hAnsi="Times New Roman"/>
          <w:sz w:val="16"/>
          <w:szCs w:val="16"/>
          <w:color w:val="auto"/>
        </w:rPr>
        <w:t>General and administrative expenses were $6.8 million for the three months ended June 30, 2025, as compared to $10.2 million for the three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months ended June 30, 2024. The decrease of $3.4 million was primarily due to decreased professional services costs as well as decreased employee compensation costs as a result of the reduction in workforce implemented in the third quarter of 2024.</w:t>
      </w:r>
    </w:p>
    <w:p>
      <w:pPr>
        <w:spacing w:after="0" w:line="59" w:lineRule="exact"/>
        <w:rPr>
          <w:rFonts w:ascii="Times New Roman" w:cs="Times New Roman" w:eastAsia="Times New Roman" w:hAnsi="Times New Roman"/>
          <w:sz w:val="16"/>
          <w:szCs w:val="16"/>
          <w:color w:val="auto"/>
        </w:rPr>
      </w:pPr>
    </w:p>
    <w:p>
      <w:pPr>
        <w:ind w:left="1020" w:right="60" w:hanging="516"/>
        <w:spacing w:after="0" w:line="278" w:lineRule="auto"/>
        <w:tabs>
          <w:tab w:leader="none" w:pos="10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Net Loss: </w:t>
      </w:r>
      <w:r>
        <w:rPr>
          <w:rFonts w:ascii="Times New Roman" w:cs="Times New Roman" w:eastAsia="Times New Roman" w:hAnsi="Times New Roman"/>
          <w:sz w:val="16"/>
          <w:szCs w:val="16"/>
          <w:color w:val="auto"/>
        </w:rPr>
        <w:t>Net loss was $17.3 million for the three months ended June 30, 2025, as compared to net income of $55.4 million for the three months ended June 30,</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2024.</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Updated Cash Runway Guidance</w:t>
      </w:r>
    </w:p>
    <w:p>
      <w:pPr>
        <w:spacing w:after="0" w:line="102"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16"/>
          <w:szCs w:val="16"/>
          <w:color w:val="auto"/>
        </w:rPr>
        <w:t>Based on its current operating plans, Fulcrum now expects that its current cash, cash equivalents, and marketable securities will be sufficient to fund its operating requirements into 2028.</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Fulcrum Therapeutics</w:t>
      </w:r>
    </w:p>
    <w:p>
      <w:pPr>
        <w:spacing w:after="0" w:line="24"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6"/>
          <w:szCs w:val="16"/>
          <w:color w:val="auto"/>
        </w:rPr>
        <w:t xml:space="preserve">Fulcrum Therapeutics is a clinical-stage biopharmaceutical company focused on developing small molecules to improve the lives of patients with genetically defined rare diseases in areas of high unmet medical need. Fulcrum’s lead clinical program is pociredir, a small molecule designed to increase expression of HbF for the treatment of SCD. Fulcrum uses proprietary technology to identify drug targets that can modulate gene expression to treat the known root cause of gene mis-expression. For more information, visit </w:t>
      </w:r>
      <w:r>
        <w:rPr>
          <w:rFonts w:ascii="Times New Roman" w:cs="Times New Roman" w:eastAsia="Times New Roman" w:hAnsi="Times New Roman"/>
          <w:sz w:val="16"/>
          <w:szCs w:val="16"/>
          <w:u w:val="single" w:color="auto"/>
          <w:color w:val="0000FF"/>
        </w:rPr>
        <w:t>www.fulcrumtx.com</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and follow us on Twitter/X (@FulcrumTx) and LinkedIn.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Pociredir</w:t>
      </w:r>
    </w:p>
    <w:p>
      <w:pPr>
        <w:spacing w:after="0" w:line="24"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6"/>
          <w:szCs w:val="16"/>
          <w:color w:val="auto"/>
        </w:rPr>
        <w:t xml:space="preserve">Pociredir is an investigational oral small-molecule inhibitor of Embryonic Ectoderm Development (EED) that was discovered using Fulcrum’s proprietary discovery technology. Inhibition of EED leads to potent downregulation of key fetal globin repressors, including BCL11A, thereby causing an increase in HbF. Pociredir is being developed for the treatment of SCD. Initial data in SCD in the PIONEER Phase 1b clinical trial showed proof-of-concept and achieved absolute levels of HbF increases associated with potential overall patient benefit. Through the completion of the 12 mg dose cohort, pociredir was demonstrated to be generally well-tolerated in people with SCD with up to three months of exposure, with no treatment-related serious adverse events reported. Pociredir has been granted FDA Fast Track designation and Orphan Drug Designation for the treatment of SCD. To learn more about clinical trials of pociredir please visit </w:t>
      </w:r>
      <w:r>
        <w:rPr>
          <w:rFonts w:ascii="Times New Roman" w:cs="Times New Roman" w:eastAsia="Times New Roman" w:hAnsi="Times New Roman"/>
          <w:sz w:val="16"/>
          <w:szCs w:val="16"/>
          <w:u w:val="single" w:color="auto"/>
          <w:color w:val="0000FF"/>
        </w:rPr>
        <w:t>ClinicalTrials.gov</w:t>
      </w:r>
      <w:r>
        <w:rPr>
          <w:rFonts w:ascii="Times New Roman" w:cs="Times New Roman" w:eastAsia="Times New Roman" w:hAnsi="Times New Roman"/>
          <w:sz w:val="16"/>
          <w:szCs w:val="16"/>
          <w:color w:val="auto"/>
        </w:rPr>
        <w: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Sickle Cell Disease</w:t>
      </w:r>
    </w:p>
    <w:p>
      <w:pPr>
        <w:spacing w:after="0" w:line="2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6"/>
          <w:szCs w:val="16"/>
          <w:color w:val="auto"/>
        </w:rPr>
        <w:t>SCD is a genetic disorder of the red blood cells caused by a mutation in the HBB gene. This gene encodes a protein that is a key component of hemoglobin, a protein complex whose function is to transport oxygen in the body. The result of the mutation is less efficient oxygen transport and the formation of red blood cells that have a sickle shape. These sickle shaped cells are much less flexible than healthy cells and can block blood vessels or rupture cells. People with SCD typically suffer from serious clinical consequences, which may include anemia, pain, infections, stroke, heart disease, pulmonary hypertension, kidney failure, liver disease, and reduced life expectancy.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403225</wp:posOffset>
            </wp:positionV>
            <wp:extent cx="717486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20" w:top="972"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102"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6"/>
          <w:szCs w:val="16"/>
          <w:color w:val="auto"/>
        </w:rPr>
        <w:t>This press release contains “forward-looking statements” within the meaning of the Private Securities Litigation Reform Act of 1995 that involve substantial risks and uncertainties. All statements, other than statements of historical facts, contained in this press release are forward-looking statements, including express or implied statements regarding Fulcrum’s Phase 1b PIONEER clinical trial of pociredir, including planned data announcement for such trial; the potential of pociredir to increase HbF to levels that could ameliorate symptoms of SCD and transform the standard of care; Fulcrum’s ability to progress its early stage development programs and planned IND filings related thereto; and its projected cash runway, among others.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risks associated with Fulcrum’s ability to continue to advance its product candidates in clinical trials; initiating and enrolling clinical trials on the timeline expected or at all; obtaining and maintaining necessary approvals from the FDA and other regulatory authorities; replicating in clinical trials positive results found in preclinical studies and/or earlier-stage clinical trials; obtaining, maintaining or protecting intellectual property rights related to its product candidates; managing expenses; realizing the anticipated benefits of the workforce reduction and strategic realignment and managing risks associated therewith; and raising the substantial additional capital needed to achieve its business objectives, among others. For a discussion of other risks and uncertainties, and other important factors, any of which could cause Fulcrum’s actual results to differ from those contained in the forward-looking statements, see the “Risk Factors” section, as well as discussions of potential risks, uncertainties, and other important factors, in Fulcrum’s most recent filings with the Securities and Exchange Commission. In addition, the forward-looking statements included in this press release represent Fulcrum’s views as of the date hereof and should not be relied upon as representing Fulcrum’s views as of any date subsequent to the date hereof. Fulcrum anticipates that subsequent events and developments will cause Fulcrum’s views to change. However, while Fulcrum may elect to update these forward-looking statements at some point in the future, Fulcrum specifically disclaims any obligation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768350</wp:posOffset>
            </wp:positionV>
            <wp:extent cx="717486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20" w:top="689" w:right="379" w:bottom="1440" w:gutter="0" w:footer="0" w:header="0"/>
        </w:sectPr>
      </w:pPr>
    </w:p>
    <w:bookmarkStart w:id="7" w:name="page8"/>
    <w:bookmarkEnd w:id="7"/>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Fulcrum Therapeutics, Inc.</w:t>
      </w:r>
    </w:p>
    <w:p>
      <w:pPr>
        <w:spacing w:after="0" w:line="10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Selected Consolidated Balance Sheet Data</w:t>
      </w:r>
    </w:p>
    <w:p>
      <w:pPr>
        <w:spacing w:after="0" w:line="10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0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20" w:type="dxa"/>
            <w:vAlign w:val="bottom"/>
          </w:tcPr>
          <w:p>
            <w:pPr>
              <w:spacing w:after="0"/>
              <w:rPr>
                <w:sz w:val="12"/>
                <w:szCs w:val="12"/>
                <w:color w:val="auto"/>
              </w:rPr>
            </w:pPr>
          </w:p>
        </w:tc>
        <w:tc>
          <w:tcPr>
            <w:tcW w:w="1040" w:type="dxa"/>
            <w:vAlign w:val="bottom"/>
          </w:tcPr>
          <w:p>
            <w:pPr>
              <w:jc w:val="center"/>
              <w:ind w:left="492"/>
              <w:spacing w:after="0"/>
              <w:rPr>
                <w:sz w:val="20"/>
                <w:szCs w:val="20"/>
                <w:color w:val="auto"/>
              </w:rPr>
            </w:pPr>
            <w:r>
              <w:rPr>
                <w:rFonts w:ascii="Times New Roman" w:cs="Times New Roman" w:eastAsia="Times New Roman" w:hAnsi="Times New Roman"/>
                <w:sz w:val="13"/>
                <w:szCs w:val="13"/>
                <w:b w:val="1"/>
                <w:bCs w:val="1"/>
                <w:color w:val="auto"/>
                <w:w w:val="95"/>
              </w:rPr>
              <w:t>June 30,</w:t>
            </w: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r>
      <w:tr>
        <w:trPr>
          <w:trHeight w:val="152"/>
        </w:trPr>
        <w:tc>
          <w:tcPr>
            <w:tcW w:w="7720" w:type="dxa"/>
            <w:vAlign w:val="bottom"/>
          </w:tcPr>
          <w:p>
            <w:pPr>
              <w:spacing w:after="0"/>
              <w:rPr>
                <w:sz w:val="13"/>
                <w:szCs w:val="13"/>
                <w:color w:val="auto"/>
              </w:rPr>
            </w:pPr>
          </w:p>
        </w:tc>
        <w:tc>
          <w:tcPr>
            <w:tcW w:w="10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3"/>
                <w:szCs w:val="13"/>
                <w:b w:val="1"/>
                <w:bCs w:val="1"/>
                <w:color w:val="auto"/>
              </w:rPr>
              <w:t>2025</w:t>
            </w:r>
          </w:p>
        </w:tc>
        <w:tc>
          <w:tcPr>
            <w:tcW w:w="54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56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3"/>
                <w:szCs w:val="13"/>
                <w:color w:val="auto"/>
              </w:rPr>
            </w:pPr>
          </w:p>
        </w:tc>
      </w:tr>
      <w:tr>
        <w:trPr>
          <w:trHeight w:val="181"/>
        </w:trPr>
        <w:tc>
          <w:tcPr>
            <w:tcW w:w="772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Cash, cash equivalents, and marketable securities</w:t>
            </w:r>
          </w:p>
        </w:tc>
        <w:tc>
          <w:tcPr>
            <w:tcW w:w="1040" w:type="dxa"/>
            <w:vAlign w:val="bottom"/>
            <w:shd w:val="clear" w:color="auto" w:fill="CFF0FC"/>
          </w:tcPr>
          <w:p>
            <w:pPr>
              <w:jc w:val="right"/>
              <w:ind w:right="892"/>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w w:val="99"/>
              </w:rPr>
              <w:t>214,111</w:t>
            </w:r>
          </w:p>
        </w:tc>
        <w:tc>
          <w:tcPr>
            <w:tcW w:w="540" w:type="dxa"/>
            <w:vAlign w:val="bottom"/>
            <w:gridSpan w:val="2"/>
            <w:shd w:val="clear" w:color="auto" w:fill="CFF0FC"/>
          </w:tcPr>
          <w:p>
            <w:pPr>
              <w:jc w:val="right"/>
              <w:ind w:right="18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FF0FC"/>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241,021</w:t>
            </w:r>
          </w:p>
        </w:tc>
      </w:tr>
      <w:tr>
        <w:trPr>
          <w:trHeight w:val="189"/>
        </w:trPr>
        <w:tc>
          <w:tcPr>
            <w:tcW w:w="7720" w:type="dxa"/>
            <w:vAlign w:val="bottom"/>
          </w:tcPr>
          <w:p>
            <w:pPr>
              <w:spacing w:after="0" w:line="190" w:lineRule="exact"/>
              <w:rPr>
                <w:sz w:val="20"/>
                <w:szCs w:val="20"/>
                <w:color w:val="auto"/>
              </w:rPr>
            </w:pPr>
            <w:r>
              <w:rPr>
                <w:rFonts w:ascii="Times New Roman" w:cs="Times New Roman" w:eastAsia="Times New Roman" w:hAnsi="Times New Roman"/>
                <w:sz w:val="16"/>
                <w:szCs w:val="16"/>
                <w:color w:val="auto"/>
              </w:rPr>
              <w:t>Working capital</w:t>
            </w:r>
            <w:r>
              <w:rPr>
                <w:rFonts w:ascii="Times New Roman" w:cs="Times New Roman" w:eastAsia="Times New Roman" w:hAnsi="Times New Roman"/>
                <w:sz w:val="21"/>
                <w:szCs w:val="21"/>
                <w:color w:val="auto"/>
                <w:vertAlign w:val="superscript"/>
              </w:rPr>
              <w:t>(1)</w:t>
            </w:r>
          </w:p>
        </w:tc>
        <w:tc>
          <w:tcPr>
            <w:tcW w:w="10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210,388</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238,879</w:t>
            </w:r>
          </w:p>
        </w:tc>
      </w:tr>
      <w:tr>
        <w:trPr>
          <w:trHeight w:val="18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04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228,838</w:t>
            </w: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260,718</w:t>
            </w:r>
          </w:p>
        </w:tc>
      </w:tr>
      <w:tr>
        <w:trPr>
          <w:trHeight w:val="206"/>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0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214,378</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243,034</w:t>
            </w:r>
          </w:p>
        </w:tc>
      </w:tr>
      <w:tr>
        <w:trPr>
          <w:trHeight w:val="208"/>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(1)  Fulcrum defines working capital as current assets minus current liabilities.</w:t>
            </w: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961"/>
        </w:trPr>
        <w:tc>
          <w:tcPr>
            <w:tcW w:w="77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689" w:right="31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Fulcrum Therapeutics, Inc.</w:t>
      </w:r>
    </w:p>
    <w:p>
      <w:pPr>
        <w:spacing w:after="0" w:line="100"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spacing w:after="0" w:line="10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p>
      <w:pPr>
        <w:spacing w:after="0" w:line="1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60" w:type="dxa"/>
            <w:vAlign w:val="bottom"/>
            <w:gridSpan w:val="4"/>
          </w:tcPr>
          <w:p>
            <w:pPr>
              <w:jc w:val="right"/>
              <w:ind w:right="622"/>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right"/>
              <w:ind w:right="81"/>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8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jc w:val="right"/>
              <w:ind w:right="221"/>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7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85"/>
              <w:spacing w:after="0" w:line="122" w:lineRule="exact"/>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82"/>
              <w:spacing w:after="0" w:line="122" w:lineRule="exact"/>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85"/>
              <w:spacing w:after="0" w:line="122" w:lineRule="exact"/>
              <w:rPr>
                <w:sz w:val="20"/>
                <w:szCs w:val="20"/>
                <w:color w:val="auto"/>
              </w:rPr>
            </w:pPr>
            <w:r>
              <w:rPr>
                <w:rFonts w:ascii="Times New Roman" w:cs="Times New Roman" w:eastAsia="Times New Roman" w:hAnsi="Times New Roman"/>
                <w:sz w:val="13"/>
                <w:szCs w:val="13"/>
                <w:b w:val="1"/>
                <w:bCs w:val="1"/>
                <w:color w:val="auto"/>
              </w:rPr>
              <w:t>2025</w:t>
            </w:r>
          </w:p>
        </w:tc>
        <w:tc>
          <w:tcPr>
            <w:tcW w:w="24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382"/>
              <w:spacing w:after="0" w:line="122" w:lineRule="exact"/>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Collaboration revenue</w:t>
            </w:r>
          </w:p>
        </w:tc>
        <w:tc>
          <w:tcPr>
            <w:tcW w:w="1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40"/>
              <w:spacing w:after="0" w:line="181"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80,000</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60"/>
              <w:spacing w:after="0" w:line="181"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80,000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1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12,987</w:t>
            </w:r>
          </w:p>
        </w:tc>
        <w:tc>
          <w:tcPr>
            <w:tcW w:w="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17,261</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26,391</w:t>
            </w:r>
          </w:p>
        </w:tc>
        <w:tc>
          <w:tcPr>
            <w:tcW w:w="2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37,034</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6,828</w:t>
            </w: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10,247</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13,827</w:t>
            </w:r>
          </w:p>
        </w:tc>
        <w:tc>
          <w:tcPr>
            <w:tcW w:w="2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20,308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40" w:type="dxa"/>
            <w:vAlign w:val="bottom"/>
            <w:tcBorders>
              <w:bottom w:val="single" w:sz="8" w:color="CFF0FC"/>
            </w:tcBorders>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Total operating expenses</w:t>
            </w:r>
          </w:p>
        </w:tc>
        <w:tc>
          <w:tcPr>
            <w:tcW w:w="118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19,815</w:t>
            </w:r>
          </w:p>
        </w:tc>
        <w:tc>
          <w:tcPr>
            <w:tcW w:w="22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27,508</w:t>
            </w:r>
          </w:p>
        </w:tc>
        <w:tc>
          <w:tcPr>
            <w:tcW w:w="24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40,218</w:t>
            </w:r>
          </w:p>
        </w:tc>
        <w:tc>
          <w:tcPr>
            <w:tcW w:w="24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57,342</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(Loss) income from operations</w:t>
            </w: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2"/>
          </w:tcPr>
          <w:p>
            <w:pPr>
              <w:jc w:val="right"/>
              <w:ind w:right="180"/>
              <w:spacing w:after="0" w:line="181" w:lineRule="exact"/>
              <w:rPr>
                <w:sz w:val="20"/>
                <w:szCs w:val="20"/>
                <w:color w:val="auto"/>
              </w:rPr>
            </w:pPr>
            <w:r>
              <w:rPr>
                <w:rFonts w:ascii="Times New Roman" w:cs="Times New Roman" w:eastAsia="Times New Roman" w:hAnsi="Times New Roman"/>
                <w:sz w:val="16"/>
                <w:szCs w:val="16"/>
                <w:color w:val="auto"/>
              </w:rPr>
              <w:t>(19,815)</w:t>
            </w:r>
          </w:p>
        </w:tc>
        <w:tc>
          <w:tcPr>
            <w:tcW w:w="280" w:type="dxa"/>
            <w:vAlign w:val="bottom"/>
          </w:tcPr>
          <w:p>
            <w:pPr>
              <w:spacing w:after="0"/>
              <w:rPr>
                <w:sz w:val="15"/>
                <w:szCs w:val="15"/>
                <w:color w:val="auto"/>
              </w:rPr>
            </w:pPr>
          </w:p>
        </w:tc>
        <w:tc>
          <w:tcPr>
            <w:tcW w:w="88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52,492</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tcPr>
          <w:p>
            <w:pPr>
              <w:jc w:val="right"/>
              <w:ind w:right="180"/>
              <w:spacing w:after="0" w:line="181" w:lineRule="exact"/>
              <w:rPr>
                <w:sz w:val="20"/>
                <w:szCs w:val="20"/>
                <w:color w:val="auto"/>
              </w:rPr>
            </w:pPr>
            <w:r>
              <w:rPr>
                <w:rFonts w:ascii="Times New Roman" w:cs="Times New Roman" w:eastAsia="Times New Roman" w:hAnsi="Times New Roman"/>
                <w:sz w:val="16"/>
                <w:szCs w:val="16"/>
                <w:color w:val="auto"/>
              </w:rPr>
              <w:t>(40,218)</w:t>
            </w:r>
          </w:p>
        </w:tc>
        <w:tc>
          <w:tcPr>
            <w:tcW w:w="400" w:type="dxa"/>
            <w:vAlign w:val="bottom"/>
          </w:tcPr>
          <w:p>
            <w:pPr>
              <w:spacing w:after="0"/>
              <w:rPr>
                <w:sz w:val="15"/>
                <w:szCs w:val="15"/>
                <w:color w:val="auto"/>
              </w:rPr>
            </w:pPr>
          </w:p>
        </w:tc>
        <w:tc>
          <w:tcPr>
            <w:tcW w:w="7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22,658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118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2,519</w:t>
            </w:r>
          </w:p>
        </w:tc>
        <w:tc>
          <w:tcPr>
            <w:tcW w:w="22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2,917</w:t>
            </w:r>
          </w:p>
        </w:tc>
        <w:tc>
          <w:tcPr>
            <w:tcW w:w="24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5,267</w:t>
            </w:r>
          </w:p>
        </w:tc>
        <w:tc>
          <w:tcPr>
            <w:tcW w:w="24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5,881</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Net (loss) income</w:t>
            </w:r>
          </w:p>
        </w:tc>
        <w:tc>
          <w:tcPr>
            <w:tcW w:w="1440" w:type="dxa"/>
            <w:vAlign w:val="bottom"/>
            <w:gridSpan w:val="2"/>
          </w:tcPr>
          <w:p>
            <w:pPr>
              <w:jc w:val="right"/>
              <w:ind w:right="18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80"/>
              <w:spacing w:after="0" w:line="181" w:lineRule="exact"/>
              <w:rPr>
                <w:sz w:val="20"/>
                <w:szCs w:val="20"/>
                <w:color w:val="auto"/>
              </w:rPr>
            </w:pPr>
            <w:r>
              <w:rPr>
                <w:rFonts w:ascii="Times New Roman" w:cs="Times New Roman" w:eastAsia="Times New Roman" w:hAnsi="Times New Roman"/>
                <w:sz w:val="16"/>
                <w:szCs w:val="16"/>
                <w:color w:val="auto"/>
              </w:rPr>
              <w:t>(17,296)</w:t>
            </w:r>
          </w:p>
        </w:tc>
        <w:tc>
          <w:tcPr>
            <w:tcW w:w="280" w:type="dxa"/>
            <w:vAlign w:val="bottom"/>
          </w:tcPr>
          <w:p>
            <w:pPr>
              <w:jc w:val="right"/>
              <w:ind w:right="12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55,409</w:t>
            </w:r>
          </w:p>
        </w:tc>
        <w:tc>
          <w:tcPr>
            <w:tcW w:w="500" w:type="dxa"/>
            <w:vAlign w:val="bottom"/>
            <w:gridSpan w:val="2"/>
          </w:tcPr>
          <w:p>
            <w:pPr>
              <w:jc w:val="right"/>
              <w:ind w:right="18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80"/>
              <w:spacing w:after="0" w:line="181" w:lineRule="exact"/>
              <w:rPr>
                <w:sz w:val="20"/>
                <w:szCs w:val="20"/>
                <w:color w:val="auto"/>
              </w:rPr>
            </w:pPr>
            <w:r>
              <w:rPr>
                <w:rFonts w:ascii="Times New Roman" w:cs="Times New Roman" w:eastAsia="Times New Roman" w:hAnsi="Times New Roman"/>
                <w:sz w:val="16"/>
                <w:szCs w:val="16"/>
                <w:color w:val="auto"/>
              </w:rPr>
              <w:t>(34,951)</w:t>
            </w:r>
          </w:p>
        </w:tc>
        <w:tc>
          <w:tcPr>
            <w:tcW w:w="400" w:type="dxa"/>
            <w:vAlign w:val="bottom"/>
          </w:tcPr>
          <w:p>
            <w:pPr>
              <w:jc w:val="right"/>
              <w:ind w:right="24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28,539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4640" w:type="dxa"/>
            <w:vAlign w:val="bottom"/>
            <w:shd w:val="clear" w:color="auto" w:fill="CFF0FC"/>
          </w:tcPr>
          <w:p>
            <w:pPr>
              <w:spacing w:after="0" w:line="165" w:lineRule="exact"/>
              <w:rPr>
                <w:sz w:val="20"/>
                <w:szCs w:val="20"/>
                <w:color w:val="auto"/>
              </w:rPr>
            </w:pPr>
            <w:r>
              <w:rPr>
                <w:rFonts w:ascii="Times New Roman" w:cs="Times New Roman" w:eastAsia="Times New Roman" w:hAnsi="Times New Roman"/>
                <w:sz w:val="16"/>
                <w:szCs w:val="16"/>
                <w:color w:val="auto"/>
              </w:rPr>
              <w:t>Net (loss) income per share, basic</w:t>
            </w:r>
          </w:p>
        </w:tc>
        <w:tc>
          <w:tcPr>
            <w:tcW w:w="1440" w:type="dxa"/>
            <w:vAlign w:val="bottom"/>
            <w:gridSpan w:val="2"/>
            <w:shd w:val="clear" w:color="auto" w:fill="CFF0FC"/>
          </w:tcPr>
          <w:p>
            <w:pPr>
              <w:jc w:val="right"/>
              <w:ind w:right="180"/>
              <w:spacing w:after="0" w:line="165"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FF0FC"/>
          </w:tcPr>
          <w:p>
            <w:pPr>
              <w:jc w:val="right"/>
              <w:ind w:right="180"/>
              <w:spacing w:after="0" w:line="165" w:lineRule="exact"/>
              <w:rPr>
                <w:sz w:val="20"/>
                <w:szCs w:val="20"/>
                <w:color w:val="auto"/>
              </w:rPr>
            </w:pPr>
            <w:r>
              <w:rPr>
                <w:rFonts w:ascii="Times New Roman" w:cs="Times New Roman" w:eastAsia="Times New Roman" w:hAnsi="Times New Roman"/>
                <w:sz w:val="16"/>
                <w:szCs w:val="16"/>
                <w:color w:val="auto"/>
              </w:rPr>
              <w:t>(0.28)</w:t>
            </w:r>
          </w:p>
        </w:tc>
        <w:tc>
          <w:tcPr>
            <w:tcW w:w="280" w:type="dxa"/>
            <w:vAlign w:val="bottom"/>
            <w:shd w:val="clear" w:color="auto" w:fill="CFF0FC"/>
          </w:tcPr>
          <w:p>
            <w:pPr>
              <w:jc w:val="right"/>
              <w:ind w:right="121"/>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line="165" w:lineRule="exact"/>
              <w:rPr>
                <w:sz w:val="20"/>
                <w:szCs w:val="20"/>
                <w:color w:val="auto"/>
              </w:rPr>
            </w:pPr>
            <w:r>
              <w:rPr>
                <w:rFonts w:ascii="Times New Roman" w:cs="Times New Roman" w:eastAsia="Times New Roman" w:hAnsi="Times New Roman"/>
                <w:sz w:val="16"/>
                <w:szCs w:val="16"/>
                <w:color w:val="auto"/>
              </w:rPr>
              <w:t>0.89</w:t>
            </w:r>
          </w:p>
        </w:tc>
        <w:tc>
          <w:tcPr>
            <w:tcW w:w="500" w:type="dxa"/>
            <w:vAlign w:val="bottom"/>
            <w:gridSpan w:val="2"/>
            <w:shd w:val="clear" w:color="auto" w:fill="CFF0FC"/>
          </w:tcPr>
          <w:p>
            <w:pPr>
              <w:jc w:val="right"/>
              <w:ind w:right="180"/>
              <w:spacing w:after="0" w:line="165"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jc w:val="right"/>
              <w:ind w:right="180"/>
              <w:spacing w:after="0" w:line="165" w:lineRule="exact"/>
              <w:rPr>
                <w:sz w:val="20"/>
                <w:szCs w:val="20"/>
                <w:color w:val="auto"/>
              </w:rPr>
            </w:pPr>
            <w:r>
              <w:rPr>
                <w:rFonts w:ascii="Times New Roman" w:cs="Times New Roman" w:eastAsia="Times New Roman" w:hAnsi="Times New Roman"/>
                <w:sz w:val="16"/>
                <w:szCs w:val="16"/>
                <w:color w:val="auto"/>
              </w:rPr>
              <w:t>(0.56)</w:t>
            </w:r>
          </w:p>
        </w:tc>
        <w:tc>
          <w:tcPr>
            <w:tcW w:w="400" w:type="dxa"/>
            <w:vAlign w:val="bottom"/>
            <w:shd w:val="clear" w:color="auto" w:fill="CFF0FC"/>
          </w:tcPr>
          <w:p>
            <w:pPr>
              <w:jc w:val="right"/>
              <w:ind w:right="241"/>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line="165" w:lineRule="exact"/>
              <w:rPr>
                <w:sz w:val="20"/>
                <w:szCs w:val="20"/>
                <w:color w:val="auto"/>
              </w:rPr>
            </w:pPr>
            <w:r>
              <w:rPr>
                <w:rFonts w:ascii="Times New Roman" w:cs="Times New Roman" w:eastAsia="Times New Roman" w:hAnsi="Times New Roman"/>
                <w:sz w:val="16"/>
                <w:szCs w:val="16"/>
                <w:color w:val="auto"/>
              </w:rPr>
              <w:t>0.46</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4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vMerge w:val="continue"/>
          </w:tcPr>
          <w:p>
            <w:pPr>
              <w:spacing w:after="0"/>
              <w:rPr>
                <w:sz w:val="14"/>
                <w:szCs w:val="14"/>
                <w:color w:val="auto"/>
              </w:rPr>
            </w:pPr>
          </w:p>
        </w:tc>
        <w:tc>
          <w:tcPr>
            <w:tcW w:w="4640" w:type="dxa"/>
            <w:vAlign w:val="bottom"/>
          </w:tcPr>
          <w:p>
            <w:pPr>
              <w:spacing w:after="0" w:line="165" w:lineRule="exact"/>
              <w:rPr>
                <w:sz w:val="20"/>
                <w:szCs w:val="20"/>
                <w:color w:val="auto"/>
              </w:rPr>
            </w:pPr>
            <w:r>
              <w:rPr>
                <w:rFonts w:ascii="Times New Roman" w:cs="Times New Roman" w:eastAsia="Times New Roman" w:hAnsi="Times New Roman"/>
                <w:sz w:val="16"/>
                <w:szCs w:val="16"/>
                <w:color w:val="auto"/>
              </w:rPr>
              <w:t>Net (loss) income per share, diluted</w:t>
            </w:r>
          </w:p>
        </w:tc>
        <w:tc>
          <w:tcPr>
            <w:tcW w:w="1440" w:type="dxa"/>
            <w:vAlign w:val="bottom"/>
            <w:gridSpan w:val="2"/>
          </w:tcPr>
          <w:p>
            <w:pPr>
              <w:jc w:val="right"/>
              <w:ind w:right="180"/>
              <w:spacing w:after="0" w:line="165"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80"/>
              <w:spacing w:after="0" w:line="165" w:lineRule="exact"/>
              <w:rPr>
                <w:sz w:val="20"/>
                <w:szCs w:val="20"/>
                <w:color w:val="auto"/>
              </w:rPr>
            </w:pPr>
            <w:r>
              <w:rPr>
                <w:rFonts w:ascii="Times New Roman" w:cs="Times New Roman" w:eastAsia="Times New Roman" w:hAnsi="Times New Roman"/>
                <w:sz w:val="16"/>
                <w:szCs w:val="16"/>
                <w:color w:val="auto"/>
              </w:rPr>
              <w:t>(0.28)</w:t>
            </w:r>
          </w:p>
        </w:tc>
        <w:tc>
          <w:tcPr>
            <w:tcW w:w="280" w:type="dxa"/>
            <w:vAlign w:val="bottom"/>
          </w:tcPr>
          <w:p>
            <w:pPr>
              <w:jc w:val="right"/>
              <w:ind w:right="121"/>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0.87</w:t>
            </w:r>
          </w:p>
        </w:tc>
        <w:tc>
          <w:tcPr>
            <w:tcW w:w="500" w:type="dxa"/>
            <w:vAlign w:val="bottom"/>
            <w:gridSpan w:val="2"/>
          </w:tcPr>
          <w:p>
            <w:pPr>
              <w:jc w:val="right"/>
              <w:ind w:right="180"/>
              <w:spacing w:after="0" w:line="165"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80"/>
              <w:spacing w:after="0" w:line="165" w:lineRule="exact"/>
              <w:rPr>
                <w:sz w:val="20"/>
                <w:szCs w:val="20"/>
                <w:color w:val="auto"/>
              </w:rPr>
            </w:pPr>
            <w:r>
              <w:rPr>
                <w:rFonts w:ascii="Times New Roman" w:cs="Times New Roman" w:eastAsia="Times New Roman" w:hAnsi="Times New Roman"/>
                <w:sz w:val="16"/>
                <w:szCs w:val="16"/>
                <w:color w:val="auto"/>
              </w:rPr>
              <w:t>(0.56)</w:t>
            </w:r>
          </w:p>
        </w:tc>
        <w:tc>
          <w:tcPr>
            <w:tcW w:w="400" w:type="dxa"/>
            <w:vAlign w:val="bottom"/>
          </w:tcPr>
          <w:p>
            <w:pPr>
              <w:jc w:val="right"/>
              <w:ind w:right="241"/>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0.45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4640" w:type="dxa"/>
            <w:vAlign w:val="bottom"/>
            <w:tcBorders>
              <w:bottom w:val="single" w:sz="8" w:color="CFF0FC"/>
            </w:tcBorders>
            <w:shd w:val="clear" w:color="auto" w:fill="CFF0FC"/>
          </w:tcPr>
          <w:p>
            <w:pPr>
              <w:spacing w:after="0" w:line="165" w:lineRule="exact"/>
              <w:rPr>
                <w:sz w:val="20"/>
                <w:szCs w:val="20"/>
                <w:color w:val="auto"/>
              </w:rPr>
            </w:pPr>
            <w:r>
              <w:rPr>
                <w:rFonts w:ascii="Times New Roman" w:cs="Times New Roman" w:eastAsia="Times New Roman" w:hAnsi="Times New Roman"/>
                <w:sz w:val="16"/>
                <w:szCs w:val="16"/>
                <w:color w:val="auto"/>
              </w:rPr>
              <w:t>Weighted-average common shares outstanding, basic</w:t>
            </w:r>
          </w:p>
        </w:tc>
        <w:tc>
          <w:tcPr>
            <w:tcW w:w="11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165" w:lineRule="exact"/>
              <w:rPr>
                <w:sz w:val="20"/>
                <w:szCs w:val="20"/>
                <w:color w:val="auto"/>
              </w:rPr>
            </w:pPr>
            <w:r>
              <w:rPr>
                <w:rFonts w:ascii="Times New Roman" w:cs="Times New Roman" w:eastAsia="Times New Roman" w:hAnsi="Times New Roman"/>
                <w:sz w:val="16"/>
                <w:szCs w:val="16"/>
                <w:color w:val="auto"/>
              </w:rPr>
              <w:t>62,544</w:t>
            </w:r>
          </w:p>
        </w:tc>
        <w:tc>
          <w:tcPr>
            <w:tcW w:w="2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165" w:lineRule="exact"/>
              <w:rPr>
                <w:sz w:val="20"/>
                <w:szCs w:val="20"/>
                <w:color w:val="auto"/>
              </w:rPr>
            </w:pPr>
            <w:r>
              <w:rPr>
                <w:rFonts w:ascii="Times New Roman" w:cs="Times New Roman" w:eastAsia="Times New Roman" w:hAnsi="Times New Roman"/>
                <w:sz w:val="16"/>
                <w:szCs w:val="16"/>
                <w:color w:val="auto"/>
              </w:rPr>
              <w:t>62,205</w:t>
            </w:r>
          </w:p>
        </w:tc>
        <w:tc>
          <w:tcPr>
            <w:tcW w:w="2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165" w:lineRule="exact"/>
              <w:rPr>
                <w:sz w:val="20"/>
                <w:szCs w:val="20"/>
                <w:color w:val="auto"/>
              </w:rPr>
            </w:pPr>
            <w:r>
              <w:rPr>
                <w:rFonts w:ascii="Times New Roman" w:cs="Times New Roman" w:eastAsia="Times New Roman" w:hAnsi="Times New Roman"/>
                <w:sz w:val="16"/>
                <w:szCs w:val="16"/>
                <w:color w:val="auto"/>
              </w:rPr>
              <w:t>62,506</w:t>
            </w:r>
          </w:p>
        </w:tc>
        <w:tc>
          <w:tcPr>
            <w:tcW w:w="24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line="165" w:lineRule="exact"/>
              <w:rPr>
                <w:sz w:val="20"/>
                <w:szCs w:val="20"/>
                <w:color w:val="auto"/>
              </w:rPr>
            </w:pPr>
            <w:r>
              <w:rPr>
                <w:rFonts w:ascii="Times New Roman" w:cs="Times New Roman" w:eastAsia="Times New Roman" w:hAnsi="Times New Roman"/>
                <w:sz w:val="16"/>
                <w:szCs w:val="16"/>
                <w:color w:val="auto"/>
              </w:rPr>
              <w:t>62,095</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640" w:type="dxa"/>
            <w:vAlign w:val="bottom"/>
          </w:tcPr>
          <w:p>
            <w:pPr>
              <w:spacing w:after="0" w:line="165" w:lineRule="exact"/>
              <w:rPr>
                <w:sz w:val="20"/>
                <w:szCs w:val="20"/>
                <w:color w:val="auto"/>
              </w:rPr>
            </w:pPr>
            <w:r>
              <w:rPr>
                <w:rFonts w:ascii="Times New Roman" w:cs="Times New Roman" w:eastAsia="Times New Roman" w:hAnsi="Times New Roman"/>
                <w:sz w:val="16"/>
                <w:szCs w:val="16"/>
                <w:color w:val="auto"/>
              </w:rPr>
              <w:t>Weighted-average common shares outstanding, diluted</w:t>
            </w:r>
          </w:p>
        </w:tc>
        <w:tc>
          <w:tcPr>
            <w:tcW w:w="1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62,544</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63,587</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62,506</w:t>
            </w: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63,684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4427220</wp:posOffset>
            </wp:positionH>
            <wp:positionV relativeFrom="paragraph">
              <wp:posOffset>-968375</wp:posOffset>
            </wp:positionV>
            <wp:extent cx="6731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5306060</wp:posOffset>
            </wp:positionH>
            <wp:positionV relativeFrom="paragraph">
              <wp:posOffset>-968375</wp:posOffset>
            </wp:positionV>
            <wp:extent cx="6731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6184900</wp:posOffset>
            </wp:positionH>
            <wp:positionV relativeFrom="paragraph">
              <wp:posOffset>-968375</wp:posOffset>
            </wp:positionV>
            <wp:extent cx="6731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-968375</wp:posOffset>
            </wp:positionV>
            <wp:extent cx="7493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4427220</wp:posOffset>
            </wp:positionH>
            <wp:positionV relativeFrom="paragraph">
              <wp:posOffset>-720090</wp:posOffset>
            </wp:positionV>
            <wp:extent cx="6731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5306060</wp:posOffset>
            </wp:positionH>
            <wp:positionV relativeFrom="paragraph">
              <wp:posOffset>-720090</wp:posOffset>
            </wp:positionV>
            <wp:extent cx="6731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6184900</wp:posOffset>
            </wp:positionH>
            <wp:positionV relativeFrom="paragraph">
              <wp:posOffset>-720090</wp:posOffset>
            </wp:positionV>
            <wp:extent cx="6731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-720090</wp:posOffset>
            </wp:positionV>
            <wp:extent cx="7493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4427220</wp:posOffset>
            </wp:positionH>
            <wp:positionV relativeFrom="paragraph">
              <wp:posOffset>-450215</wp:posOffset>
            </wp:positionV>
            <wp:extent cx="6731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4427220</wp:posOffset>
            </wp:positionH>
            <wp:positionV relativeFrom="paragraph">
              <wp:posOffset>-434975</wp:posOffset>
            </wp:positionV>
            <wp:extent cx="6731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5306060</wp:posOffset>
            </wp:positionH>
            <wp:positionV relativeFrom="paragraph">
              <wp:posOffset>-450215</wp:posOffset>
            </wp:positionV>
            <wp:extent cx="6731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5306060</wp:posOffset>
            </wp:positionH>
            <wp:positionV relativeFrom="paragraph">
              <wp:posOffset>-434975</wp:posOffset>
            </wp:positionV>
            <wp:extent cx="6731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6184900</wp:posOffset>
            </wp:positionH>
            <wp:positionV relativeFrom="paragraph">
              <wp:posOffset>-450215</wp:posOffset>
            </wp:positionV>
            <wp:extent cx="6731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6184900</wp:posOffset>
            </wp:positionH>
            <wp:positionV relativeFrom="paragraph">
              <wp:posOffset>-434975</wp:posOffset>
            </wp:positionV>
            <wp:extent cx="6731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-450215</wp:posOffset>
            </wp:positionV>
            <wp:extent cx="7493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-434975</wp:posOffset>
            </wp:positionV>
            <wp:extent cx="7493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4427220</wp:posOffset>
            </wp:positionH>
            <wp:positionV relativeFrom="paragraph">
              <wp:posOffset>-164465</wp:posOffset>
            </wp:positionV>
            <wp:extent cx="6731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4427220</wp:posOffset>
            </wp:positionH>
            <wp:positionV relativeFrom="paragraph">
              <wp:posOffset>-149860</wp:posOffset>
            </wp:positionV>
            <wp:extent cx="6731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5306060</wp:posOffset>
            </wp:positionH>
            <wp:positionV relativeFrom="paragraph">
              <wp:posOffset>-164465</wp:posOffset>
            </wp:positionV>
            <wp:extent cx="6731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5306060</wp:posOffset>
            </wp:positionH>
            <wp:positionV relativeFrom="paragraph">
              <wp:posOffset>-149860</wp:posOffset>
            </wp:positionV>
            <wp:extent cx="6731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6184900</wp:posOffset>
            </wp:positionH>
            <wp:positionV relativeFrom="paragraph">
              <wp:posOffset>-164465</wp:posOffset>
            </wp:positionV>
            <wp:extent cx="6731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6184900</wp:posOffset>
            </wp:positionH>
            <wp:positionV relativeFrom="paragraph">
              <wp:posOffset>-149860</wp:posOffset>
            </wp:positionV>
            <wp:extent cx="6731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-164465</wp:posOffset>
            </wp:positionV>
            <wp:extent cx="7493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-149860</wp:posOffset>
            </wp:positionV>
            <wp:extent cx="7493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4930" cy="762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Contact: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Alan Musso</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amusso@fulcrumtx.com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410845</wp:posOffset>
            </wp:positionV>
            <wp:extent cx="7174865"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9" w:right="319" w:bottom="1440"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lowerLetter"/>
      <w:start w:val="4"/>
    </w:lvl>
  </w:abstractNum>
  <w:abstractNum w:abstractNumId="3">
    <w:nsid w:val="3D1B58BA"/>
    <w:multiLevelType w:val="hybridMultilevel"/>
    <w:lvl w:ilvl="0">
      <w:lvlJc w:val="left"/>
      <w:lvlText w:val="+"/>
      <w:numFmt w:val="bullet"/>
      <w:start w:val="1"/>
    </w:lvl>
    <w:lvl w:ilvl="1">
      <w:lvlJc w:val="left"/>
      <w:lvlText w:val="%2"/>
      <w:numFmt w:val="decimal"/>
      <w:start w:val="104"/>
    </w:lvl>
  </w:abstractNum>
  <w:abstractNum w:abstractNumId="4">
    <w:nsid w:val="507ED7AB"/>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2025-07-29T07:38:46Z</dcterms:created>
  <dcterms:modified xsi:type="dcterms:W3CDTF">2025-07-29T07:38:46Z</dcterms:modified>
</cp:coreProperties>
</file>