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Musso Alan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FULCRUM THERAPEUTICS,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LANDSDOWNE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Fulcrum Therapeutics, Inc.</w:t>
              </w:r>
            </w:hyperlink>
            <w:r>
              <w:rPr/>
              <w:t xml:space="preserve"> [ </w:t>
            </w:r>
            <w:r>
              <w:rPr>
                <w:rFonts w:ascii="Times;serif" w:hAnsi="Times;serif"/>
                <w:color w:val="0000FF"/>
                <w:sz w:val="24"/>
                <w:shd w:fill="FFFFFF" w:val="clear"/>
              </w:rPr>
              <w:t>FULC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4.01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432,800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432,800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432,800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was granted on August 7, 2023 and is scheduled to vest 25% on the first anniversary of the vesting commencement date of August 7, 2023. The remainder of the shares underlying the grant shall vest in equal quarterly installments over the following three years until the fourth anniversary of the vesting commencement date, subject to continued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 Tourangeau as attorney-in-fact for Alan Musso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08/09/2023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95830" TargetMode="External"/><Relationship Id="rId4" Type="http://schemas.openxmlformats.org/officeDocument/2006/relationships/hyperlink" Target="http://www.sec.gov/cgi-bin/browse-edgar?action=getcompany&amp;CIK=000168058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3438</Characters>
  <CharactersWithSpaces>4004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