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98" w:lineRule="exact"/>
        <w:rPr>
          <w:sz w:val="24"/>
          <w:szCs w:val="24"/>
          <w:color w:val="auto"/>
        </w:rPr>
      </w:pPr>
    </w:p>
    <w:p>
      <w:pPr>
        <w:ind w:left="3660" w:right="1700" w:hanging="3652"/>
        <w:spacing w:after="0" w:line="375" w:lineRule="auto"/>
        <w:tabs>
          <w:tab w:leader="none" w:pos="37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48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3691890</wp:posOffset>
            </wp:positionH>
            <wp:positionV relativeFrom="paragraph">
              <wp:posOffset>-5080</wp:posOffset>
            </wp:positionV>
            <wp:extent cx="571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001-38978</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-289560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9" w:lineRule="exact"/>
        <w:rPr>
          <w:sz w:val="24"/>
          <w:szCs w:val="24"/>
          <w:color w:val="auto"/>
        </w:rPr>
      </w:pPr>
    </w:p>
    <w:tbl>
      <w:tblPr>
        <w:tblLayout w:type="fixed"/>
        <w:tblInd w:w="960" w:type="dxa"/>
        <w:tblCellMar>
          <w:top w:w="0" w:type="dxa"/>
          <w:left w:w="0" w:type="dxa"/>
          <w:bottom w:w="0" w:type="dxa"/>
          <w:right w:w="0" w:type="dxa"/>
        </w:tblCellMar>
      </w:tblPr>
      <w:tr>
        <w:trPr>
          <w:trHeight w:val="214"/>
        </w:trPr>
        <w:tc>
          <w:tcPr>
            <w:tcW w:w="5040" w:type="dxa"/>
            <w:vAlign w:val="bottom"/>
          </w:tcPr>
          <w:p>
            <w:pPr>
              <w:jc w:val="center"/>
              <w:ind w:right="123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40" w:type="dxa"/>
            <w:vAlign w:val="bottom"/>
          </w:tcPr>
          <w:p>
            <w:pPr>
              <w:jc w:val="right"/>
              <w:ind w:right="599"/>
              <w:spacing w:after="0"/>
              <w:rPr>
                <w:sz w:val="20"/>
                <w:szCs w:val="20"/>
                <w:color w:val="auto"/>
              </w:rPr>
            </w:pPr>
            <w:r>
              <w:rPr>
                <w:rFonts w:ascii="Times New Roman" w:cs="Times New Roman" w:eastAsia="Times New Roman" w:hAnsi="Times New Roman"/>
                <w:sz w:val="18"/>
                <w:szCs w:val="18"/>
                <w:b w:val="1"/>
                <w:bCs w:val="1"/>
                <w:color w:val="auto"/>
              </w:rPr>
              <w:t>47-4839948</w:t>
            </w:r>
          </w:p>
        </w:tc>
      </w:tr>
      <w:tr>
        <w:trPr>
          <w:trHeight w:val="151"/>
        </w:trPr>
        <w:tc>
          <w:tcPr>
            <w:tcW w:w="5040" w:type="dxa"/>
            <w:vAlign w:val="bottom"/>
          </w:tcPr>
          <w:p>
            <w:pPr>
              <w:jc w:val="center"/>
              <w:ind w:right="1237"/>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540" w:type="dxa"/>
            <w:vAlign w:val="bottom"/>
          </w:tcPr>
          <w:p>
            <w:pPr>
              <w:jc w:val="center"/>
              <w:ind w:left="1259"/>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216"/>
        </w:trPr>
        <w:tc>
          <w:tcPr>
            <w:tcW w:w="5040" w:type="dxa"/>
            <w:vAlign w:val="bottom"/>
          </w:tcPr>
          <w:p>
            <w:pPr>
              <w:jc w:val="center"/>
              <w:ind w:right="1237"/>
              <w:spacing w:after="0"/>
              <w:rPr>
                <w:sz w:val="20"/>
                <w:szCs w:val="20"/>
                <w:color w:val="auto"/>
              </w:rPr>
            </w:pPr>
            <w:r>
              <w:rPr>
                <w:rFonts w:ascii="Times New Roman" w:cs="Times New Roman" w:eastAsia="Times New Roman" w:hAnsi="Times New Roman"/>
                <w:sz w:val="18"/>
                <w:szCs w:val="18"/>
                <w:b w:val="1"/>
                <w:bCs w:val="1"/>
                <w:color w:val="auto"/>
              </w:rPr>
              <w:t>26 Landsdowne Street</w:t>
            </w:r>
          </w:p>
        </w:tc>
        <w:tc>
          <w:tcPr>
            <w:tcW w:w="3540" w:type="dxa"/>
            <w:vAlign w:val="bottom"/>
          </w:tcPr>
          <w:p>
            <w:pPr>
              <w:spacing w:after="0"/>
              <w:rPr>
                <w:sz w:val="18"/>
                <w:szCs w:val="18"/>
                <w:color w:val="auto"/>
              </w:rPr>
            </w:pPr>
          </w:p>
        </w:tc>
      </w:tr>
      <w:tr>
        <w:trPr>
          <w:trHeight w:val="214"/>
        </w:trPr>
        <w:tc>
          <w:tcPr>
            <w:tcW w:w="5040" w:type="dxa"/>
            <w:vAlign w:val="bottom"/>
          </w:tcPr>
          <w:p>
            <w:pPr>
              <w:jc w:val="center"/>
              <w:ind w:right="1297"/>
              <w:spacing w:after="0"/>
              <w:rPr>
                <w:sz w:val="20"/>
                <w:szCs w:val="20"/>
                <w:color w:val="auto"/>
              </w:rPr>
            </w:pPr>
            <w:r>
              <w:rPr>
                <w:rFonts w:ascii="Times New Roman" w:cs="Times New Roman" w:eastAsia="Times New Roman" w:hAnsi="Times New Roman"/>
                <w:sz w:val="18"/>
                <w:szCs w:val="18"/>
                <w:b w:val="1"/>
                <w:bCs w:val="1"/>
                <w:color w:val="auto"/>
                <w:w w:val="99"/>
              </w:rPr>
              <w:t>Cambridge, Massachusetts</w:t>
            </w:r>
          </w:p>
        </w:tc>
        <w:tc>
          <w:tcPr>
            <w:tcW w:w="3540" w:type="dxa"/>
            <w:vAlign w:val="bottom"/>
          </w:tcPr>
          <w:p>
            <w:pPr>
              <w:jc w:val="right"/>
              <w:ind w:right="799"/>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90"/>
        </w:trPr>
        <w:tc>
          <w:tcPr>
            <w:tcW w:w="5040" w:type="dxa"/>
            <w:vAlign w:val="bottom"/>
          </w:tcPr>
          <w:p>
            <w:pPr>
              <w:jc w:val="center"/>
              <w:ind w:right="125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540" w:type="dxa"/>
            <w:vAlign w:val="bottom"/>
          </w:tcPr>
          <w:p>
            <w:pPr>
              <w:jc w:val="center"/>
              <w:ind w:left="123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(617) 651-8851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74295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7"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27" w:lineRule="exact"/>
        <w:rPr>
          <w:sz w:val="24"/>
          <w:szCs w:val="24"/>
          <w:color w:val="auto"/>
        </w:rPr>
      </w:pPr>
    </w:p>
    <w:tbl>
      <w:tblPr>
        <w:tblLayout w:type="fixed"/>
        <w:tblInd w:w="10" w:type="dxa"/>
        <w:tblCellMar>
          <w:top w:w="0" w:type="dxa"/>
          <w:left w:w="0" w:type="dxa"/>
          <w:bottom w:w="0" w:type="dxa"/>
          <w:right w:w="0" w:type="dxa"/>
        </w:tblCellMar>
      </w:tblPr>
      <w:tr>
        <w:trPr>
          <w:trHeight w:val="182"/>
        </w:trPr>
        <w:tc>
          <w:tcPr>
            <w:tcW w:w="45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0" w:type="dxa"/>
            <w:vAlign w:val="bottom"/>
            <w:tcBorders>
              <w:top w:val="single" w:sz="8" w:color="auto"/>
              <w:bottom w:val="single" w:sz="8" w:color="auto"/>
              <w:right w:val="single" w:sz="8" w:color="auto"/>
            </w:tcBorders>
          </w:tcPr>
          <w:p>
            <w:pPr>
              <w:spacing w:after="0"/>
              <w:rPr>
                <w:sz w:val="15"/>
                <w:szCs w:val="15"/>
                <w:color w:val="auto"/>
              </w:rPr>
            </w:pPr>
          </w:p>
        </w:tc>
        <w:tc>
          <w:tcPr>
            <w:tcW w:w="2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00" w:type="dxa"/>
            <w:vAlign w:val="bottom"/>
            <w:tcBorders>
              <w:top w:val="single" w:sz="8" w:color="auto"/>
              <w:bottom w:val="single" w:sz="8" w:color="auto"/>
              <w:right w:val="single" w:sz="8" w:color="auto"/>
            </w:tcBorders>
          </w:tcPr>
          <w:p>
            <w:pPr>
              <w:spacing w:after="0"/>
              <w:rPr>
                <w:sz w:val="15"/>
                <w:szCs w:val="15"/>
                <w:color w:val="auto"/>
              </w:rPr>
            </w:pP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79"/>
        </w:trPr>
        <w:tc>
          <w:tcPr>
            <w:tcW w:w="4500" w:type="dxa"/>
            <w:vAlign w:val="bottom"/>
            <w:tcBorders>
              <w:left w:val="single" w:sz="8" w:color="auto"/>
              <w:bottom w:val="single" w:sz="8" w:color="auto"/>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color w:val="auto"/>
              </w:rPr>
              <w:t>Common stock, par value $0.001 per share</w:t>
            </w:r>
          </w:p>
        </w:tc>
        <w:tc>
          <w:tcPr>
            <w:tcW w:w="140" w:type="dxa"/>
            <w:vAlign w:val="bottom"/>
            <w:tcBorders>
              <w:bottom w:val="single" w:sz="8" w:color="auto"/>
              <w:right w:val="single" w:sz="8" w:color="auto"/>
            </w:tcBorders>
          </w:tcPr>
          <w:p>
            <w:pPr>
              <w:spacing w:after="0"/>
              <w:rPr>
                <w:sz w:val="15"/>
                <w:szCs w:val="15"/>
                <w:color w:val="auto"/>
              </w:rPr>
            </w:pPr>
          </w:p>
        </w:tc>
        <w:tc>
          <w:tcPr>
            <w:tcW w:w="2020" w:type="dxa"/>
            <w:vAlign w:val="bottom"/>
            <w:tcBorders>
              <w:bottom w:val="single" w:sz="8" w:color="auto"/>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color w:val="auto"/>
                <w:w w:val="96"/>
              </w:rPr>
              <w:t>FULC</w:t>
            </w:r>
          </w:p>
        </w:tc>
        <w:tc>
          <w:tcPr>
            <w:tcW w:w="100" w:type="dxa"/>
            <w:vAlign w:val="bottom"/>
            <w:tcBorders>
              <w:bottom w:val="single" w:sz="8" w:color="auto"/>
              <w:right w:val="single" w:sz="8" w:color="auto"/>
            </w:tcBorders>
          </w:tcPr>
          <w:p>
            <w:pPr>
              <w:spacing w:after="0"/>
              <w:rPr>
                <w:sz w:val="15"/>
                <w:szCs w:val="15"/>
                <w:color w:val="auto"/>
              </w:rPr>
            </w:pPr>
          </w:p>
        </w:tc>
        <w:tc>
          <w:tcPr>
            <w:tcW w:w="4480" w:type="dxa"/>
            <w:vAlign w:val="bottom"/>
            <w:tcBorders>
              <w:bottom w:val="single" w:sz="8" w:color="auto"/>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color w:val="auto"/>
              </w:rPr>
              <w:t>The Nasdaq Global Market</w:t>
            </w:r>
          </w:p>
        </w:tc>
      </w:tr>
    </w:tbl>
    <w:p>
      <w:pPr>
        <w:spacing w:after="0" w:line="100" w:lineRule="exact"/>
        <w:rPr>
          <w:sz w:val="24"/>
          <w:szCs w:val="24"/>
          <w:color w:val="auto"/>
        </w:rPr>
      </w:pPr>
    </w:p>
    <w:p>
      <w:pPr>
        <w:ind w:right="80" w:firstLine="509"/>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w:t>
      </w:r>
    </w:p>
    <w:p>
      <w:pPr>
        <w:spacing w:after="0" w:line="1" w:lineRule="exact"/>
        <w:rPr>
          <w:sz w:val="24"/>
          <w:szCs w:val="24"/>
          <w:color w:val="auto"/>
        </w:rPr>
      </w:pPr>
    </w:p>
    <w:p>
      <w:pPr>
        <w:spacing w:after="0" w:line="196" w:lineRule="exact"/>
        <w:tabs>
          <w:tab w:leader="none" w:pos="4440" w:val="left"/>
          <w:tab w:leader="none" w:pos="5120" w:val="left"/>
        </w:tabs>
        <w:rPr>
          <w:sz w:val="20"/>
          <w:szCs w:val="20"/>
          <w:color w:val="auto"/>
        </w:rPr>
      </w:pPr>
      <w:r>
        <w:rPr>
          <w:rFonts w:ascii="Times New Roman" w:cs="Times New Roman" w:eastAsia="Times New Roman" w:hAnsi="Times New Roman"/>
          <w:sz w:val="17"/>
          <w:szCs w:val="17"/>
          <w:color w:val="auto"/>
        </w:rPr>
        <w:t>for the past 90 days.</w:t>
      </w:r>
      <w:r>
        <w:rPr>
          <w:sz w:val="20"/>
          <w:szCs w:val="20"/>
          <w:color w:val="auto"/>
        </w:rPr>
        <w:tab/>
      </w: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109" w:lineRule="exact"/>
        <w:rPr>
          <w:sz w:val="24"/>
          <w:szCs w:val="24"/>
          <w:color w:val="auto"/>
        </w:rPr>
      </w:pPr>
    </w:p>
    <w:p>
      <w:pPr>
        <w:ind w:right="400" w:firstLine="509"/>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4" w:lineRule="exact"/>
        <w:rPr>
          <w:sz w:val="24"/>
          <w:szCs w:val="24"/>
          <w:color w:val="auto"/>
        </w:rPr>
      </w:pPr>
    </w:p>
    <w:p>
      <w:pPr>
        <w:ind w:right="220" w:firstLine="509"/>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87"/>
        </w:trPr>
        <w:tc>
          <w:tcPr>
            <w:tcW w:w="192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660" w:type="dxa"/>
            <w:vAlign w:val="bottom"/>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3120"/>
              <w:spacing w:after="0"/>
              <w:rPr>
                <w:sz w:val="20"/>
                <w:szCs w:val="20"/>
                <w:color w:val="auto"/>
              </w:rPr>
            </w:pPr>
            <w:r>
              <w:rPr>
                <w:rFonts w:ascii="Times New Roman" w:cs="Times New Roman" w:eastAsia="Times New Roman" w:hAnsi="Times New Roman"/>
                <w:sz w:val="17"/>
                <w:szCs w:val="17"/>
                <w:color w:val="auto"/>
              </w:rPr>
              <w:t>Accelerated filer</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192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660" w:type="dxa"/>
            <w:vAlign w:val="bottom"/>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31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19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240" w:type="dxa"/>
            <w:vAlign w:val="bottom"/>
          </w:tcPr>
          <w:p>
            <w:pPr>
              <w:ind w:left="3120"/>
              <w:spacing w:after="0"/>
              <w:rPr>
                <w:sz w:val="20"/>
                <w:szCs w:val="20"/>
                <w:color w:val="auto"/>
              </w:rPr>
            </w:pPr>
            <w:r>
              <w:rPr>
                <w:rFonts w:ascii="Times New Roman" w:cs="Times New Roman" w:eastAsia="Times New Roman" w:hAnsi="Times New Roman"/>
                <w:sz w:val="17"/>
                <w:szCs w:val="17"/>
                <w:color w:val="auto"/>
              </w:rPr>
              <w:t>Emerging growth company</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76" w:lineRule="exact"/>
        <w:rPr>
          <w:sz w:val="24"/>
          <w:szCs w:val="24"/>
          <w:color w:val="auto"/>
        </w:rPr>
      </w:pPr>
    </w:p>
    <w:p>
      <w:pPr>
        <w:ind w:right="520"/>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37" w:lineRule="exact"/>
        <w:rPr>
          <w:sz w:val="24"/>
          <w:szCs w:val="24"/>
          <w:color w:val="auto"/>
        </w:rPr>
      </w:pPr>
    </w:p>
    <w:p>
      <w:pPr>
        <w:jc w:val="center"/>
        <w:ind w:right="2040"/>
        <w:spacing w:after="0" w:line="28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October 22, 2025, the registrant had 54,118,438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846455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80" w:right="33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which reflect our current views with respect to, among other things, our operations and financial performance. All statements other than statements of historical facts contained in this Quarterly Report on Form 10-Q, including statements regarding our strategy, future operations, future financial position, future revenue, projected costs, prospects, plans, objectives of management and expected market growth are forward-looking statements. The words “anticipate,” “believe,” “continue,” “could,” “estimate,” “expect,” “intend,” “may,” “might,” “outlook,” “plan,” “potential,” “predict,” “project,” “should,” “target,” “would,” and the negative version of these words and other similar expressions are intended to identify forward-looking statements, although not all forward-looking statements contain these identifying words and include, among other statements, express or implied statements regarding:</w:t>
      </w:r>
    </w:p>
    <w:p>
      <w:pPr>
        <w:spacing w:after="0" w:line="94" w:lineRule="exact"/>
        <w:rPr>
          <w:sz w:val="20"/>
          <w:szCs w:val="20"/>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clinical trial of pociredir, including the timing of data announcements and status of enrollment;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runway;</w:t>
      </w:r>
    </w:p>
    <w:p>
      <w:pPr>
        <w:spacing w:after="0" w:line="117" w:lineRule="exact"/>
        <w:rPr>
          <w:rFonts w:ascii="Times New Roman" w:cs="Times New Roman" w:eastAsia="Times New Roman" w:hAnsi="Times New Roman"/>
          <w:sz w:val="18"/>
          <w:szCs w:val="18"/>
          <w:color w:val="auto"/>
        </w:rPr>
      </w:pPr>
    </w:p>
    <w:p>
      <w:pPr>
        <w:ind w:left="900" w:right="48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submit applications for, and obtain and maintain regulatory approvals for pociredir and any other product candidates;</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fund our operating expenses and capital expenditure requirements with our cash, cash equivalents, and marketable securities;</w:t>
      </w:r>
    </w:p>
    <w:p>
      <w:pPr>
        <w:spacing w:after="0" w:line="53" w:lineRule="exact"/>
        <w:rPr>
          <w:rFonts w:ascii="Times New Roman" w:cs="Times New Roman" w:eastAsia="Times New Roman" w:hAnsi="Times New Roman"/>
          <w:sz w:val="18"/>
          <w:szCs w:val="18"/>
          <w:color w:val="auto"/>
        </w:rPr>
      </w:pPr>
    </w:p>
    <w:p>
      <w:pPr>
        <w:ind w:left="900" w:right="20" w:hanging="383"/>
        <w:spacing w:after="0" w:line="261"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current and future preclinical studies and clinical trials (including planned investigational new drug, or IND, application filings) and our research and development programs, including novel therapeutic agents for the potential treatment of bone marrow failure syndromes, such as Diamond-Blackfan anemia, or DBA, 5q deletion syndrome, Shwachman-Diamond syndrome, and Fanconi anemia, and other discovery programs;</w:t>
      </w:r>
    </w:p>
    <w:p>
      <w:pPr>
        <w:spacing w:after="0" w:line="71"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if approved, subsequently commercialize pociredir and any other product candidates, including in combination with other drugs and therapies;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products, if approved;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potential market opportunity for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drug target discovery screening programs;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our exclusive global license agreement with CAMP4 Therapeutics Corp., or CAMP4;</w:t>
      </w:r>
    </w:p>
    <w:p>
      <w:pPr>
        <w:spacing w:after="0" w:line="117" w:lineRule="exact"/>
        <w:rPr>
          <w:rFonts w:ascii="Times New Roman" w:cs="Times New Roman" w:eastAsia="Times New Roman" w:hAnsi="Times New Roman"/>
          <w:sz w:val="18"/>
          <w:szCs w:val="18"/>
          <w:color w:val="auto"/>
        </w:rPr>
      </w:pPr>
    </w:p>
    <w:p>
      <w:pPr>
        <w:ind w:left="900" w:right="48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in-license, acquire or develop additional products, product candidates or technologies with significant commercial potential that are consistent with our commercial objectives;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timing of any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900" w:right="4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 including uncertainty resulting from recent changes in the administration, shifts in government policy and the evolving regulatory environment;</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collaborations, license agreements or obtain additional funding; and</w:t>
      </w:r>
    </w:p>
    <w:p>
      <w:pPr>
        <w:spacing w:after="0" w:line="117" w:lineRule="exact"/>
        <w:rPr>
          <w:rFonts w:ascii="Times New Roman" w:cs="Times New Roman" w:eastAsia="Times New Roman" w:hAnsi="Times New Roman"/>
          <w:sz w:val="18"/>
          <w:szCs w:val="18"/>
          <w:color w:val="auto"/>
        </w:rPr>
      </w:pPr>
    </w:p>
    <w:p>
      <w:pPr>
        <w:ind w:left="900" w:right="4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pandemics or other geopolitical events or prolonged government shutdowns on our business and operations, including our clinical trials and development plans, as well as our future financial results.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 w:name="page3"/>
    <w:bookmarkEnd w:id="2"/>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Such forward looking statements are subject to various risks and uncertainties. Actual results or events could differ materially from the plans, intentions and expectations disclosed in the forward-looking statements we make. We have included important factors in the cautionary statements included in this Quarterly Report on Form 10-Q, particularly in the “Risk Factors” and “Management’s Discussion and Analysis of Results of Operations” sections, that we believe could cause actual results or events to differ materially from the forward-looking statements that we make. Our forward-looking statements do not reflect the potential impact of any future acquisitions, mergers, dispositions, collaborations, joint ventures or investments we may make or enter into.</w:t>
      </w:r>
    </w:p>
    <w:p>
      <w:pPr>
        <w:spacing w:after="0" w:line="18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have filed as exhibits to this Quarterly Report on Form 10-Q completely and with the understanding that our actual future results may be materially different from what we expect. The forward-looking statements contained in this Quarterly Report on Form 10-Q are made as of the date of this Quarterly Report on Form 10-Q, and we do not assume any obligation to update any forward-looking statements, whether as a result of new information, future events or otherwise, except as required by applicable law.</w:t>
      </w:r>
    </w:p>
    <w:p>
      <w:pPr>
        <w:spacing w:after="0" w:line="17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that if realized could materially affect our business, financial condition, results of operations, cash flows and access to liquidity. These risks are discussed more fully in the “Risk Factors” section of this Quarterly Report on Form 10-Q. Our principal risks include the following:</w:t>
      </w:r>
    </w:p>
    <w:p>
      <w:pPr>
        <w:spacing w:after="0" w:line="176" w:lineRule="exact"/>
        <w:rPr>
          <w:sz w:val="20"/>
          <w:szCs w:val="20"/>
          <w:color w:val="auto"/>
        </w:rPr>
      </w:pPr>
    </w:p>
    <w:p>
      <w:pPr>
        <w:ind w:left="760" w:right="18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Our net loss was $9.7 million for the year ended December 31, 2024. Our net loss was $54.5 million for the nine months ended September 30, 2025. We expect to incur losses over the next several years and may never achieve or maintain profitability. As of September 30, 2025, we had an accumulated deficit of $573.9 million.</w:t>
      </w:r>
    </w:p>
    <w:p>
      <w:pPr>
        <w:spacing w:after="0" w:line="175" w:lineRule="exact"/>
        <w:rPr>
          <w:rFonts w:ascii="Times New Roman" w:cs="Times New Roman" w:eastAsia="Times New Roman" w:hAnsi="Times New Roman"/>
          <w:sz w:val="18"/>
          <w:szCs w:val="18"/>
          <w:color w:val="auto"/>
        </w:rPr>
      </w:pPr>
    </w:p>
    <w:p>
      <w:pPr>
        <w:ind w:left="760" w:right="120" w:hanging="378"/>
        <w:spacing w:after="0" w:line="26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If we are unable to raise capital when needed, we could be forced to delay, reduce or eliminate our product development programs or commercialization efforts. We expect to devote substantial financial resources to our ongoing and planned activities, particularly as we continue our clinical trial of pociredir and continue research and development and initiate additional clinical trials of, and seek regulatory approval for, pociredir and other product candidates.</w:t>
      </w:r>
    </w:p>
    <w:p>
      <w:pPr>
        <w:spacing w:after="0" w:line="179"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and we only have one product candidate in clinical trials. If we are unable to commercialize our product candidates or experience significant delays in doing so, our business will be materially harmed.</w:t>
      </w:r>
    </w:p>
    <w:p>
      <w:pPr>
        <w:spacing w:after="0" w:line="161" w:lineRule="exact"/>
        <w:rPr>
          <w:rFonts w:ascii="Times New Roman" w:cs="Times New Roman" w:eastAsia="Times New Roman" w:hAnsi="Times New Roman"/>
          <w:sz w:val="18"/>
          <w:szCs w:val="18"/>
          <w:color w:val="auto"/>
        </w:rPr>
      </w:pPr>
    </w:p>
    <w:p>
      <w:pPr>
        <w:ind w:left="760" w:right="12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drug development involves a lengthy and expensive process, with an uncertain outcome. The results of preclinical studies and early clinical trials may not be predictive of future results. We may incur additional costs or experience further delays in completing, or ultimately be unable to complete, the development and commercialization of our product candidates.</w:t>
      </w:r>
    </w:p>
    <w:p>
      <w:pPr>
        <w:spacing w:after="0" w:line="175" w:lineRule="exact"/>
        <w:rPr>
          <w:rFonts w:ascii="Times New Roman" w:cs="Times New Roman" w:eastAsia="Times New Roman" w:hAnsi="Times New Roman"/>
          <w:sz w:val="18"/>
          <w:szCs w:val="18"/>
          <w:color w:val="auto"/>
        </w:rPr>
      </w:pPr>
    </w:p>
    <w:p>
      <w:pPr>
        <w:ind w:left="760" w:right="30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developing some of our product candidates for the treatment of diseases in which there is limited clinical experience and, in some cases, using new endpoints or methodologies, the U.S. Food and Drug Administration, or FDA, or other regulatory authorities may not consider the endpoints of our clinical trials to predict or provide clinically meaningful results.</w:t>
      </w:r>
    </w:p>
    <w:p>
      <w:pPr>
        <w:spacing w:after="0" w:line="175"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serious adverse events or unacceptable side effects are identified during the development of our product candidates, including others’ product candidates in the same class of drugs, we may need to abandon or limit our development of some of our product candidates.</w:t>
      </w:r>
    </w:p>
    <w:p>
      <w:pPr>
        <w:spacing w:after="0" w:line="161" w:lineRule="exact"/>
        <w:rPr>
          <w:rFonts w:ascii="Times New Roman" w:cs="Times New Roman" w:eastAsia="Times New Roman" w:hAnsi="Times New Roman"/>
          <w:sz w:val="18"/>
          <w:szCs w:val="18"/>
          <w:color w:val="auto"/>
        </w:rPr>
      </w:pPr>
    </w:p>
    <w:p>
      <w:pPr>
        <w:ind w:left="760" w:right="50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use our discovery approach to build a pipeline of product candidates, or to in-license or acquire additional product candidates.</w:t>
      </w:r>
    </w:p>
    <w:p>
      <w:pPr>
        <w:spacing w:after="0" w:line="161"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we do.</w:t>
      </w:r>
    </w:p>
    <w:p>
      <w:pPr>
        <w:spacing w:after="0" w:line="161" w:lineRule="exact"/>
        <w:rPr>
          <w:rFonts w:ascii="Times New Roman" w:cs="Times New Roman" w:eastAsia="Times New Roman" w:hAnsi="Times New Roman"/>
          <w:sz w:val="18"/>
          <w:szCs w:val="18"/>
          <w:color w:val="auto"/>
        </w:rPr>
      </w:pPr>
    </w:p>
    <w:p>
      <w:pPr>
        <w:ind w:left="760" w:right="30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contract manufacturing organizations, or CMOs, to manufacture our product candidates. If we are unable to enter into such arrangements as expected or if such organizations do not meet our supply requirements, development and/or commercialization of our product candidates may be delayed.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 w:name="page4"/>
    <w:bookmarkEnd w:id="3"/>
    <w:p>
      <w:pPr>
        <w:ind w:left="380" w:right="460" w:hanging="378"/>
        <w:spacing w:after="0" w:line="282"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161" w:lineRule="exact"/>
        <w:rPr>
          <w:rFonts w:ascii="Times New Roman" w:cs="Times New Roman" w:eastAsia="Times New Roman" w:hAnsi="Times New Roman"/>
          <w:sz w:val="18"/>
          <w:szCs w:val="18"/>
          <w:color w:val="auto"/>
        </w:rPr>
      </w:pPr>
    </w:p>
    <w:p>
      <w:pPr>
        <w:ind w:left="380" w:hanging="378"/>
        <w:spacing w:after="0" w:line="26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and may in the future enter into, collaborations and license agreements with third parties for the discovery, development or commercialization of product candidates. If our collaborations are not successful or we are not able to develop product candidates that we license-in, we may not be able to capitalize on the market potential of these product candidates and our business could be adversely affected.</w:t>
      </w:r>
    </w:p>
    <w:p>
      <w:pPr>
        <w:spacing w:after="0" w:line="175" w:lineRule="exact"/>
        <w:rPr>
          <w:rFonts w:ascii="Times New Roman" w:cs="Times New Roman" w:eastAsia="Times New Roman" w:hAnsi="Times New Roman"/>
          <w:sz w:val="18"/>
          <w:szCs w:val="18"/>
          <w:color w:val="auto"/>
        </w:rPr>
      </w:pPr>
    </w:p>
    <w:p>
      <w:pPr>
        <w:ind w:left="380" w:right="60" w:hanging="378"/>
        <w:spacing w:after="0" w:line="26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175" w:lineRule="exact"/>
        <w:rPr>
          <w:rFonts w:ascii="Times New Roman" w:cs="Times New Roman" w:eastAsia="Times New Roman" w:hAnsi="Times New Roman"/>
          <w:sz w:val="18"/>
          <w:szCs w:val="18"/>
          <w:color w:val="auto"/>
        </w:rPr>
      </w:pPr>
    </w:p>
    <w:p>
      <w:pPr>
        <w:ind w:left="380" w:right="580" w:hanging="378"/>
        <w:spacing w:after="0" w:line="26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175" w:lineRule="exact"/>
        <w:rPr>
          <w:rFonts w:ascii="Times New Roman" w:cs="Times New Roman" w:eastAsia="Times New Roman" w:hAnsi="Times New Roman"/>
          <w:sz w:val="18"/>
          <w:szCs w:val="18"/>
          <w:color w:val="auto"/>
        </w:rPr>
      </w:pPr>
    </w:p>
    <w:p>
      <w:pPr>
        <w:ind w:left="380" w:right="300" w:hanging="378"/>
        <w:spacing w:after="0" w:line="26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financial condition and results of operations.</w:t>
      </w:r>
    </w:p>
    <w:p>
      <w:pPr>
        <w:spacing w:after="0" w:line="175" w:lineRule="exact"/>
        <w:rPr>
          <w:rFonts w:ascii="Times New Roman" w:cs="Times New Roman" w:eastAsia="Times New Roman" w:hAnsi="Times New Roman"/>
          <w:sz w:val="18"/>
          <w:szCs w:val="18"/>
          <w:color w:val="auto"/>
        </w:rPr>
      </w:pPr>
    </w:p>
    <w:p>
      <w:pPr>
        <w:ind w:left="380" w:right="80" w:hanging="378"/>
        <w:spacing w:after="0" w:line="258"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was negatively impacted by the COVID-19 pandemic and may in the future be impacted by any future pandemics, as well as other geopolitical events that can impact our clinical trials or the supply chain, such as the Russian invasion of Ukraine or other ongoing hostilities, or changes in U.S. economic policy announced by the current administration, including tariffs, or the recent U,S, government shutdown if prolonged. These events have led to volatility in the market and uncertainty and may adversely impact the U.S. economy and/or economies worldwide, which could result in adverse effects on our business and operations.</w:t>
      </w:r>
    </w:p>
    <w:p>
      <w:pPr>
        <w:spacing w:after="0" w:line="18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1201"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86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880" w:type="dxa"/>
            <w:vAlign w:val="bottom"/>
            <w:gridSpan w:val="2"/>
            <w:vMerge w:val="continue"/>
          </w:tcPr>
          <w:p>
            <w:pPr>
              <w:spacing w:after="0"/>
              <w:rPr>
                <w:sz w:val="14"/>
                <w:szCs w:val="14"/>
                <w:color w:val="auto"/>
              </w:rPr>
            </w:pPr>
          </w:p>
        </w:tc>
        <w:tc>
          <w:tcPr>
            <w:tcW w:w="9860" w:type="dxa"/>
            <w:vAlign w:val="bottom"/>
            <w:gridSpan w:val="18"/>
            <w:vMerge w:val="continue"/>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8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 as of September 30, 2025 and December 31, 2024</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4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(Loss) Income for the three and nine months ended September 30, 2025 and</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4"/>
              </w:rPr>
              <w:t>2024</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Equity for the three and nine months ended September 30, 2025 and 2024</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nine months ended September 30, 2025 and 2024</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8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8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5500" w:type="dxa"/>
            <w:vAlign w:val="bottom"/>
            <w:tcBorders>
              <w:left w:val="single" w:sz="8" w:color="0000FF"/>
            </w:tcBorders>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8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50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vMerge w:val="continue"/>
          </w:tcPr>
          <w:p>
            <w:pPr>
              <w:spacing w:after="0"/>
              <w:rPr>
                <w:sz w:val="17"/>
                <w:szCs w:val="17"/>
                <w:color w:val="auto"/>
              </w:rPr>
            </w:pPr>
          </w:p>
        </w:tc>
        <w:tc>
          <w:tcPr>
            <w:tcW w:w="98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50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8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50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8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50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8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550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8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754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8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8080" w:type="dxa"/>
            <w:vAlign w:val="bottom"/>
            <w:gridSpan w:val="11"/>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8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540" w:type="dxa"/>
            <w:vAlign w:val="bottom"/>
            <w:gridSpan w:val="1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8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this Quarterly Report on Form 10-Q, unless otherwise stated or as the context otherwise requires, references to “Fulcrum,” “Fulcrum Therapeutics,” “the Company,” “we,” “us,” “our” and similar references refer to Fulcrum Therapeutics, Inc. together with its consolidated subsidiary. The Fulcrum Therapeutics logo and other trademarks or service marks of Fulcrum Therapeutics, Inc. appearing in this Quarterly Report on Form 10-Q are the property of Fulcrum Therapeutics, Inc. This Quarterly Report on Form 10-Q also contains registered marks, trademarks and trade names of other companies. All other trademarks, registered marks and trade names appearing herein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595630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47,078</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58,212</w:t>
            </w: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153,567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182,809</w:t>
            </w: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2,096</w:t>
            </w: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5,218</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6,806</w:t>
            </w:r>
          </w:p>
        </w:tc>
      </w:tr>
      <w:tr>
        <w:trPr>
          <w:trHeight w:val="209"/>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205,863</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249,923</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3,171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3,900</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4,614</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5,684</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1,201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1,201</w:t>
            </w: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r>
      <w:tr>
        <w:trPr>
          <w:trHeight w:val="209"/>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214,858</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260,718</w:t>
            </w: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7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2,856</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1,164</w:t>
            </w: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6,428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7,694</w:t>
            </w:r>
          </w:p>
        </w:tc>
      </w:tr>
      <w:tr>
        <w:trPr>
          <w:trHeight w:val="216"/>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2,348</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2,186</w:t>
            </w: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11,632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11,044</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liability, excluding current portion</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4,663</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6,443</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 excluding current portion</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197</w:t>
            </w:r>
          </w:p>
        </w:tc>
      </w:tr>
      <w:tr>
        <w:trPr>
          <w:trHeight w:val="209"/>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16,492</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17,684</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$0.001 par value; 5,000,000 shares authorized; no shares issued or outstanding</w:t>
            </w: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$0.001 par value; 200,000,000 shares authorized; 54,108,438 and 53,968,303 shares</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34"/>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issued and outstanding as of September 30, 2025 and December 31, 2024, respectively</w:t>
            </w: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772,015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762,248</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241</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(573,944)</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(519,398)</w:t>
            </w:r>
          </w:p>
        </w:tc>
      </w:tr>
      <w:tr>
        <w:trPr>
          <w:trHeight w:val="210"/>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198,366</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243,034</w:t>
            </w: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214,858</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260,718</w:t>
            </w: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-2836545</wp:posOffset>
            </wp:positionV>
            <wp:extent cx="1111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-1979295</wp:posOffset>
            </wp:positionV>
            <wp:extent cx="1111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 Income</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5"/>
                <w:szCs w:val="15"/>
                <w:color w:val="auto"/>
              </w:rPr>
            </w:pPr>
          </w:p>
        </w:tc>
      </w:tr>
      <w:tr>
        <w:trPr>
          <w:trHeight w:val="142"/>
        </w:trPr>
        <w:tc>
          <w:tcPr>
            <w:tcW w:w="58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80,000</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14,296</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14,639</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40,687</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51,673</w:t>
            </w: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8"/>
                <w:szCs w:val="18"/>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7,562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8,424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21,389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28,732</w:t>
            </w:r>
          </w:p>
        </w:tc>
      </w:tr>
      <w:tr>
        <w:trPr>
          <w:trHeight w:val="216"/>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Restructuring expenses</w:t>
            </w: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2,063</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2,063</w:t>
            </w: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21,858</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25,126</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62,076</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82,468</w:t>
            </w: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(21,858)</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(25,126)</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(62,076)</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(2,468)</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2,263</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3,430</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7,530</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9,311</w:t>
            </w:r>
          </w:p>
        </w:tc>
      </w:tr>
      <w:tr>
        <w:trPr>
          <w:trHeight w:val="22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(19,595)</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(21,696)</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(54,546)</w:t>
            </w: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6,843</w:t>
            </w: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r>
      <w:tr>
        <w:trPr>
          <w:trHeight w:val="197"/>
        </w:trPr>
        <w:tc>
          <w:tcPr>
            <w:tcW w:w="5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income per share, basic</w:t>
            </w: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(0.31)</w:t>
            </w:r>
          </w:p>
        </w:tc>
        <w:tc>
          <w:tcPr>
            <w:tcW w:w="140" w:type="dxa"/>
            <w:vAlign w:val="bottom"/>
          </w:tcPr>
          <w:p>
            <w:pPr>
              <w:spacing w:after="0"/>
              <w:rPr>
                <w:sz w:val="17"/>
                <w:szCs w:val="17"/>
                <w:color w:val="auto"/>
              </w:rPr>
            </w:pPr>
          </w:p>
        </w:tc>
        <w:tc>
          <w:tcPr>
            <w:tcW w:w="36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(0.35)</w:t>
            </w:r>
          </w:p>
        </w:tc>
        <w:tc>
          <w:tcPr>
            <w:tcW w:w="14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(0.87)</w:t>
            </w:r>
          </w:p>
        </w:tc>
        <w:tc>
          <w:tcPr>
            <w:tcW w:w="50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rPr>
              <w:t>0.11</w:t>
            </w: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8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income per share, diluted</w:t>
            </w:r>
          </w:p>
        </w:tc>
        <w:tc>
          <w:tcPr>
            <w:tcW w:w="260" w:type="dxa"/>
            <w:vAlign w:val="bottom"/>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(0.31)</w:t>
            </w:r>
          </w:p>
        </w:tc>
        <w:tc>
          <w:tcPr>
            <w:tcW w:w="500" w:type="dxa"/>
            <w:vAlign w:val="bottom"/>
            <w:gridSpan w:val="2"/>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(0.35)</w:t>
            </w:r>
          </w:p>
        </w:tc>
        <w:tc>
          <w:tcPr>
            <w:tcW w:w="400" w:type="dxa"/>
            <w:vAlign w:val="bottom"/>
            <w:gridSpan w:val="2"/>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(0.87)</w:t>
            </w:r>
          </w:p>
        </w:tc>
        <w:tc>
          <w:tcPr>
            <w:tcW w:w="500" w:type="dxa"/>
            <w:vAlign w:val="bottom"/>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rPr>
              <w:t>0.11</w:t>
            </w:r>
          </w:p>
        </w:tc>
      </w:tr>
      <w:tr>
        <w:trPr>
          <w:trHeight w:val="197"/>
        </w:trPr>
        <w:tc>
          <w:tcPr>
            <w:tcW w:w="58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62,597</w:t>
            </w:r>
          </w:p>
        </w:tc>
        <w:tc>
          <w:tcPr>
            <w:tcW w:w="14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62,409</w:t>
            </w:r>
          </w:p>
        </w:tc>
        <w:tc>
          <w:tcPr>
            <w:tcW w:w="14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62,537</w:t>
            </w:r>
          </w:p>
        </w:tc>
        <w:tc>
          <w:tcPr>
            <w:tcW w:w="14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rPr>
              <w:t>62,200</w:t>
            </w: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582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diluted</w:t>
            </w: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62,597</w:t>
            </w:r>
          </w:p>
        </w:tc>
        <w:tc>
          <w:tcPr>
            <w:tcW w:w="1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62,409</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62,537</w:t>
            </w:r>
          </w:p>
        </w:tc>
        <w:tc>
          <w:tcPr>
            <w:tcW w:w="1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rPr>
              <w:t>63,688</w:t>
            </w:r>
          </w:p>
        </w:tc>
      </w:tr>
      <w:tr>
        <w:trPr>
          <w:trHeight w:val="196"/>
        </w:trPr>
        <w:tc>
          <w:tcPr>
            <w:tcW w:w="5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 income:</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(19,595)</w:t>
            </w: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(21,696)</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(54,546)</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6,843</w:t>
            </w: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gain:</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745</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515</w:t>
            </w:r>
          </w:p>
        </w:tc>
      </w:tr>
      <w:tr>
        <w:trPr>
          <w:trHeight w:val="210"/>
        </w:trPr>
        <w:tc>
          <w:tcPr>
            <w:tcW w:w="58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other comprehensive gain</w:t>
            </w: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745</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515</w:t>
            </w: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(19,436)</w:t>
            </w: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(20,951)</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(54,435)</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7,358</w:t>
            </w: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-2253615</wp:posOffset>
            </wp:positionV>
            <wp:extent cx="857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-2253615</wp:posOffset>
            </wp:positionV>
            <wp:extent cx="857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-2253615</wp:posOffset>
            </wp:positionV>
            <wp:extent cx="857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-1679575</wp:posOffset>
            </wp:positionV>
            <wp:extent cx="857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-1662430</wp:posOffset>
            </wp:positionV>
            <wp:extent cx="857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-1679575</wp:posOffset>
            </wp:positionV>
            <wp:extent cx="857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-1662430</wp:posOffset>
            </wp:positionV>
            <wp:extent cx="857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-1679575</wp:posOffset>
            </wp:positionV>
            <wp:extent cx="857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-1662430</wp:posOffset>
            </wp:positionV>
            <wp:extent cx="857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-1353820</wp:posOffset>
            </wp:positionV>
            <wp:extent cx="857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-1336675</wp:posOffset>
            </wp:positionV>
            <wp:extent cx="857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-1353820</wp:posOffset>
            </wp:positionV>
            <wp:extent cx="85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-1336675</wp:posOffset>
            </wp:positionV>
            <wp:extent cx="857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-1353820</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-1336675</wp:posOffset>
            </wp:positionV>
            <wp:extent cx="857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-1028065</wp:posOffset>
            </wp:positionV>
            <wp:extent cx="857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-1010920</wp:posOffset>
            </wp:positionV>
            <wp:extent cx="857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-1028065</wp:posOffset>
            </wp:positionV>
            <wp:extent cx="85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-1010920</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-1028065</wp:posOffset>
            </wp:positionV>
            <wp:extent cx="857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-1010920</wp:posOffset>
            </wp:positionV>
            <wp:extent cx="85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-170815</wp:posOffset>
            </wp:positionV>
            <wp:extent cx="857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-170815</wp:posOffset>
            </wp:positionV>
            <wp:extent cx="857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857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32"/>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3"/>
            <w:vMerge w:val="restart"/>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292"/>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center"/>
              <w:ind w:right="152"/>
              <w:spacing w:after="0" w:line="160" w:lineRule="exact"/>
              <w:rPr>
                <w:sz w:val="20"/>
                <w:szCs w:val="20"/>
                <w:color w:val="auto"/>
              </w:rPr>
            </w:pPr>
            <w:r>
              <w:rPr>
                <w:rFonts w:ascii="Times New Roman" w:cs="Times New Roman" w:eastAsia="Times New Roman" w:hAnsi="Times New Roman"/>
                <w:sz w:val="14"/>
                <w:szCs w:val="14"/>
                <w:b w:val="1"/>
                <w:bCs w:val="1"/>
                <w:color w:val="auto"/>
                <w:w w:val="95"/>
              </w:rPr>
              <w:t>e</w:t>
            </w:r>
          </w:p>
        </w:tc>
        <w:tc>
          <w:tcPr>
            <w:tcW w:w="10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72"/>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Gain (Loss)</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440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Balance at December 31, 2023</w:t>
            </w:r>
          </w:p>
        </w:tc>
        <w:tc>
          <w:tcPr>
            <w:tcW w:w="1080" w:type="dxa"/>
            <w:vAlign w:val="bottom"/>
            <w:shd w:val="clear" w:color="auto" w:fill="CFF0FC"/>
          </w:tcPr>
          <w:p>
            <w:pPr>
              <w:jc w:val="right"/>
              <w:ind w:right="52"/>
              <w:spacing w:after="0" w:line="142" w:lineRule="exact"/>
              <w:rPr>
                <w:sz w:val="20"/>
                <w:szCs w:val="20"/>
                <w:color w:val="auto"/>
              </w:rPr>
            </w:pPr>
            <w:r>
              <w:rPr>
                <w:rFonts w:ascii="Times New Roman" w:cs="Times New Roman" w:eastAsia="Times New Roman" w:hAnsi="Times New Roman"/>
                <w:sz w:val="13"/>
                <w:szCs w:val="13"/>
                <w:color w:val="auto"/>
              </w:rPr>
              <w:t>61,915,367</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62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72"/>
              <w:spacing w:after="0" w:line="142" w:lineRule="exact"/>
              <w:rPr>
                <w:sz w:val="20"/>
                <w:szCs w:val="20"/>
                <w:color w:val="auto"/>
              </w:rPr>
            </w:pPr>
            <w:r>
              <w:rPr>
                <w:rFonts w:ascii="Times New Roman" w:cs="Times New Roman" w:eastAsia="Times New Roman" w:hAnsi="Times New Roman"/>
                <w:sz w:val="13"/>
                <w:szCs w:val="13"/>
                <w:color w:val="auto"/>
              </w:rPr>
              <w:t>744,940</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(136)</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(509,673)</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2"/>
              <w:spacing w:after="0" w:line="142" w:lineRule="exact"/>
              <w:rPr>
                <w:sz w:val="20"/>
                <w:szCs w:val="20"/>
                <w:color w:val="auto"/>
              </w:rPr>
            </w:pPr>
            <w:r>
              <w:rPr>
                <w:rFonts w:ascii="Times New Roman" w:cs="Times New Roman" w:eastAsia="Times New Roman" w:hAnsi="Times New Roman"/>
                <w:sz w:val="13"/>
                <w:szCs w:val="13"/>
                <w:color w:val="auto"/>
              </w:rPr>
              <w:t>235,193</w:t>
            </w:r>
          </w:p>
        </w:tc>
        <w:tc>
          <w:tcPr>
            <w:tcW w:w="0" w:type="dxa"/>
            <w:vAlign w:val="bottom"/>
          </w:tcPr>
          <w:p>
            <w:pPr>
              <w:spacing w:after="0"/>
              <w:rPr>
                <w:sz w:val="1"/>
                <w:szCs w:val="1"/>
                <w:color w:val="auto"/>
              </w:rPr>
            </w:pPr>
          </w:p>
        </w:tc>
      </w:tr>
      <w:tr>
        <w:trPr>
          <w:trHeight w:val="148"/>
        </w:trPr>
        <w:tc>
          <w:tcPr>
            <w:tcW w:w="44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Issuance of common stock under employee benefit plans</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214,094</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3"/>
                <w:szCs w:val="13"/>
                <w:color w:val="auto"/>
              </w:rPr>
              <w:t>1,651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1,651</w:t>
            </w:r>
          </w:p>
        </w:tc>
        <w:tc>
          <w:tcPr>
            <w:tcW w:w="0" w:type="dxa"/>
            <w:vAlign w:val="bottom"/>
          </w:tcPr>
          <w:p>
            <w:pPr>
              <w:spacing w:after="0"/>
              <w:rPr>
                <w:sz w:val="1"/>
                <w:szCs w:val="1"/>
                <w:color w:val="auto"/>
              </w:rPr>
            </w:pPr>
          </w:p>
        </w:tc>
      </w:tr>
      <w:tr>
        <w:trPr>
          <w:trHeight w:val="148"/>
        </w:trPr>
        <w:tc>
          <w:tcPr>
            <w:tcW w:w="44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Vesting of restricted stock awards</w:t>
            </w:r>
          </w:p>
        </w:tc>
        <w:tc>
          <w:tcPr>
            <w:tcW w:w="10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11,550</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44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3"/>
                <w:szCs w:val="13"/>
                <w:color w:val="auto"/>
              </w:rPr>
              <w:t>3,916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3,916</w:t>
            </w:r>
          </w:p>
        </w:tc>
        <w:tc>
          <w:tcPr>
            <w:tcW w:w="0" w:type="dxa"/>
            <w:vAlign w:val="bottom"/>
          </w:tcPr>
          <w:p>
            <w:pPr>
              <w:spacing w:after="0"/>
              <w:rPr>
                <w:sz w:val="1"/>
                <w:szCs w:val="1"/>
                <w:color w:val="auto"/>
              </w:rPr>
            </w:pPr>
          </w:p>
        </w:tc>
      </w:tr>
      <w:tr>
        <w:trPr>
          <w:trHeight w:val="149"/>
        </w:trPr>
        <w:tc>
          <w:tcPr>
            <w:tcW w:w="44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Unrealized loss on marketable securities</w:t>
            </w:r>
          </w:p>
        </w:tc>
        <w:tc>
          <w:tcPr>
            <w:tcW w:w="10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0" w:type="dxa"/>
            <w:vAlign w:val="bottom"/>
          </w:tcPr>
          <w:p>
            <w:pPr>
              <w:spacing w:after="0"/>
              <w:rPr>
                <w:sz w:val="1"/>
                <w:szCs w:val="1"/>
                <w:color w:val="auto"/>
              </w:rPr>
            </w:pPr>
          </w:p>
        </w:tc>
      </w:tr>
      <w:tr>
        <w:trPr>
          <w:trHeight w:val="148"/>
        </w:trPr>
        <w:tc>
          <w:tcPr>
            <w:tcW w:w="44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Net loss</w:t>
            </w:r>
          </w:p>
        </w:tc>
        <w:tc>
          <w:tcPr>
            <w:tcW w:w="10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(26,870)</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(26,870)</w:t>
            </w:r>
          </w:p>
        </w:tc>
        <w:tc>
          <w:tcPr>
            <w:tcW w:w="0" w:type="dxa"/>
            <w:vAlign w:val="bottom"/>
          </w:tcPr>
          <w:p>
            <w:pPr>
              <w:spacing w:after="0"/>
              <w:rPr>
                <w:sz w:val="1"/>
                <w:szCs w:val="1"/>
                <w:color w:val="auto"/>
              </w:rPr>
            </w:pPr>
          </w:p>
        </w:tc>
      </w:tr>
      <w:tr>
        <w:trPr>
          <w:trHeight w:val="182"/>
        </w:trPr>
        <w:tc>
          <w:tcPr>
            <w:tcW w:w="440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Balance at March 31, 2024</w:t>
            </w:r>
          </w:p>
        </w:tc>
        <w:tc>
          <w:tcPr>
            <w:tcW w:w="1080" w:type="dxa"/>
            <w:vAlign w:val="bottom"/>
            <w:shd w:val="clear" w:color="auto" w:fill="CFF0FC"/>
          </w:tcPr>
          <w:p>
            <w:pPr>
              <w:jc w:val="right"/>
              <w:ind w:right="52"/>
              <w:spacing w:after="0" w:line="142" w:lineRule="exact"/>
              <w:rPr>
                <w:sz w:val="20"/>
                <w:szCs w:val="20"/>
                <w:color w:val="auto"/>
              </w:rPr>
            </w:pPr>
            <w:r>
              <w:rPr>
                <w:rFonts w:ascii="Times New Roman" w:cs="Times New Roman" w:eastAsia="Times New Roman" w:hAnsi="Times New Roman"/>
                <w:sz w:val="13"/>
                <w:szCs w:val="13"/>
                <w:color w:val="auto"/>
              </w:rPr>
              <w:t>62,141,011</w:t>
            </w:r>
          </w:p>
        </w:tc>
        <w:tc>
          <w:tcPr>
            <w:tcW w:w="860" w:type="dxa"/>
            <w:vAlign w:val="bottom"/>
            <w:gridSpan w:val="2"/>
            <w:shd w:val="clear" w:color="auto" w:fill="CFF0FC"/>
          </w:tcPr>
          <w:p>
            <w:pPr>
              <w:jc w:val="right"/>
              <w:ind w:right="61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62</w:t>
            </w: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ind w:right="72"/>
              <w:spacing w:after="0" w:line="142" w:lineRule="exact"/>
              <w:rPr>
                <w:sz w:val="20"/>
                <w:szCs w:val="20"/>
                <w:color w:val="auto"/>
              </w:rPr>
            </w:pPr>
            <w:r>
              <w:rPr>
                <w:rFonts w:ascii="Times New Roman" w:cs="Times New Roman" w:eastAsia="Times New Roman" w:hAnsi="Times New Roman"/>
                <w:sz w:val="13"/>
                <w:szCs w:val="13"/>
                <w:color w:val="auto"/>
              </w:rPr>
              <w:t>750,507</w:t>
            </w:r>
          </w:p>
        </w:tc>
        <w:tc>
          <w:tcPr>
            <w:tcW w:w="180" w:type="dxa"/>
            <w:vAlign w:val="bottom"/>
            <w:gridSpan w:val="2"/>
            <w:shd w:val="clear" w:color="auto" w:fill="CFF0FC"/>
          </w:tcPr>
          <w:p>
            <w:pPr>
              <w:ind w:left="10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(434)</w:t>
            </w:r>
          </w:p>
        </w:tc>
        <w:tc>
          <w:tcPr>
            <w:tcW w:w="260" w:type="dxa"/>
            <w:vAlign w:val="bottom"/>
            <w:gridSpan w:val="2"/>
            <w:shd w:val="clear" w:color="auto" w:fill="CFF0FC"/>
          </w:tcPr>
          <w:p>
            <w:pPr>
              <w:jc w:val="right"/>
              <w:ind w:right="1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(536,543)</w:t>
            </w:r>
          </w:p>
        </w:tc>
        <w:tc>
          <w:tcPr>
            <w:tcW w:w="280" w:type="dxa"/>
            <w:vAlign w:val="bottom"/>
            <w:gridSpan w:val="2"/>
            <w:shd w:val="clear" w:color="auto" w:fill="CFF0FC"/>
          </w:tcPr>
          <w:p>
            <w:pPr>
              <w:jc w:val="right"/>
              <w:ind w:right="36"/>
              <w:spacing w:after="0" w:line="142"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ind w:right="52"/>
              <w:spacing w:after="0" w:line="142" w:lineRule="exact"/>
              <w:rPr>
                <w:sz w:val="20"/>
                <w:szCs w:val="20"/>
                <w:color w:val="auto"/>
              </w:rPr>
            </w:pPr>
            <w:r>
              <w:rPr>
                <w:rFonts w:ascii="Times New Roman" w:cs="Times New Roman" w:eastAsia="Times New Roman" w:hAnsi="Times New Roman"/>
                <w:sz w:val="13"/>
                <w:szCs w:val="13"/>
                <w:color w:val="auto"/>
              </w:rPr>
              <w:t>213,592</w:t>
            </w:r>
          </w:p>
        </w:tc>
        <w:tc>
          <w:tcPr>
            <w:tcW w:w="0" w:type="dxa"/>
            <w:vAlign w:val="bottom"/>
          </w:tcPr>
          <w:p>
            <w:pPr>
              <w:spacing w:after="0"/>
              <w:rPr>
                <w:sz w:val="1"/>
                <w:szCs w:val="1"/>
                <w:color w:val="auto"/>
              </w:rPr>
            </w:pPr>
          </w:p>
        </w:tc>
      </w:tr>
      <w:tr>
        <w:trPr>
          <w:trHeight w:val="129"/>
        </w:trPr>
        <w:tc>
          <w:tcPr>
            <w:tcW w:w="4400" w:type="dxa"/>
            <w:vAlign w:val="bottom"/>
            <w:tcBorders>
              <w:top w:val="single" w:sz="8" w:color="CFF0FC"/>
            </w:tcBorders>
            <w:gridSpan w:val="2"/>
          </w:tcPr>
          <w:p>
            <w:pPr>
              <w:ind w:left="80"/>
              <w:spacing w:after="0" w:line="129" w:lineRule="exact"/>
              <w:rPr>
                <w:sz w:val="20"/>
                <w:szCs w:val="20"/>
                <w:color w:val="auto"/>
              </w:rPr>
            </w:pPr>
            <w:r>
              <w:rPr>
                <w:rFonts w:ascii="Times New Roman" w:cs="Times New Roman" w:eastAsia="Times New Roman" w:hAnsi="Times New Roman"/>
                <w:sz w:val="13"/>
                <w:szCs w:val="13"/>
                <w:color w:val="auto"/>
              </w:rPr>
              <w:t>Issuance of common stock under employee benefit plans</w:t>
            </w:r>
          </w:p>
        </w:tc>
        <w:tc>
          <w:tcPr>
            <w:tcW w:w="1080" w:type="dxa"/>
            <w:vAlign w:val="bottom"/>
            <w:tcBorders>
              <w:top w:val="single" w:sz="8" w:color="auto"/>
            </w:tcBorders>
          </w:tcPr>
          <w:p>
            <w:pPr>
              <w:jc w:val="right"/>
              <w:ind w:right="52"/>
              <w:spacing w:after="0" w:line="129" w:lineRule="exact"/>
              <w:rPr>
                <w:sz w:val="20"/>
                <w:szCs w:val="20"/>
                <w:color w:val="auto"/>
              </w:rPr>
            </w:pPr>
            <w:r>
              <w:rPr>
                <w:rFonts w:ascii="Times New Roman" w:cs="Times New Roman" w:eastAsia="Times New Roman" w:hAnsi="Times New Roman"/>
                <w:sz w:val="13"/>
                <w:szCs w:val="13"/>
                <w:color w:val="auto"/>
              </w:rPr>
              <w:t>98,844</w:t>
            </w:r>
          </w:p>
        </w:tc>
        <w:tc>
          <w:tcPr>
            <w:tcW w:w="100" w:type="dxa"/>
            <w:vAlign w:val="bottom"/>
            <w:tcBorders>
              <w:top w:val="single" w:sz="8" w:color="CFF0FC"/>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ind w:right="53"/>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72"/>
              <w:spacing w:after="0" w:line="129" w:lineRule="exact"/>
              <w:rPr>
                <w:sz w:val="20"/>
                <w:szCs w:val="20"/>
                <w:color w:val="auto"/>
              </w:rPr>
            </w:pPr>
            <w:r>
              <w:rPr>
                <w:rFonts w:ascii="Times New Roman" w:cs="Times New Roman" w:eastAsia="Times New Roman" w:hAnsi="Times New Roman"/>
                <w:sz w:val="13"/>
                <w:szCs w:val="13"/>
                <w:color w:val="auto"/>
              </w:rPr>
              <w:t>377</w:t>
            </w: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52"/>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52"/>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52"/>
              <w:spacing w:after="0" w:line="129" w:lineRule="exact"/>
              <w:rPr>
                <w:sz w:val="20"/>
                <w:szCs w:val="20"/>
                <w:color w:val="auto"/>
              </w:rPr>
            </w:pPr>
            <w:r>
              <w:rPr>
                <w:rFonts w:ascii="Times New Roman" w:cs="Times New Roman" w:eastAsia="Times New Roman" w:hAnsi="Times New Roman"/>
                <w:sz w:val="13"/>
                <w:szCs w:val="13"/>
                <w:color w:val="auto"/>
              </w:rPr>
              <w:t>377</w:t>
            </w:r>
          </w:p>
        </w:tc>
        <w:tc>
          <w:tcPr>
            <w:tcW w:w="0" w:type="dxa"/>
            <w:vAlign w:val="bottom"/>
          </w:tcPr>
          <w:p>
            <w:pPr>
              <w:spacing w:after="0"/>
              <w:rPr>
                <w:sz w:val="1"/>
                <w:szCs w:val="1"/>
                <w:color w:val="auto"/>
              </w:rPr>
            </w:pPr>
          </w:p>
        </w:tc>
      </w:tr>
      <w:tr>
        <w:trPr>
          <w:trHeight w:val="148"/>
        </w:trPr>
        <w:tc>
          <w:tcPr>
            <w:tcW w:w="44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Vesting of restricted stock awards</w:t>
            </w:r>
          </w:p>
        </w:tc>
        <w:tc>
          <w:tcPr>
            <w:tcW w:w="10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10,776</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44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3"/>
                <w:szCs w:val="13"/>
                <w:color w:val="auto"/>
              </w:rPr>
              <w:t>4,344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4,344</w:t>
            </w:r>
          </w:p>
        </w:tc>
        <w:tc>
          <w:tcPr>
            <w:tcW w:w="0" w:type="dxa"/>
            <w:vAlign w:val="bottom"/>
          </w:tcPr>
          <w:p>
            <w:pPr>
              <w:spacing w:after="0"/>
              <w:rPr>
                <w:sz w:val="1"/>
                <w:szCs w:val="1"/>
                <w:color w:val="auto"/>
              </w:rPr>
            </w:pPr>
          </w:p>
        </w:tc>
      </w:tr>
      <w:tr>
        <w:trPr>
          <w:trHeight w:val="148"/>
        </w:trPr>
        <w:tc>
          <w:tcPr>
            <w:tcW w:w="44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Unrealized gain on marketable securities</w:t>
            </w:r>
          </w:p>
        </w:tc>
        <w:tc>
          <w:tcPr>
            <w:tcW w:w="10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68</w:t>
            </w:r>
          </w:p>
        </w:tc>
        <w:tc>
          <w:tcPr>
            <w:tcW w:w="0" w:type="dxa"/>
            <w:vAlign w:val="bottom"/>
          </w:tcPr>
          <w:p>
            <w:pPr>
              <w:spacing w:after="0"/>
              <w:rPr>
                <w:sz w:val="1"/>
                <w:szCs w:val="1"/>
                <w:color w:val="auto"/>
              </w:rPr>
            </w:pPr>
          </w:p>
        </w:tc>
      </w:tr>
      <w:tr>
        <w:trPr>
          <w:trHeight w:val="149"/>
        </w:trPr>
        <w:tc>
          <w:tcPr>
            <w:tcW w:w="44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Net income</w:t>
            </w:r>
          </w:p>
        </w:tc>
        <w:tc>
          <w:tcPr>
            <w:tcW w:w="10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color w:val="auto"/>
              </w:rPr>
              <w:t>55,409</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color w:val="auto"/>
              </w:rPr>
              <w:t>55,409</w:t>
            </w:r>
          </w:p>
        </w:tc>
        <w:tc>
          <w:tcPr>
            <w:tcW w:w="0" w:type="dxa"/>
            <w:vAlign w:val="bottom"/>
          </w:tcPr>
          <w:p>
            <w:pPr>
              <w:spacing w:after="0"/>
              <w:rPr>
                <w:sz w:val="1"/>
                <w:szCs w:val="1"/>
                <w:color w:val="auto"/>
              </w:rPr>
            </w:pPr>
          </w:p>
        </w:tc>
      </w:tr>
      <w:tr>
        <w:trPr>
          <w:trHeight w:val="182"/>
        </w:trPr>
        <w:tc>
          <w:tcPr>
            <w:tcW w:w="440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Balance at June 30, 2024</w:t>
            </w:r>
          </w:p>
        </w:tc>
        <w:tc>
          <w:tcPr>
            <w:tcW w:w="1080" w:type="dxa"/>
            <w:vAlign w:val="bottom"/>
            <w:shd w:val="clear" w:color="auto" w:fill="CFF0FC"/>
          </w:tcPr>
          <w:p>
            <w:pPr>
              <w:jc w:val="right"/>
              <w:ind w:right="52"/>
              <w:spacing w:after="0" w:line="142" w:lineRule="exact"/>
              <w:rPr>
                <w:sz w:val="20"/>
                <w:szCs w:val="20"/>
                <w:color w:val="auto"/>
              </w:rPr>
            </w:pPr>
            <w:r>
              <w:rPr>
                <w:rFonts w:ascii="Times New Roman" w:cs="Times New Roman" w:eastAsia="Times New Roman" w:hAnsi="Times New Roman"/>
                <w:sz w:val="13"/>
                <w:szCs w:val="13"/>
                <w:color w:val="auto"/>
              </w:rPr>
              <w:t>62,250,631</w:t>
            </w:r>
          </w:p>
        </w:tc>
        <w:tc>
          <w:tcPr>
            <w:tcW w:w="860" w:type="dxa"/>
            <w:vAlign w:val="bottom"/>
            <w:gridSpan w:val="2"/>
            <w:shd w:val="clear" w:color="auto" w:fill="CFF0FC"/>
          </w:tcPr>
          <w:p>
            <w:pPr>
              <w:jc w:val="right"/>
              <w:ind w:right="61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62</w:t>
            </w: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ind w:right="72"/>
              <w:spacing w:after="0" w:line="142" w:lineRule="exact"/>
              <w:rPr>
                <w:sz w:val="20"/>
                <w:szCs w:val="20"/>
                <w:color w:val="auto"/>
              </w:rPr>
            </w:pPr>
            <w:r>
              <w:rPr>
                <w:rFonts w:ascii="Times New Roman" w:cs="Times New Roman" w:eastAsia="Times New Roman" w:hAnsi="Times New Roman"/>
                <w:sz w:val="13"/>
                <w:szCs w:val="13"/>
                <w:color w:val="auto"/>
              </w:rPr>
              <w:t>755,228</w:t>
            </w:r>
          </w:p>
        </w:tc>
        <w:tc>
          <w:tcPr>
            <w:tcW w:w="180" w:type="dxa"/>
            <w:vAlign w:val="bottom"/>
            <w:gridSpan w:val="2"/>
            <w:shd w:val="clear" w:color="auto" w:fill="CFF0FC"/>
          </w:tcPr>
          <w:p>
            <w:pPr>
              <w:ind w:left="10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(366)</w:t>
            </w:r>
          </w:p>
        </w:tc>
        <w:tc>
          <w:tcPr>
            <w:tcW w:w="260" w:type="dxa"/>
            <w:vAlign w:val="bottom"/>
            <w:gridSpan w:val="2"/>
            <w:shd w:val="clear" w:color="auto" w:fill="CFF0FC"/>
          </w:tcPr>
          <w:p>
            <w:pPr>
              <w:jc w:val="right"/>
              <w:ind w:right="1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(481,134)</w:t>
            </w:r>
          </w:p>
        </w:tc>
        <w:tc>
          <w:tcPr>
            <w:tcW w:w="280" w:type="dxa"/>
            <w:vAlign w:val="bottom"/>
            <w:gridSpan w:val="2"/>
            <w:shd w:val="clear" w:color="auto" w:fill="CFF0FC"/>
          </w:tcPr>
          <w:p>
            <w:pPr>
              <w:jc w:val="right"/>
              <w:ind w:right="36"/>
              <w:spacing w:after="0" w:line="142"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ind w:right="52"/>
              <w:spacing w:after="0" w:line="142" w:lineRule="exact"/>
              <w:rPr>
                <w:sz w:val="20"/>
                <w:szCs w:val="20"/>
                <w:color w:val="auto"/>
              </w:rPr>
            </w:pPr>
            <w:r>
              <w:rPr>
                <w:rFonts w:ascii="Times New Roman" w:cs="Times New Roman" w:eastAsia="Times New Roman" w:hAnsi="Times New Roman"/>
                <w:sz w:val="13"/>
                <w:szCs w:val="13"/>
                <w:color w:val="auto"/>
              </w:rPr>
              <w:t>273,790</w:t>
            </w:r>
          </w:p>
        </w:tc>
        <w:tc>
          <w:tcPr>
            <w:tcW w:w="0" w:type="dxa"/>
            <w:vAlign w:val="bottom"/>
          </w:tcPr>
          <w:p>
            <w:pPr>
              <w:spacing w:after="0"/>
              <w:rPr>
                <w:sz w:val="1"/>
                <w:szCs w:val="1"/>
                <w:color w:val="auto"/>
              </w:rPr>
            </w:pPr>
          </w:p>
        </w:tc>
      </w:tr>
      <w:tr>
        <w:trPr>
          <w:trHeight w:val="129"/>
        </w:trPr>
        <w:tc>
          <w:tcPr>
            <w:tcW w:w="4400" w:type="dxa"/>
            <w:vAlign w:val="bottom"/>
            <w:tcBorders>
              <w:top w:val="single" w:sz="8" w:color="CFF0FC"/>
            </w:tcBorders>
            <w:gridSpan w:val="2"/>
          </w:tcPr>
          <w:p>
            <w:pPr>
              <w:ind w:left="80"/>
              <w:spacing w:after="0" w:line="129" w:lineRule="exact"/>
              <w:rPr>
                <w:sz w:val="20"/>
                <w:szCs w:val="20"/>
                <w:color w:val="auto"/>
              </w:rPr>
            </w:pPr>
            <w:r>
              <w:rPr>
                <w:rFonts w:ascii="Times New Roman" w:cs="Times New Roman" w:eastAsia="Times New Roman" w:hAnsi="Times New Roman"/>
                <w:sz w:val="13"/>
                <w:szCs w:val="13"/>
                <w:color w:val="auto"/>
              </w:rPr>
              <w:t>Issuance of common stock under employee benefit plans</w:t>
            </w:r>
          </w:p>
        </w:tc>
        <w:tc>
          <w:tcPr>
            <w:tcW w:w="1080" w:type="dxa"/>
            <w:vAlign w:val="bottom"/>
            <w:tcBorders>
              <w:top w:val="single" w:sz="8" w:color="auto"/>
            </w:tcBorders>
          </w:tcPr>
          <w:p>
            <w:pPr>
              <w:jc w:val="right"/>
              <w:ind w:right="52"/>
              <w:spacing w:after="0" w:line="129" w:lineRule="exact"/>
              <w:rPr>
                <w:sz w:val="20"/>
                <w:szCs w:val="20"/>
                <w:color w:val="auto"/>
              </w:rPr>
            </w:pPr>
            <w:r>
              <w:rPr>
                <w:rFonts w:ascii="Times New Roman" w:cs="Times New Roman" w:eastAsia="Times New Roman" w:hAnsi="Times New Roman"/>
                <w:sz w:val="13"/>
                <w:szCs w:val="13"/>
                <w:color w:val="auto"/>
              </w:rPr>
              <w:t>188,030</w:t>
            </w:r>
          </w:p>
        </w:tc>
        <w:tc>
          <w:tcPr>
            <w:tcW w:w="100" w:type="dxa"/>
            <w:vAlign w:val="bottom"/>
            <w:tcBorders>
              <w:top w:val="single" w:sz="8" w:color="CFF0FC"/>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ind w:right="53"/>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72"/>
              <w:spacing w:after="0" w:line="129" w:lineRule="exact"/>
              <w:rPr>
                <w:sz w:val="20"/>
                <w:szCs w:val="20"/>
                <w:color w:val="auto"/>
              </w:rPr>
            </w:pPr>
            <w:r>
              <w:rPr>
                <w:rFonts w:ascii="Times New Roman" w:cs="Times New Roman" w:eastAsia="Times New Roman" w:hAnsi="Times New Roman"/>
                <w:sz w:val="13"/>
                <w:szCs w:val="13"/>
                <w:color w:val="auto"/>
              </w:rPr>
              <w:t>635</w:t>
            </w: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52"/>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52"/>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52"/>
              <w:spacing w:after="0" w:line="129" w:lineRule="exact"/>
              <w:rPr>
                <w:sz w:val="20"/>
                <w:szCs w:val="20"/>
                <w:color w:val="auto"/>
              </w:rPr>
            </w:pPr>
            <w:r>
              <w:rPr>
                <w:rFonts w:ascii="Times New Roman" w:cs="Times New Roman" w:eastAsia="Times New Roman" w:hAnsi="Times New Roman"/>
                <w:sz w:val="13"/>
                <w:szCs w:val="13"/>
                <w:color w:val="auto"/>
              </w:rPr>
              <w:t>635</w:t>
            </w:r>
          </w:p>
        </w:tc>
        <w:tc>
          <w:tcPr>
            <w:tcW w:w="0" w:type="dxa"/>
            <w:vAlign w:val="bottom"/>
          </w:tcPr>
          <w:p>
            <w:pPr>
              <w:spacing w:after="0"/>
              <w:rPr>
                <w:sz w:val="1"/>
                <w:szCs w:val="1"/>
                <w:color w:val="auto"/>
              </w:rPr>
            </w:pPr>
          </w:p>
        </w:tc>
      </w:tr>
      <w:tr>
        <w:trPr>
          <w:trHeight w:val="148"/>
        </w:trPr>
        <w:tc>
          <w:tcPr>
            <w:tcW w:w="44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Issuance of pre-funded warrants in exchange for common stock</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(9,350,000)</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44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Issuance of common stock pursuant to pre-funded warrant exercise</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850,000</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44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3"/>
                <w:szCs w:val="13"/>
                <w:color w:val="auto"/>
              </w:rPr>
              <w:t>3,817</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3,817</w:t>
            </w:r>
          </w:p>
        </w:tc>
        <w:tc>
          <w:tcPr>
            <w:tcW w:w="0" w:type="dxa"/>
            <w:vAlign w:val="bottom"/>
          </w:tcPr>
          <w:p>
            <w:pPr>
              <w:spacing w:after="0"/>
              <w:rPr>
                <w:sz w:val="1"/>
                <w:szCs w:val="1"/>
                <w:color w:val="auto"/>
              </w:rPr>
            </w:pPr>
          </w:p>
        </w:tc>
      </w:tr>
      <w:tr>
        <w:trPr>
          <w:trHeight w:val="149"/>
        </w:trPr>
        <w:tc>
          <w:tcPr>
            <w:tcW w:w="44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Unrealized gain on marketable securities</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745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745</w:t>
            </w:r>
          </w:p>
        </w:tc>
        <w:tc>
          <w:tcPr>
            <w:tcW w:w="0" w:type="dxa"/>
            <w:vAlign w:val="bottom"/>
          </w:tcPr>
          <w:p>
            <w:pPr>
              <w:spacing w:after="0"/>
              <w:rPr>
                <w:sz w:val="1"/>
                <w:szCs w:val="1"/>
                <w:color w:val="auto"/>
              </w:rPr>
            </w:pPr>
          </w:p>
        </w:tc>
      </w:tr>
      <w:tr>
        <w:trPr>
          <w:trHeight w:val="148"/>
        </w:trPr>
        <w:tc>
          <w:tcPr>
            <w:tcW w:w="440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Net loss</w:t>
            </w:r>
          </w:p>
        </w:tc>
        <w:tc>
          <w:tcPr>
            <w:tcW w:w="10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(21,696)</w:t>
            </w: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(21,696)</w:t>
            </w:r>
          </w:p>
        </w:tc>
        <w:tc>
          <w:tcPr>
            <w:tcW w:w="0" w:type="dxa"/>
            <w:vAlign w:val="bottom"/>
          </w:tcPr>
          <w:p>
            <w:pPr>
              <w:spacing w:after="0"/>
              <w:rPr>
                <w:sz w:val="1"/>
                <w:szCs w:val="1"/>
                <w:color w:val="auto"/>
              </w:rPr>
            </w:pPr>
          </w:p>
        </w:tc>
      </w:tr>
      <w:tr>
        <w:trPr>
          <w:trHeight w:val="142"/>
        </w:trPr>
        <w:tc>
          <w:tcPr>
            <w:tcW w:w="440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auto"/>
              </w:rPr>
              <w:t>Balance at September 30, 2024</w:t>
            </w:r>
          </w:p>
        </w:tc>
        <w:tc>
          <w:tcPr>
            <w:tcW w:w="108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3"/>
                <w:szCs w:val="13"/>
                <w:color w:val="auto"/>
              </w:rPr>
              <w:t>53,938,661</w:t>
            </w:r>
          </w:p>
        </w:tc>
        <w:tc>
          <w:tcPr>
            <w:tcW w:w="860" w:type="dxa"/>
            <w:vAlign w:val="bottom"/>
            <w:gridSpan w:val="2"/>
          </w:tcPr>
          <w:p>
            <w:pPr>
              <w:jc w:val="right"/>
              <w:ind w:right="61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54</w:t>
            </w: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3"/>
                <w:szCs w:val="13"/>
                <w:color w:val="auto"/>
              </w:rPr>
              <w:t>759,688</w:t>
            </w:r>
          </w:p>
        </w:tc>
        <w:tc>
          <w:tcPr>
            <w:tcW w:w="18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3"/>
                <w:szCs w:val="13"/>
                <w:color w:val="auto"/>
              </w:rPr>
              <w:t>379</w:t>
            </w:r>
          </w:p>
        </w:tc>
        <w:tc>
          <w:tcPr>
            <w:tcW w:w="26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(502,830)</w:t>
            </w:r>
          </w:p>
        </w:tc>
        <w:tc>
          <w:tcPr>
            <w:tcW w:w="280" w:type="dxa"/>
            <w:vAlign w:val="bottom"/>
            <w:gridSpan w:val="2"/>
          </w:tcPr>
          <w:p>
            <w:pPr>
              <w:jc w:val="right"/>
              <w:ind w:right="36"/>
              <w:spacing w:after="0" w:line="142"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3"/>
                <w:szCs w:val="13"/>
                <w:color w:val="auto"/>
              </w:rPr>
              <w:t>257,291</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0" w:type="dxa"/>
            <w:vAlign w:val="bottom"/>
            <w:gridSpan w:val="2"/>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at December 31, 2024</w:t>
            </w:r>
          </w:p>
        </w:tc>
        <w:tc>
          <w:tcPr>
            <w:tcW w:w="1080" w:type="dxa"/>
            <w:vAlign w:val="bottom"/>
            <w:shd w:val="clear" w:color="auto" w:fill="CFF0FC"/>
          </w:tcPr>
          <w:p>
            <w:pPr>
              <w:jc w:val="right"/>
              <w:ind w:right="52"/>
              <w:spacing w:after="0" w:line="129" w:lineRule="exact"/>
              <w:rPr>
                <w:sz w:val="20"/>
                <w:szCs w:val="20"/>
                <w:color w:val="auto"/>
              </w:rPr>
            </w:pPr>
            <w:r>
              <w:rPr>
                <w:rFonts w:ascii="Times New Roman" w:cs="Times New Roman" w:eastAsia="Times New Roman" w:hAnsi="Times New Roman"/>
                <w:sz w:val="13"/>
                <w:szCs w:val="13"/>
                <w:color w:val="auto"/>
              </w:rPr>
              <w:t>53,968,303</w:t>
            </w: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80" w:type="dxa"/>
            <w:vAlign w:val="bottom"/>
            <w:shd w:val="clear" w:color="auto" w:fill="CFF0FC"/>
          </w:tcPr>
          <w:p>
            <w:pPr>
              <w:jc w:val="right"/>
              <w:ind w:right="53"/>
              <w:spacing w:after="0" w:line="129" w:lineRule="exact"/>
              <w:rPr>
                <w:sz w:val="20"/>
                <w:szCs w:val="20"/>
                <w:color w:val="auto"/>
              </w:rPr>
            </w:pPr>
            <w:r>
              <w:rPr>
                <w:rFonts w:ascii="Times New Roman" w:cs="Times New Roman" w:eastAsia="Times New Roman" w:hAnsi="Times New Roman"/>
                <w:sz w:val="13"/>
                <w:szCs w:val="13"/>
                <w:color w:val="auto"/>
              </w:rPr>
              <w:t>54</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72"/>
              <w:spacing w:after="0" w:line="129" w:lineRule="exact"/>
              <w:rPr>
                <w:sz w:val="20"/>
                <w:szCs w:val="20"/>
                <w:color w:val="auto"/>
              </w:rPr>
            </w:pPr>
            <w:r>
              <w:rPr>
                <w:rFonts w:ascii="Times New Roman" w:cs="Times New Roman" w:eastAsia="Times New Roman" w:hAnsi="Times New Roman"/>
                <w:sz w:val="13"/>
                <w:szCs w:val="13"/>
                <w:color w:val="auto"/>
              </w:rPr>
              <w:t>762,248</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52"/>
              <w:spacing w:after="0" w:line="129" w:lineRule="exact"/>
              <w:rPr>
                <w:sz w:val="20"/>
                <w:szCs w:val="20"/>
                <w:color w:val="auto"/>
              </w:rPr>
            </w:pPr>
            <w:r>
              <w:rPr>
                <w:rFonts w:ascii="Times New Roman" w:cs="Times New Roman" w:eastAsia="Times New Roman" w:hAnsi="Times New Roman"/>
                <w:sz w:val="13"/>
                <w:szCs w:val="13"/>
                <w:color w:val="auto"/>
              </w:rPr>
              <w:t>130</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(519,398)</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52"/>
              <w:spacing w:after="0" w:line="129" w:lineRule="exact"/>
              <w:rPr>
                <w:sz w:val="20"/>
                <w:szCs w:val="20"/>
                <w:color w:val="auto"/>
              </w:rPr>
            </w:pPr>
            <w:r>
              <w:rPr>
                <w:rFonts w:ascii="Times New Roman" w:cs="Times New Roman" w:eastAsia="Times New Roman" w:hAnsi="Times New Roman"/>
                <w:sz w:val="13"/>
                <w:szCs w:val="13"/>
                <w:color w:val="auto"/>
              </w:rPr>
              <w:t>243,034</w:t>
            </w:r>
          </w:p>
        </w:tc>
        <w:tc>
          <w:tcPr>
            <w:tcW w:w="0" w:type="dxa"/>
            <w:vAlign w:val="bottom"/>
          </w:tcPr>
          <w:p>
            <w:pPr>
              <w:spacing w:after="0"/>
              <w:rPr>
                <w:sz w:val="1"/>
                <w:szCs w:val="1"/>
                <w:color w:val="auto"/>
              </w:rPr>
            </w:pPr>
          </w:p>
        </w:tc>
      </w:tr>
      <w:tr>
        <w:trPr>
          <w:trHeight w:val="148"/>
        </w:trPr>
        <w:tc>
          <w:tcPr>
            <w:tcW w:w="44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Vesting of restricted stock awards</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11,003</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44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3"/>
                <w:szCs w:val="13"/>
                <w:color w:val="auto"/>
              </w:rPr>
              <w:t>3,167</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3,167</w:t>
            </w:r>
          </w:p>
        </w:tc>
        <w:tc>
          <w:tcPr>
            <w:tcW w:w="0" w:type="dxa"/>
            <w:vAlign w:val="bottom"/>
          </w:tcPr>
          <w:p>
            <w:pPr>
              <w:spacing w:after="0"/>
              <w:rPr>
                <w:sz w:val="1"/>
                <w:szCs w:val="1"/>
                <w:color w:val="auto"/>
              </w:rPr>
            </w:pPr>
          </w:p>
        </w:tc>
      </w:tr>
      <w:tr>
        <w:trPr>
          <w:trHeight w:val="148"/>
        </w:trPr>
        <w:tc>
          <w:tcPr>
            <w:tcW w:w="44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Unrealized loss on marketable securities</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0" w:type="dxa"/>
            <w:vAlign w:val="bottom"/>
          </w:tcPr>
          <w:p>
            <w:pPr>
              <w:spacing w:after="0"/>
              <w:rPr>
                <w:sz w:val="1"/>
                <w:szCs w:val="1"/>
                <w:color w:val="auto"/>
              </w:rPr>
            </w:pPr>
          </w:p>
        </w:tc>
      </w:tr>
      <w:tr>
        <w:trPr>
          <w:trHeight w:val="148"/>
        </w:trPr>
        <w:tc>
          <w:tcPr>
            <w:tcW w:w="440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Net loss</w:t>
            </w:r>
          </w:p>
        </w:tc>
        <w:tc>
          <w:tcPr>
            <w:tcW w:w="10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(17,655)</w:t>
            </w: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(17,655)</w:t>
            </w:r>
          </w:p>
        </w:tc>
        <w:tc>
          <w:tcPr>
            <w:tcW w:w="0" w:type="dxa"/>
            <w:vAlign w:val="bottom"/>
          </w:tcPr>
          <w:p>
            <w:pPr>
              <w:spacing w:after="0"/>
              <w:rPr>
                <w:sz w:val="1"/>
                <w:szCs w:val="1"/>
                <w:color w:val="auto"/>
              </w:rPr>
            </w:pPr>
          </w:p>
        </w:tc>
      </w:tr>
      <w:tr>
        <w:trPr>
          <w:trHeight w:val="142"/>
        </w:trPr>
        <w:tc>
          <w:tcPr>
            <w:tcW w:w="440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auto"/>
              </w:rPr>
              <w:t>Balance at March 31, 2025</w:t>
            </w:r>
          </w:p>
        </w:tc>
        <w:tc>
          <w:tcPr>
            <w:tcW w:w="108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3"/>
                <w:szCs w:val="13"/>
                <w:color w:val="auto"/>
              </w:rPr>
              <w:t>53,979,306</w:t>
            </w:r>
          </w:p>
        </w:tc>
        <w:tc>
          <w:tcPr>
            <w:tcW w:w="860" w:type="dxa"/>
            <w:vAlign w:val="bottom"/>
            <w:gridSpan w:val="2"/>
          </w:tcPr>
          <w:p>
            <w:pPr>
              <w:jc w:val="right"/>
              <w:ind w:right="61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54</w:t>
            </w: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3"/>
                <w:szCs w:val="13"/>
                <w:color w:val="auto"/>
              </w:rPr>
              <w:t>765,415</w:t>
            </w:r>
          </w:p>
        </w:tc>
        <w:tc>
          <w:tcPr>
            <w:tcW w:w="18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3"/>
                <w:szCs w:val="13"/>
                <w:color w:val="auto"/>
              </w:rPr>
              <w:t>70</w:t>
            </w:r>
          </w:p>
        </w:tc>
        <w:tc>
          <w:tcPr>
            <w:tcW w:w="26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(537,053)</w:t>
            </w:r>
          </w:p>
        </w:tc>
        <w:tc>
          <w:tcPr>
            <w:tcW w:w="280" w:type="dxa"/>
            <w:vAlign w:val="bottom"/>
            <w:gridSpan w:val="2"/>
          </w:tcPr>
          <w:p>
            <w:pPr>
              <w:jc w:val="right"/>
              <w:ind w:right="36"/>
              <w:spacing w:after="0" w:line="142"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3"/>
                <w:szCs w:val="13"/>
                <w:color w:val="auto"/>
              </w:rPr>
              <w:t>228,486</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0" w:type="dxa"/>
            <w:vAlign w:val="bottom"/>
            <w:gridSpan w:val="2"/>
            <w:shd w:val="clear" w:color="auto" w:fill="CFF0FC"/>
          </w:tcPr>
          <w:p>
            <w:pPr>
              <w:ind w:left="80"/>
              <w:spacing w:after="0" w:line="129" w:lineRule="exact"/>
              <w:rPr>
                <w:sz w:val="20"/>
                <w:szCs w:val="20"/>
                <w:color w:val="auto"/>
              </w:rPr>
            </w:pPr>
            <w:r>
              <w:rPr>
                <w:rFonts w:ascii="Times New Roman" w:cs="Times New Roman" w:eastAsia="Times New Roman" w:hAnsi="Times New Roman"/>
                <w:sz w:val="13"/>
                <w:szCs w:val="13"/>
                <w:color w:val="auto"/>
              </w:rPr>
              <w:t>Issuance of common stock under employee benefit plans</w:t>
            </w:r>
          </w:p>
        </w:tc>
        <w:tc>
          <w:tcPr>
            <w:tcW w:w="1080" w:type="dxa"/>
            <w:vAlign w:val="bottom"/>
            <w:shd w:val="clear" w:color="auto" w:fill="CFF0FC"/>
          </w:tcPr>
          <w:p>
            <w:pPr>
              <w:jc w:val="right"/>
              <w:ind w:right="52"/>
              <w:spacing w:after="0" w:line="129" w:lineRule="exact"/>
              <w:rPr>
                <w:sz w:val="20"/>
                <w:szCs w:val="20"/>
                <w:color w:val="auto"/>
              </w:rPr>
            </w:pPr>
            <w:r>
              <w:rPr>
                <w:rFonts w:ascii="Times New Roman" w:cs="Times New Roman" w:eastAsia="Times New Roman" w:hAnsi="Times New Roman"/>
                <w:sz w:val="13"/>
                <w:szCs w:val="13"/>
                <w:color w:val="auto"/>
              </w:rPr>
              <w:t>103,780</w:t>
            </w: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80" w:type="dxa"/>
            <w:vAlign w:val="bottom"/>
            <w:shd w:val="clear" w:color="auto" w:fill="CFF0FC"/>
          </w:tcPr>
          <w:p>
            <w:pPr>
              <w:jc w:val="right"/>
              <w:ind w:right="53"/>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72"/>
              <w:spacing w:after="0" w:line="129" w:lineRule="exact"/>
              <w:rPr>
                <w:sz w:val="20"/>
                <w:szCs w:val="20"/>
                <w:color w:val="auto"/>
              </w:rPr>
            </w:pPr>
            <w:r>
              <w:rPr>
                <w:rFonts w:ascii="Times New Roman" w:cs="Times New Roman" w:eastAsia="Times New Roman" w:hAnsi="Times New Roman"/>
                <w:sz w:val="13"/>
                <w:szCs w:val="13"/>
                <w:color w:val="auto"/>
              </w:rPr>
              <w:t>301</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52"/>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52"/>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52"/>
              <w:spacing w:after="0" w:line="129" w:lineRule="exact"/>
              <w:rPr>
                <w:sz w:val="20"/>
                <w:szCs w:val="20"/>
                <w:color w:val="auto"/>
              </w:rPr>
            </w:pPr>
            <w:r>
              <w:rPr>
                <w:rFonts w:ascii="Times New Roman" w:cs="Times New Roman" w:eastAsia="Times New Roman" w:hAnsi="Times New Roman"/>
                <w:sz w:val="13"/>
                <w:szCs w:val="13"/>
                <w:color w:val="auto"/>
              </w:rPr>
              <w:t>301</w:t>
            </w:r>
          </w:p>
        </w:tc>
        <w:tc>
          <w:tcPr>
            <w:tcW w:w="0" w:type="dxa"/>
            <w:vAlign w:val="bottom"/>
          </w:tcPr>
          <w:p>
            <w:pPr>
              <w:spacing w:after="0"/>
              <w:rPr>
                <w:sz w:val="1"/>
                <w:szCs w:val="1"/>
                <w:color w:val="auto"/>
              </w:rPr>
            </w:pPr>
          </w:p>
        </w:tc>
      </w:tr>
      <w:tr>
        <w:trPr>
          <w:trHeight w:val="148"/>
        </w:trPr>
        <w:tc>
          <w:tcPr>
            <w:tcW w:w="44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Vesting of restricted stock awards</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8,502</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44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3"/>
                <w:szCs w:val="13"/>
                <w:color w:val="auto"/>
              </w:rPr>
              <w:t>2,875</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2,875</w:t>
            </w:r>
          </w:p>
        </w:tc>
        <w:tc>
          <w:tcPr>
            <w:tcW w:w="0" w:type="dxa"/>
            <w:vAlign w:val="bottom"/>
          </w:tcPr>
          <w:p>
            <w:pPr>
              <w:spacing w:after="0"/>
              <w:rPr>
                <w:sz w:val="1"/>
                <w:szCs w:val="1"/>
                <w:color w:val="auto"/>
              </w:rPr>
            </w:pPr>
          </w:p>
        </w:tc>
      </w:tr>
      <w:tr>
        <w:trPr>
          <w:trHeight w:val="149"/>
        </w:trPr>
        <w:tc>
          <w:tcPr>
            <w:tcW w:w="44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Unrealized gain on marketable securities</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48"/>
        </w:trPr>
        <w:tc>
          <w:tcPr>
            <w:tcW w:w="440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Net loss</w:t>
            </w:r>
          </w:p>
        </w:tc>
        <w:tc>
          <w:tcPr>
            <w:tcW w:w="10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(17,296)</w:t>
            </w: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(17,296)</w:t>
            </w:r>
          </w:p>
        </w:tc>
        <w:tc>
          <w:tcPr>
            <w:tcW w:w="0" w:type="dxa"/>
            <w:vAlign w:val="bottom"/>
          </w:tcPr>
          <w:p>
            <w:pPr>
              <w:spacing w:after="0"/>
              <w:rPr>
                <w:sz w:val="1"/>
                <w:szCs w:val="1"/>
                <w:color w:val="auto"/>
              </w:rPr>
            </w:pPr>
          </w:p>
        </w:tc>
      </w:tr>
      <w:tr>
        <w:trPr>
          <w:trHeight w:val="142"/>
        </w:trPr>
        <w:tc>
          <w:tcPr>
            <w:tcW w:w="440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auto"/>
              </w:rPr>
              <w:t>Balance at June 30, 2025</w:t>
            </w:r>
          </w:p>
        </w:tc>
        <w:tc>
          <w:tcPr>
            <w:tcW w:w="108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3"/>
                <w:szCs w:val="13"/>
                <w:color w:val="auto"/>
              </w:rPr>
              <w:t>54,091,588</w:t>
            </w:r>
          </w:p>
        </w:tc>
        <w:tc>
          <w:tcPr>
            <w:tcW w:w="860" w:type="dxa"/>
            <w:vAlign w:val="bottom"/>
            <w:gridSpan w:val="2"/>
          </w:tcPr>
          <w:p>
            <w:pPr>
              <w:jc w:val="right"/>
              <w:ind w:right="61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54</w:t>
            </w: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3"/>
                <w:szCs w:val="13"/>
                <w:color w:val="auto"/>
              </w:rPr>
              <w:t>768,591</w:t>
            </w:r>
          </w:p>
        </w:tc>
        <w:tc>
          <w:tcPr>
            <w:tcW w:w="18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3"/>
                <w:szCs w:val="13"/>
                <w:color w:val="auto"/>
              </w:rPr>
              <w:t>82</w:t>
            </w:r>
          </w:p>
        </w:tc>
        <w:tc>
          <w:tcPr>
            <w:tcW w:w="26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(554,349)</w:t>
            </w:r>
          </w:p>
        </w:tc>
        <w:tc>
          <w:tcPr>
            <w:tcW w:w="280" w:type="dxa"/>
            <w:vAlign w:val="bottom"/>
            <w:gridSpan w:val="2"/>
          </w:tcPr>
          <w:p>
            <w:pPr>
              <w:jc w:val="right"/>
              <w:ind w:right="36"/>
              <w:spacing w:after="0" w:line="142"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3"/>
                <w:szCs w:val="13"/>
                <w:color w:val="auto"/>
              </w:rPr>
              <w:t>214,378</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0" w:type="dxa"/>
            <w:vAlign w:val="bottom"/>
            <w:gridSpan w:val="2"/>
            <w:shd w:val="clear" w:color="auto" w:fill="CFF0FC"/>
          </w:tcPr>
          <w:p>
            <w:pPr>
              <w:ind w:left="80"/>
              <w:spacing w:after="0" w:line="129" w:lineRule="exact"/>
              <w:rPr>
                <w:sz w:val="20"/>
                <w:szCs w:val="20"/>
                <w:color w:val="auto"/>
              </w:rPr>
            </w:pPr>
            <w:r>
              <w:rPr>
                <w:rFonts w:ascii="Times New Roman" w:cs="Times New Roman" w:eastAsia="Times New Roman" w:hAnsi="Times New Roman"/>
                <w:sz w:val="13"/>
                <w:szCs w:val="13"/>
                <w:color w:val="auto"/>
              </w:rPr>
              <w:t>Issuance of common stock under employee benefit plans</w:t>
            </w:r>
          </w:p>
        </w:tc>
        <w:tc>
          <w:tcPr>
            <w:tcW w:w="1080" w:type="dxa"/>
            <w:vAlign w:val="bottom"/>
            <w:shd w:val="clear" w:color="auto" w:fill="CFF0FC"/>
          </w:tcPr>
          <w:p>
            <w:pPr>
              <w:jc w:val="right"/>
              <w:ind w:right="52"/>
              <w:spacing w:after="0" w:line="129" w:lineRule="exact"/>
              <w:rPr>
                <w:sz w:val="20"/>
                <w:szCs w:val="20"/>
                <w:color w:val="auto"/>
              </w:rPr>
            </w:pPr>
            <w:r>
              <w:rPr>
                <w:rFonts w:ascii="Times New Roman" w:cs="Times New Roman" w:eastAsia="Times New Roman" w:hAnsi="Times New Roman"/>
                <w:sz w:val="13"/>
                <w:szCs w:val="13"/>
                <w:color w:val="auto"/>
              </w:rPr>
              <w:t>16,850</w:t>
            </w: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80" w:type="dxa"/>
            <w:vAlign w:val="bottom"/>
            <w:shd w:val="clear" w:color="auto" w:fill="CFF0FC"/>
          </w:tcPr>
          <w:p>
            <w:pPr>
              <w:jc w:val="right"/>
              <w:ind w:right="53"/>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72"/>
              <w:spacing w:after="0" w:line="129" w:lineRule="exact"/>
              <w:rPr>
                <w:sz w:val="20"/>
                <w:szCs w:val="20"/>
                <w:color w:val="auto"/>
              </w:rPr>
            </w:pPr>
            <w:r>
              <w:rPr>
                <w:rFonts w:ascii="Times New Roman" w:cs="Times New Roman" w:eastAsia="Times New Roman" w:hAnsi="Times New Roman"/>
                <w:sz w:val="13"/>
                <w:szCs w:val="13"/>
                <w:color w:val="auto"/>
              </w:rPr>
              <w:t>64</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52"/>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52"/>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52"/>
              <w:spacing w:after="0" w:line="129" w:lineRule="exact"/>
              <w:rPr>
                <w:sz w:val="20"/>
                <w:szCs w:val="20"/>
                <w:color w:val="auto"/>
              </w:rPr>
            </w:pPr>
            <w:r>
              <w:rPr>
                <w:rFonts w:ascii="Times New Roman" w:cs="Times New Roman" w:eastAsia="Times New Roman" w:hAnsi="Times New Roman"/>
                <w:sz w:val="13"/>
                <w:szCs w:val="13"/>
                <w:color w:val="auto"/>
              </w:rPr>
              <w:t>64</w:t>
            </w:r>
          </w:p>
        </w:tc>
        <w:tc>
          <w:tcPr>
            <w:tcW w:w="0" w:type="dxa"/>
            <w:vAlign w:val="bottom"/>
          </w:tcPr>
          <w:p>
            <w:pPr>
              <w:spacing w:after="0"/>
              <w:rPr>
                <w:sz w:val="1"/>
                <w:szCs w:val="1"/>
                <w:color w:val="auto"/>
              </w:rPr>
            </w:pPr>
          </w:p>
        </w:tc>
      </w:tr>
      <w:tr>
        <w:trPr>
          <w:trHeight w:val="148"/>
        </w:trPr>
        <w:tc>
          <w:tcPr>
            <w:tcW w:w="44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3"/>
                <w:szCs w:val="13"/>
                <w:color w:val="auto"/>
              </w:rPr>
              <w:t>3,360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3,360</w:t>
            </w:r>
          </w:p>
        </w:tc>
        <w:tc>
          <w:tcPr>
            <w:tcW w:w="0" w:type="dxa"/>
            <w:vAlign w:val="bottom"/>
          </w:tcPr>
          <w:p>
            <w:pPr>
              <w:spacing w:after="0"/>
              <w:rPr>
                <w:sz w:val="1"/>
                <w:szCs w:val="1"/>
                <w:color w:val="auto"/>
              </w:rPr>
            </w:pPr>
          </w:p>
        </w:tc>
      </w:tr>
      <w:tr>
        <w:trPr>
          <w:trHeight w:val="148"/>
        </w:trPr>
        <w:tc>
          <w:tcPr>
            <w:tcW w:w="44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Unrealized gain on marketable securities</w:t>
            </w:r>
          </w:p>
        </w:tc>
        <w:tc>
          <w:tcPr>
            <w:tcW w:w="10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159</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159</w:t>
            </w:r>
          </w:p>
        </w:tc>
        <w:tc>
          <w:tcPr>
            <w:tcW w:w="0" w:type="dxa"/>
            <w:vAlign w:val="bottom"/>
          </w:tcPr>
          <w:p>
            <w:pPr>
              <w:spacing w:after="0"/>
              <w:rPr>
                <w:sz w:val="1"/>
                <w:szCs w:val="1"/>
                <w:color w:val="auto"/>
              </w:rPr>
            </w:pPr>
          </w:p>
        </w:tc>
      </w:tr>
      <w:tr>
        <w:trPr>
          <w:trHeight w:val="149"/>
        </w:trPr>
        <w:tc>
          <w:tcPr>
            <w:tcW w:w="44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Net loss</w:t>
            </w:r>
          </w:p>
        </w:tc>
        <w:tc>
          <w:tcPr>
            <w:tcW w:w="10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(19,595)</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(19,595)</w:t>
            </w:r>
          </w:p>
        </w:tc>
        <w:tc>
          <w:tcPr>
            <w:tcW w:w="0" w:type="dxa"/>
            <w:vAlign w:val="bottom"/>
          </w:tcPr>
          <w:p>
            <w:pPr>
              <w:spacing w:after="0"/>
              <w:rPr>
                <w:sz w:val="1"/>
                <w:szCs w:val="1"/>
                <w:color w:val="auto"/>
              </w:rPr>
            </w:pPr>
          </w:p>
        </w:tc>
      </w:tr>
      <w:tr>
        <w:trPr>
          <w:trHeight w:val="182"/>
        </w:trPr>
        <w:tc>
          <w:tcPr>
            <w:tcW w:w="428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Balance at September 30, 2025</w:t>
            </w:r>
          </w:p>
        </w:tc>
        <w:tc>
          <w:tcPr>
            <w:tcW w:w="120" w:type="dxa"/>
            <w:vAlign w:val="bottom"/>
          </w:tcPr>
          <w:p>
            <w:pPr>
              <w:spacing w:after="0"/>
              <w:rPr>
                <w:sz w:val="15"/>
                <w:szCs w:val="15"/>
                <w:color w:val="auto"/>
              </w:rPr>
            </w:pPr>
          </w:p>
        </w:tc>
        <w:tc>
          <w:tcPr>
            <w:tcW w:w="1080" w:type="dxa"/>
            <w:vAlign w:val="bottom"/>
            <w:tcBorders>
              <w:bottom w:val="single" w:sz="8" w:color="auto"/>
            </w:tcBorders>
            <w:shd w:val="clear" w:color="auto" w:fill="CFF0FC"/>
          </w:tcPr>
          <w:p>
            <w:pPr>
              <w:jc w:val="right"/>
              <w:ind w:right="52"/>
              <w:spacing w:after="0" w:line="142" w:lineRule="exact"/>
              <w:rPr>
                <w:sz w:val="20"/>
                <w:szCs w:val="20"/>
                <w:color w:val="auto"/>
              </w:rPr>
            </w:pPr>
            <w:r>
              <w:rPr>
                <w:rFonts w:ascii="Times New Roman" w:cs="Times New Roman" w:eastAsia="Times New Roman" w:hAnsi="Times New Roman"/>
                <w:sz w:val="13"/>
                <w:szCs w:val="13"/>
                <w:color w:val="auto"/>
              </w:rPr>
              <w:t>54,108,438</w:t>
            </w:r>
          </w:p>
        </w:tc>
        <w:tc>
          <w:tcPr>
            <w:tcW w:w="10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ind w:right="61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bottom w:val="single" w:sz="8" w:color="auto"/>
            </w:tcBorders>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54</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FF0FC"/>
          </w:tcPr>
          <w:p>
            <w:pPr>
              <w:jc w:val="right"/>
              <w:ind w:right="72"/>
              <w:spacing w:after="0" w:line="142" w:lineRule="exact"/>
              <w:rPr>
                <w:sz w:val="20"/>
                <w:szCs w:val="20"/>
                <w:color w:val="auto"/>
              </w:rPr>
            </w:pPr>
            <w:r>
              <w:rPr>
                <w:rFonts w:ascii="Times New Roman" w:cs="Times New Roman" w:eastAsia="Times New Roman" w:hAnsi="Times New Roman"/>
                <w:sz w:val="13"/>
                <w:szCs w:val="13"/>
                <w:color w:val="auto"/>
              </w:rPr>
              <w:t>772,015</w:t>
            </w: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FF0FC"/>
          </w:tcPr>
          <w:p>
            <w:pPr>
              <w:jc w:val="right"/>
              <w:ind w:right="52"/>
              <w:spacing w:after="0" w:line="142" w:lineRule="exact"/>
              <w:rPr>
                <w:sz w:val="20"/>
                <w:szCs w:val="20"/>
                <w:color w:val="auto"/>
              </w:rPr>
            </w:pPr>
            <w:r>
              <w:rPr>
                <w:rFonts w:ascii="Times New Roman" w:cs="Times New Roman" w:eastAsia="Times New Roman" w:hAnsi="Times New Roman"/>
                <w:sz w:val="13"/>
                <w:szCs w:val="13"/>
                <w:color w:val="auto"/>
              </w:rPr>
              <w:t>241</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1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(573,944)</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FF0FC"/>
          </w:tcPr>
          <w:p>
            <w:pPr>
              <w:jc w:val="right"/>
              <w:ind w:right="52"/>
              <w:spacing w:after="0" w:line="142" w:lineRule="exact"/>
              <w:rPr>
                <w:sz w:val="20"/>
                <w:szCs w:val="20"/>
                <w:color w:val="auto"/>
              </w:rPr>
            </w:pPr>
            <w:r>
              <w:rPr>
                <w:rFonts w:ascii="Times New Roman" w:cs="Times New Roman" w:eastAsia="Times New Roman" w:hAnsi="Times New Roman"/>
                <w:sz w:val="13"/>
                <w:szCs w:val="13"/>
                <w:color w:val="auto"/>
              </w:rPr>
              <w:t>198,366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-3025140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-3007995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-3025140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-3007995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-3025140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-3007995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-3025140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-3007995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-3025140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-3007995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-2425065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-2408555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-2425065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-2408555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-2425065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-2408555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-2425065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-2408555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-2425065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-2408555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-1833880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-1833880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-1833880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-1833880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-1833880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-1233805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-1233805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-1233805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-1233805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-1233805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-633730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-633730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-633730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-633730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-633730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-25400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-8255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-25400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-8255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-25400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-8255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-25400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-25400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-8255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5"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7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6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7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03"/>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1680" w:type="dxa"/>
            <w:vAlign w:val="bottom"/>
            <w:gridSpan w:val="2"/>
          </w:tcPr>
          <w:p>
            <w:pPr>
              <w:jc w:val="right"/>
              <w:ind w:right="76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(54,546)</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6,843</w:t>
            </w:r>
          </w:p>
        </w:tc>
      </w:tr>
      <w:tr>
        <w:trPr>
          <w:trHeight w:val="203"/>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income to net cash (used in) provided by operating activities:</w:t>
            </w:r>
          </w:p>
        </w:tc>
        <w:tc>
          <w:tcPr>
            <w:tcW w:w="7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03"/>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expense</w:t>
            </w: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1,043</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1,224</w:t>
            </w:r>
          </w:p>
        </w:tc>
      </w:tr>
      <w:tr>
        <w:trPr>
          <w:trHeight w:val="203"/>
        </w:trPr>
        <w:tc>
          <w:tcPr>
            <w:tcW w:w="7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9,402</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12,077</w:t>
            </w:r>
          </w:p>
        </w:tc>
      </w:tr>
      <w:tr>
        <w:trPr>
          <w:trHeight w:val="203"/>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accretion of discounts on marketable securities</w:t>
            </w: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(2,570)</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(3,447)</w:t>
            </w:r>
          </w:p>
        </w:tc>
      </w:tr>
      <w:tr>
        <w:trPr>
          <w:trHeight w:val="203"/>
        </w:trPr>
        <w:tc>
          <w:tcPr>
            <w:tcW w:w="7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7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03"/>
        </w:trPr>
        <w:tc>
          <w:tcPr>
            <w:tcW w:w="70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Unbilled accounts receivable</w:t>
            </w: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2,096</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(3,119)</w:t>
            </w:r>
          </w:p>
        </w:tc>
      </w:tr>
      <w:tr>
        <w:trPr>
          <w:trHeight w:val="203"/>
        </w:trPr>
        <w:tc>
          <w:tcPr>
            <w:tcW w:w="70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7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1,588</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(1,158)</w:t>
            </w:r>
          </w:p>
        </w:tc>
      </w:tr>
      <w:tr>
        <w:trPr>
          <w:trHeight w:val="203"/>
        </w:trPr>
        <w:tc>
          <w:tcPr>
            <w:tcW w:w="70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Operating lease assets and liabilities</w:t>
            </w: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r>
      <w:tr>
        <w:trPr>
          <w:trHeight w:val="203"/>
        </w:trPr>
        <w:tc>
          <w:tcPr>
            <w:tcW w:w="70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Other assets</w:t>
            </w:r>
          </w:p>
        </w:tc>
        <w:tc>
          <w:tcPr>
            <w:tcW w:w="7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1,935</w:t>
            </w:r>
          </w:p>
        </w:tc>
      </w:tr>
      <w:tr>
        <w:trPr>
          <w:trHeight w:val="203"/>
        </w:trPr>
        <w:tc>
          <w:tcPr>
            <w:tcW w:w="70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1,533</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1,104</w:t>
            </w:r>
          </w:p>
        </w:tc>
      </w:tr>
      <w:tr>
        <w:trPr>
          <w:trHeight w:val="203"/>
        </w:trPr>
        <w:tc>
          <w:tcPr>
            <w:tcW w:w="70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76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(392)</w:t>
            </w:r>
          </w:p>
        </w:tc>
      </w:tr>
      <w:tr>
        <w:trPr>
          <w:trHeight w:val="196"/>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1680" w:type="dxa"/>
            <w:vAlign w:val="bottom"/>
            <w:gridSpan w:val="2"/>
          </w:tcPr>
          <w:p>
            <w:pPr>
              <w:jc w:val="right"/>
              <w:ind w:right="76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(43,267)</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14,543</w:t>
            </w:r>
          </w:p>
        </w:tc>
      </w:tr>
      <w:tr>
        <w:trPr>
          <w:trHeight w:val="203"/>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7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03"/>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(154,083)</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(157,185)</w:t>
            </w:r>
          </w:p>
        </w:tc>
      </w:tr>
      <w:tr>
        <w:trPr>
          <w:trHeight w:val="203"/>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7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186,006</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187,202</w:t>
            </w:r>
          </w:p>
        </w:tc>
      </w:tr>
      <w:tr>
        <w:trPr>
          <w:trHeight w:val="203"/>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7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196"/>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7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31,768</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29,970</w:t>
            </w:r>
          </w:p>
        </w:tc>
      </w:tr>
      <w:tr>
        <w:trPr>
          <w:trHeight w:val="203"/>
        </w:trPr>
        <w:tc>
          <w:tcPr>
            <w:tcW w:w="7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7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issuance of common stock under benefit plans, net</w:t>
            </w:r>
          </w:p>
        </w:tc>
        <w:tc>
          <w:tcPr>
            <w:tcW w:w="76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365</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2,663</w:t>
            </w:r>
          </w:p>
        </w:tc>
      </w:tr>
      <w:tr>
        <w:trPr>
          <w:trHeight w:val="196"/>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7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365</w:t>
            </w: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2,663</w:t>
            </w:r>
          </w:p>
        </w:tc>
      </w:tr>
      <w:tr>
        <w:trPr>
          <w:trHeight w:val="196"/>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7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(11,134)</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47,176</w:t>
            </w:r>
          </w:p>
        </w:tc>
      </w:tr>
      <w:tr>
        <w:trPr>
          <w:trHeight w:val="203"/>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7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59,413</w:t>
            </w: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26,655</w:t>
            </w:r>
          </w:p>
        </w:tc>
      </w:tr>
      <w:tr>
        <w:trPr>
          <w:trHeight w:val="236"/>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168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48,279</w:t>
            </w:r>
          </w:p>
        </w:tc>
        <w:tc>
          <w:tcPr>
            <w:tcW w:w="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73,831</w:t>
            </w:r>
          </w:p>
        </w:tc>
      </w:tr>
      <w:tr>
        <w:trPr>
          <w:trHeight w:val="183"/>
        </w:trPr>
        <w:tc>
          <w:tcPr>
            <w:tcW w:w="7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760" w:type="dxa"/>
            <w:vAlign w:val="bottom"/>
            <w:tcBorders>
              <w:top w:val="single" w:sz="8" w:color="CFF0FC"/>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r>
      <w:tr>
        <w:trPr>
          <w:trHeight w:val="203"/>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paid for operating lease liabilities</w:t>
            </w:r>
          </w:p>
        </w:tc>
        <w:tc>
          <w:tcPr>
            <w:tcW w:w="168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1,978</w:t>
            </w:r>
          </w:p>
        </w:tc>
        <w:tc>
          <w:tcPr>
            <w:tcW w:w="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2,131</w:t>
            </w:r>
          </w:p>
        </w:tc>
      </w:tr>
      <w:tr>
        <w:trPr>
          <w:trHeight w:val="203"/>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 purchases unpaid at end of period</w:t>
            </w:r>
          </w:p>
        </w:tc>
        <w:tc>
          <w:tcPr>
            <w:tcW w:w="168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159</w:t>
            </w:r>
          </w:p>
        </w:tc>
        <w:tc>
          <w:tcPr>
            <w:tcW w:w="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-2125345</wp:posOffset>
            </wp:positionV>
            <wp:extent cx="1028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-1079500</wp:posOffset>
            </wp:positionV>
            <wp:extent cx="1028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-539115</wp:posOffset>
            </wp:positionV>
            <wp:extent cx="1028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-521970</wp:posOffset>
            </wp:positionV>
            <wp:extent cx="1028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reconciliation of the cash, cash equivalents, and restricted cash balances as of each of the periods shown above: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7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47,078</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7"/>
                <w:szCs w:val="17"/>
                <w:color w:val="auto"/>
              </w:rPr>
              <w:t>72,630</w:t>
            </w: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1,201</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7"/>
                <w:szCs w:val="17"/>
                <w:color w:val="auto"/>
              </w:rPr>
              <w:t>1,201</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48,279</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73,831</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22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Fulcrum Therapeutics, Inc. (the “Company”) was incorporated in Delaware on August 18, 2015. The Company is focused on developing small molecules to improve the lives of patients with genetically-defined rare diseases in areas of high unmet medical need.</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companies in the biotechnology industry, including, but not limited to, risks of failure of preclinical studies and clinical trials, dependence on key personnel, protection of proprietary technology, reliance on third party organizations, risks of obtaining regulatory approval for any product candidate that it may develop, development by competitors of technological innovations,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accompanying consolidated financial statements and footnotes to the financial statements have been prepared on the same basis as the most recently audited annual consolidated financial statements and, in the opinion of management, reflect all normal recurring adjustments necessary for the fair presentation of the Company’s financial position as of September 30, 2025 and the results of its operations and its cash flows for the three and nine months ended September 30, 2025 and 2024. The results for the three and nine months ended September 30, 2025 are not necessarily indicative of results to be expected for the year ending December 31, 2025, any other interim periods, or any future year or period. These consolidated financial statements should be read in conjunction with the Company’s audited consolidated financial statements and the notes thereto for the year ended December 31, 2024 included in the Company’s Annual Report on Form 10-K filed with the Securities and Exchange Commission (the “SEC”) on February 25, 2025 (the “Annual Report on Form 10-K”).</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has incurred recurring losses and negative cash flows from operations since inception and has primarily funded its operations with proceeds from the sale of shares of its capital stock and from upfront payments received from collaboration and license agreements. As of September 30, 2025, the Company had an accumulated deficit of $573.9 million. The Company expects its operating losses and negative operating cash flows to continue into the foreseeable future as it continues to advance and expand its research and development efforts. The Company expects to finance its future cash needs through a combination of equity offerings, debt financings, collaborations, strategic alliances and marketing, distribution or licensing arrangements.</w:t>
      </w:r>
    </w:p>
    <w:p>
      <w:pPr>
        <w:spacing w:after="0" w:line="18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expects that its cash, cash equivalents, and marketable securities will be sufficient to fund its operating expenses and capital expenditure requirements for at least 12 months from the date of issuance of these financial statements. However, the Company has based this estimate on assumptions that may prove to be wrong, and its operating plan may change as a result of many factors currently unknown to it. As a result, the Company could deplete its capital resources sooner than it currently expects. If the Company is unable to raise additional funds through equity or debt financings when needed, it may be required to delay, limit, reduce or terminate development or future commercialization efforts or grant rights to develop and market product candidates that it would otherwise prefer to develop and market itself.</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 owned subsidiary, Fulcrum Therapeutics Securities Corp., which is a Massachusetts subsidiary created to buy, sell, and hold securities. All intercompany transactions and balances have been eliminated.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significant accounting policies and estimates used in the preparation of the accompanying consolidated financial statements are described in the Company’s audited consolidated financial statements for the year ended December 31, 2024 included in the Company’s Annual Report on Form 10-K. There have been no material changes in the Company’s significant accounting policies during the nine months ended September 30,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collaborative arrangements, revenue from contracts with customers, accrued expenses, stock-based compensation expense,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Risk and Concentrations of Credit Risk</w:t>
      </w:r>
    </w:p>
    <w:p>
      <w:pPr>
        <w:spacing w:after="0" w:line="22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marketable securities,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money market funds that invest in U.S. Treasury securities, U.S. Treasury securities, and government agency securities. The Company’s marketable securities consist of U.S. Treasury securities, government agency securities, and corporate bonds, and potentially subject the Company to concentrations of credit risk. The Company has adopted an investment policy that limits the amounts the Company may invest in any one type of investment. The Company has not experienced any credit losses and does not believe it is exposed to any significant credit risk on these funds.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 To Be Adopted</w:t>
      </w:r>
    </w:p>
    <w:p>
      <w:pPr>
        <w:spacing w:after="0" w:line="22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Improvements to Income Tax Disclosures</w:t>
      </w:r>
      <w:r>
        <w:rPr>
          <w:rFonts w:ascii="Times New Roman" w:cs="Times New Roman" w:eastAsia="Times New Roman" w:hAnsi="Times New Roman"/>
          <w:sz w:val="18"/>
          <w:szCs w:val="18"/>
          <w:color w:val="auto"/>
        </w:rPr>
        <w:t>, which requires entities to disclose disaggregated information about their effective tax rate reconciliation and income taxes paid. The disclosure requirements will be applied on a prospective basis, with the option to apply them retrospectively. The standard is effective for annual reporting periods beginning after December 15, 2024, with early adoption permitted. The Company is currently evaluating the disclosure requirements related to this new standard.</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which requires disclosure of additional information about specific expense categories in the notes to the financial statements on an interim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basis. The standard is effective for fiscal years beginning after December 15, 2026, and for interim periods beginning after December 15, 2027, with early adoption permitted. The Company is currently evaluating the disclosure requirements related to this new standard.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 Adopted</w:t>
      </w:r>
    </w:p>
    <w:p>
      <w:pPr>
        <w:spacing w:after="0" w:line="227"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The standard updates reportable segment disclosure requirements, primarily through enhanced disclosures about significant segment expenses and information used to assess segment performance and requires companies to disclose all annual disclosures about segments in interim periods. The standard also requires companies with a single reportable segment to provide all disclosures required by Topic 280 – Segment Reporting. The new standard became effective for the Company on January 1, 2025. The adoption of this standard did not have a material impact on the Company’s consolidated financial position and results of operations. See Note 17, “Segment Information”, for further information regarding the adoption of this standard.</w:t>
      </w:r>
    </w:p>
    <w:p>
      <w:pPr>
        <w:spacing w:after="0" w:line="184"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In July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Company has evaluated the impact of the OBBBA and determined that it does not have a material impact on the Company’s consolidated financial position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and indicate the fair value hierarchy classification of such fair values as of September 30, 2025 and December 31, 2024 (in thousands):</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80" w:type="dxa"/>
            <w:vAlign w:val="bottom"/>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3"/>
        </w:trPr>
        <w:tc>
          <w:tcPr>
            <w:tcW w:w="5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42"/>
        </w:trPr>
        <w:tc>
          <w:tcPr>
            <w:tcW w:w="5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47,078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47,078</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220" w:type="dxa"/>
            <w:vAlign w:val="bottom"/>
          </w:tcPr>
          <w:p>
            <w:pPr>
              <w:spacing w:after="0"/>
              <w:rPr>
                <w:sz w:val="18"/>
                <w:szCs w:val="18"/>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4,977</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4,977</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145,090</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145,090</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200,645</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47,078</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153,567</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347"/>
        </w:trPr>
        <w:tc>
          <w:tcPr>
            <w:tcW w:w="5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3"/>
        </w:trPr>
        <w:tc>
          <w:tcPr>
            <w:tcW w:w="5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42"/>
        </w:trPr>
        <w:tc>
          <w:tcPr>
            <w:tcW w:w="5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45,722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45,722</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12,490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12,490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2,496</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2,496</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220" w:type="dxa"/>
            <w:vAlign w:val="bottom"/>
          </w:tcPr>
          <w:p>
            <w:pPr>
              <w:spacing w:after="0"/>
              <w:rPr>
                <w:sz w:val="18"/>
                <w:szCs w:val="18"/>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11,282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11,282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169,031</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169,031</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241,021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45,722</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195,299</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-1610995</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-1593850</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-1610995</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-1593850</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-1610995</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-1593850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-170815</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-170815</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fair value levels during the three and nine months ended September 30, 2025.</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4. Cash Equivalents and Marketable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equivalents and marketable securities consisted of the following as of September 30, 2025 and December 31, 2024 (in thousands):</w:t>
      </w:r>
    </w:p>
    <w:p>
      <w:pPr>
        <w:spacing w:after="0" w:line="246"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p>
      <w:pPr>
        <w:jc w:val="center"/>
        <w:ind w:left="5680"/>
        <w:spacing w:after="0"/>
        <w:rPr>
          <w:sz w:val="20"/>
          <w:szCs w:val="20"/>
          <w:color w:val="auto"/>
        </w:rPr>
      </w:pPr>
      <w:r>
        <w:rPr>
          <w:rFonts w:ascii="Times New Roman" w:cs="Times New Roman" w:eastAsia="Times New Roman" w:hAnsi="Times New Roman"/>
          <w:sz w:val="14"/>
          <w:szCs w:val="14"/>
          <w:b w:val="1"/>
          <w:bCs w:val="1"/>
          <w:color w:val="auto"/>
        </w:rPr>
        <w:t>September 30, 2025</w:t>
      </w:r>
    </w:p>
    <w:tbl>
      <w:tblPr>
        <w:tblLayout w:type="fixed"/>
        <w:tblInd w:w="0" w:type="dxa"/>
        <w:tblCellMar>
          <w:top w:w="0" w:type="dxa"/>
          <w:left w:w="0" w:type="dxa"/>
          <w:bottom w:w="0" w:type="dxa"/>
          <w:right w:w="0" w:type="dxa"/>
        </w:tblCellMar>
      </w:tblPr>
      <w:tr>
        <w:trPr>
          <w:trHeight w:val="117"/>
        </w:trPr>
        <w:tc>
          <w:tcPr>
            <w:tcW w:w="58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vMerge w:val="restart"/>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197"/>
              <w:spacing w:after="0" w:line="117"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216"/>
              <w:spacing w:after="0" w:line="117"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19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47,078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47,078</w:t>
            </w:r>
          </w:p>
        </w:tc>
        <w:tc>
          <w:tcPr>
            <w:tcW w:w="0" w:type="dxa"/>
            <w:vAlign w:val="bottom"/>
          </w:tcPr>
          <w:p>
            <w:pPr>
              <w:spacing w:after="0"/>
              <w:rPr>
                <w:sz w:val="1"/>
                <w:szCs w:val="1"/>
                <w:color w:val="auto"/>
              </w:rPr>
            </w:pPr>
          </w:p>
        </w:tc>
      </w:tr>
      <w:tr>
        <w:trPr>
          <w:trHeight w:val="209"/>
        </w:trPr>
        <w:tc>
          <w:tcPr>
            <w:tcW w:w="5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cash equivalents</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47,078</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47,078</w:t>
            </w:r>
          </w:p>
        </w:tc>
        <w:tc>
          <w:tcPr>
            <w:tcW w:w="0" w:type="dxa"/>
            <w:vAlign w:val="bottom"/>
          </w:tcPr>
          <w:p>
            <w:pPr>
              <w:spacing w:after="0"/>
              <w:rPr>
                <w:sz w:val="1"/>
                <w:szCs w:val="1"/>
                <w:color w:val="auto"/>
              </w:rPr>
            </w:pP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3,499</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Pr>
          <w:p>
            <w:pPr>
              <w:spacing w:after="0"/>
              <w:rPr>
                <w:sz w:val="18"/>
                <w:szCs w:val="18"/>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4,976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4,977</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144,851</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246</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145,090</w:t>
            </w:r>
          </w:p>
        </w:tc>
        <w:tc>
          <w:tcPr>
            <w:tcW w:w="0" w:type="dxa"/>
            <w:vAlign w:val="bottom"/>
          </w:tcPr>
          <w:p>
            <w:pPr>
              <w:spacing w:after="0"/>
              <w:rPr>
                <w:sz w:val="1"/>
                <w:szCs w:val="1"/>
                <w:color w:val="auto"/>
              </w:rPr>
            </w:pPr>
          </w:p>
        </w:tc>
      </w:tr>
      <w:tr>
        <w:trPr>
          <w:trHeight w:val="209"/>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153,326</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153,567</w:t>
            </w: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200,404</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200,645</w:t>
            </w: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5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80" w:type="dxa"/>
            <w:vAlign w:val="bottom"/>
            <w:gridSpan w:val="4"/>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vMerge w:val="restart"/>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center"/>
              <w:ind w:right="197"/>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center"/>
              <w:ind w:right="216"/>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19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45,722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45,722</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12,488</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12,490</w:t>
            </w:r>
          </w:p>
        </w:tc>
        <w:tc>
          <w:tcPr>
            <w:tcW w:w="0" w:type="dxa"/>
            <w:vAlign w:val="bottom"/>
          </w:tcPr>
          <w:p>
            <w:pPr>
              <w:spacing w:after="0"/>
              <w:rPr>
                <w:sz w:val="1"/>
                <w:szCs w:val="1"/>
                <w:color w:val="auto"/>
              </w:rPr>
            </w:pPr>
          </w:p>
        </w:tc>
      </w:tr>
      <w:tr>
        <w:trPr>
          <w:trHeight w:val="209"/>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cash equivalents</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58,210</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58,212</w:t>
            </w: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Pr>
          <w:p>
            <w:pPr>
              <w:spacing w:after="0"/>
              <w:rPr>
                <w:sz w:val="18"/>
                <w:szCs w:val="18"/>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2,496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2,496</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11,260</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11,282</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168,925</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169,031</w:t>
            </w:r>
          </w:p>
        </w:tc>
        <w:tc>
          <w:tcPr>
            <w:tcW w:w="0" w:type="dxa"/>
            <w:vAlign w:val="bottom"/>
          </w:tcPr>
          <w:p>
            <w:pPr>
              <w:spacing w:after="0"/>
              <w:rPr>
                <w:sz w:val="1"/>
                <w:szCs w:val="1"/>
                <w:color w:val="auto"/>
              </w:rPr>
            </w:pPr>
          </w:p>
        </w:tc>
      </w:tr>
      <w:tr>
        <w:trPr>
          <w:trHeight w:val="210"/>
        </w:trPr>
        <w:tc>
          <w:tcPr>
            <w:tcW w:w="5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182,681</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182,809</w:t>
            </w:r>
          </w:p>
        </w:tc>
        <w:tc>
          <w:tcPr>
            <w:tcW w:w="0" w:type="dxa"/>
            <w:vAlign w:val="bottom"/>
          </w:tcPr>
          <w:p>
            <w:pPr>
              <w:spacing w:after="0"/>
              <w:rPr>
                <w:sz w:val="1"/>
                <w:szCs w:val="1"/>
                <w:color w:val="auto"/>
              </w:rPr>
            </w:pPr>
          </w:p>
        </w:tc>
      </w:tr>
      <w:tr>
        <w:trPr>
          <w:trHeight w:val="21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240,891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178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241,021</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-2948305</wp:posOffset>
            </wp:positionV>
            <wp:extent cx="857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-2948305</wp:posOffset>
            </wp:positionV>
            <wp:extent cx="857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-2948305</wp:posOffset>
            </wp:positionV>
            <wp:extent cx="857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-2390775</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-2390775</wp:posOffset>
            </wp:positionV>
            <wp:extent cx="857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-2390775</wp:posOffset>
            </wp:positionV>
            <wp:extent cx="857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-2099310</wp:posOffset>
            </wp:positionV>
            <wp:extent cx="857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-2082165</wp:posOffset>
            </wp:positionV>
            <wp:extent cx="857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-2099310</wp:posOffset>
            </wp:positionV>
            <wp:extent cx="857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-2082165</wp:posOffset>
            </wp:positionV>
            <wp:extent cx="857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-2099310</wp:posOffset>
            </wp:positionV>
            <wp:extent cx="857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-2082165</wp:posOffset>
            </wp:positionV>
            <wp:extent cx="857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-1019175</wp:posOffset>
            </wp:positionV>
            <wp:extent cx="857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-1019175</wp:posOffset>
            </wp:positionV>
            <wp:extent cx="857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-1019175</wp:posOffset>
            </wp:positionV>
            <wp:extent cx="857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-170815</wp:posOffset>
            </wp:positionV>
            <wp:extent cx="85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-170815</wp:posOffset>
            </wp:positionV>
            <wp:extent cx="857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857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There were no sales of marketable securities during the three and nine months ended September 30, 2025. As of September 30, 2025, the Company held nine debt securities that were in an unrealized loss position for less than 12 months with an aggregate fair value of $29.9 million. As of September 30, 2025, the Company held one debt security that was in an unrealized loss position for greater than 12 months with a fair value of $5.7 million. As of September 30, 2025, the aggregate fair value of marketable securities with a remaining contractual maturity of greater than one year was $9.8 million.</w:t>
      </w:r>
    </w:p>
    <w:p>
      <w:pPr>
        <w:spacing w:after="0" w:line="180"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Company has the intent and ability to hold its debt securities until recovery. As a result, the Company did not record any charges for credit-related impairments for its marketable securities for the three and nine months ended September 30, 2025</w:t>
      </w:r>
      <w:r>
        <w:rPr>
          <w:rFonts w:ascii="Times New Roman" w:cs="Times New Roman" w:eastAsia="Times New Roman" w:hAnsi="Times New Roman"/>
          <w:sz w:val="18"/>
          <w:szCs w:val="18"/>
          <w:color w:val="212529"/>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10,158</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9,844</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20" w:type="dxa"/>
            <w:vAlign w:val="bottom"/>
          </w:tcPr>
          <w:p>
            <w:pPr>
              <w:spacing w:after="0"/>
              <w:rPr>
                <w:sz w:val="18"/>
                <w:szCs w:val="18"/>
                <w:color w:val="auto"/>
              </w:rPr>
            </w:pPr>
          </w:p>
        </w:tc>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7,121</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7,121</w:t>
            </w:r>
          </w:p>
        </w:tc>
      </w:tr>
      <w:tr>
        <w:trPr>
          <w:trHeight w:val="209"/>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18,157</w:t>
            </w:r>
          </w:p>
        </w:tc>
      </w:tr>
      <w:tr>
        <w:trPr>
          <w:trHeight w:val="216"/>
        </w:trPr>
        <w:tc>
          <w:tcPr>
            <w:tcW w:w="20" w:type="dxa"/>
            <w:vAlign w:val="bottom"/>
          </w:tcPr>
          <w:p>
            <w:pPr>
              <w:spacing w:after="0"/>
              <w:rPr>
                <w:sz w:val="18"/>
                <w:szCs w:val="18"/>
                <w:color w:val="auto"/>
              </w:rPr>
            </w:pPr>
          </w:p>
        </w:tc>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(15,300)</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(14,257)</w:t>
            </w:r>
          </w:p>
        </w:tc>
      </w:tr>
      <w:tr>
        <w:trPr>
          <w:trHeight w:val="209"/>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-453390</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-170815</wp:posOffset>
            </wp:positionV>
            <wp:extent cx="77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months ended September 30, 2025 and 2024 was $0.3 million and $0.4 million, respectively. Depreciation expense for the nine months ended September 30, 2025 and 2024 was $1.0 million and $1.2 million, respectively.</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Additional Balance Sheet Detail</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33"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160" w:type="dxa"/>
            <w:vAlign w:val="bottom"/>
            <w:gridSpan w:val="2"/>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18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0"/>
        </w:trPr>
        <w:tc>
          <w:tcPr>
            <w:tcW w:w="1180" w:type="dxa"/>
            <w:vAlign w:val="bottom"/>
          </w:tcPr>
          <w:p>
            <w:pPr>
              <w:spacing w:after="0"/>
              <w:rPr>
                <w:sz w:val="18"/>
                <w:szCs w:val="18"/>
                <w:color w:val="auto"/>
              </w:rPr>
            </w:pPr>
          </w:p>
        </w:tc>
        <w:tc>
          <w:tcPr>
            <w:tcW w:w="54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receivable</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540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sign-on bonuses subject to vesting provisions</w:t>
            </w: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11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6,806</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5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1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18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0"/>
        </w:trPr>
        <w:tc>
          <w:tcPr>
            <w:tcW w:w="1180" w:type="dxa"/>
            <w:vAlign w:val="bottom"/>
          </w:tcPr>
          <w:p>
            <w:pPr>
              <w:spacing w:after="0"/>
              <w:rPr>
                <w:sz w:val="18"/>
                <w:szCs w:val="18"/>
                <w:color w:val="auto"/>
              </w:rPr>
            </w:pPr>
          </w:p>
        </w:tc>
        <w:tc>
          <w:tcPr>
            <w:tcW w:w="54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and benefits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54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54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7,694</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4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-1534160</wp:posOffset>
            </wp:positionV>
            <wp:extent cx="774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-25400</wp:posOffset>
            </wp:positionV>
            <wp:extent cx="774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-8255</wp:posOffset>
            </wp:positionV>
            <wp:extent cx="774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Preferred Stock</w:t>
      </w:r>
    </w:p>
    <w:p>
      <w:pPr>
        <w:spacing w:after="0" w:line="22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5,000,000 shares of undesignated preferred stock were authorized. No shares of preferred stock were issued or outstanding as of September 30, 2025 and December 31, 2024.</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dividends have been declared since inception.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Common Stock</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2025 and December 31, 2024, 200,000,000 shares of common stock, $0.001 par value per share, were authorized.</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on all matters submitted to a vote of the Company’s stockholders. Common stockholders are not entitled to receive dividends, unless declared by the Company’s board of directors, subject to the preferential dividend rights of any preferred stock then outstanding. No dividends have been declared or paid by the Company since its inception.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4" w:name="page15"/>
    <w:bookmarkEnd w:id="14"/>
    <w:p>
      <w:pPr>
        <w:ind w:left="520"/>
        <w:spacing w:after="0"/>
        <w:rPr>
          <w:sz w:val="20"/>
          <w:szCs w:val="20"/>
          <w:color w:val="auto"/>
        </w:rPr>
      </w:pPr>
      <w:r>
        <w:rPr>
          <w:rFonts w:ascii="Times New Roman" w:cs="Times New Roman" w:eastAsia="Times New Roman" w:hAnsi="Times New Roman"/>
          <w:sz w:val="18"/>
          <w:szCs w:val="18"/>
          <w:color w:val="auto"/>
        </w:rPr>
        <w:t>As of September 30, 2025 and December 31, 2024, the Company has reserved for future issuance the following number of shares of common stock:</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3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38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68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3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3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7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exercises of outstanding stock options</w:t>
            </w:r>
          </w:p>
        </w:tc>
        <w:tc>
          <w:tcPr>
            <w:tcW w:w="13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11,870,785</w:t>
            </w:r>
          </w:p>
        </w:tc>
        <w:tc>
          <w:tcPr>
            <w:tcW w:w="15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9,354,699</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w w:val="99"/>
              </w:rPr>
              <w:t>Shares reserved for vesting of restricted stock units</w:t>
            </w:r>
          </w:p>
        </w:tc>
        <w:tc>
          <w:tcPr>
            <w:tcW w:w="3600" w:type="dxa"/>
            <w:vAlign w:val="bottom"/>
          </w:tcPr>
          <w:p>
            <w:pPr>
              <w:spacing w:after="0"/>
              <w:rPr>
                <w:sz w:val="18"/>
                <w:szCs w:val="18"/>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69,486</w:t>
            </w:r>
          </w:p>
        </w:tc>
        <w:tc>
          <w:tcPr>
            <w:tcW w:w="15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43,072</w:t>
            </w:r>
          </w:p>
        </w:tc>
      </w:tr>
      <w:tr>
        <w:trPr>
          <w:trHeight w:val="216"/>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future issuance under the 2019</w:t>
            </w: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Incentive Plan</w:t>
            </w:r>
          </w:p>
        </w:tc>
        <w:tc>
          <w:tcPr>
            <w:tcW w:w="13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4,779,386</w:t>
            </w:r>
          </w:p>
        </w:tc>
        <w:tc>
          <w:tcPr>
            <w:tcW w:w="15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5,207,362</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future issuance under the 2019</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2,052,030</w:t>
            </w:r>
          </w:p>
        </w:tc>
        <w:tc>
          <w:tcPr>
            <w:tcW w:w="15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1,671,843</w:t>
            </w:r>
          </w:p>
        </w:tc>
      </w:tr>
      <w:tr>
        <w:trPr>
          <w:trHeight w:val="216"/>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future issuance under the 2022</w:t>
            </w: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Inducement Stock Incentive Plan</w:t>
            </w:r>
          </w:p>
        </w:tc>
        <w:tc>
          <w:tcPr>
            <w:tcW w:w="13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1,681,184</w:t>
            </w:r>
          </w:p>
        </w:tc>
        <w:tc>
          <w:tcPr>
            <w:tcW w:w="15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1,896,209</w:t>
            </w: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reserved for future issuance for pre-funded warrants</w:t>
            </w:r>
          </w:p>
        </w:tc>
        <w:tc>
          <w:tcPr>
            <w:tcW w:w="13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8,500,000</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8,500,000</w:t>
            </w:r>
          </w:p>
        </w:tc>
      </w:tr>
      <w:tr>
        <w:trPr>
          <w:trHeight w:val="249"/>
        </w:trPr>
        <w:tc>
          <w:tcPr>
            <w:tcW w:w="3680" w:type="dxa"/>
            <w:vAlign w:val="bottom"/>
            <w:tcBorders>
              <w:bottom w:val="single" w:sz="8" w:color="CFF0FC"/>
            </w:tcBorders>
            <w:shd w:val="clear" w:color="auto" w:fill="CFF0FC"/>
          </w:tcPr>
          <w:p>
            <w:pPr>
              <w:spacing w:after="0"/>
              <w:rPr>
                <w:sz w:val="21"/>
                <w:szCs w:val="21"/>
                <w:color w:val="auto"/>
              </w:rPr>
            </w:pPr>
          </w:p>
        </w:tc>
        <w:tc>
          <w:tcPr>
            <w:tcW w:w="36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28,952,871</w:t>
            </w:r>
          </w:p>
        </w:tc>
        <w:tc>
          <w:tcPr>
            <w:tcW w:w="1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26,673,185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-25400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22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August 2024, the Company entered into separate exchange agreements with RA Capital Healthcare Fund, L.P. (“RA Capital”) and another existing institutional stockholder, pursuant to which (i) RA Capital exchanged 8,500,000 shares of the Company's common stock for a pre-funded warrant to acquire 8,500,000 shares of the Company's common stock and (ii) the other existing institutional stockholder exchanged an aggregate of 850,000 shares of the Company's common stock, for pre-funded warrants to acquire an aggregate of 850,000 shares of the Company's common stock. The aggregate 9,350,000 shares of common stock subject to the exchange agreements were retired on the date of the exchanges. As of September 30, 2025, 850,000 pre-funded warrants have been exercised.</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pre-funded warrants have an exercise price of $0.001 per underlying share of common stock, are immediately exercisable and have no expiration date. The number of shares of the Company’s common stock issuable upon exercise of each pre-funded warrant is subject to adjustment upon certain corporate events, including certain stock dividends and splits, combinations, reclassifications, and certain other events. The pre-funded warrants include a beneficial ownership blocker that provides that the holder may not exercise (nor may we allow the exercise) if upon giving effect to such exercise, it would cause the aggregate number of shares of the Company’s common stock beneficially owned by the holder (together with affiliates and any other persons whose beneficial ownership of the Company’s common stock would be aggregated for the purposes of Section 13(d) of the Securities Exchange Act of 1934, as amended) to exceed 9.99% of the total number of then issued and outstanding shares of the Company’s common stock as determined in accordance with the terms of the pre-funded warrant. This threshold may be increased or decreased upon 61 days’ prior notice at the discretion of RA Capital, but not in excess of 19.99% or, with respect to the other existing institutional stockholder’s pre-funded warrants, not in excess of 9.99%.</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Company assessed the pre-funded warrants for appropriate classification as either equity or liability pursuant to the Company’s accounting policy described in Note 2, “Summary of Significant Accounting Policies” in the Annual Report on Form 10-K. The Company determined the pre-funded warrants are freestanding instruments that do not meet the definition of a liability pursuant to ASC 480 and do not meet the definition of a derivative pursuant to ASC 815. The pre-funded warrants are indexed to the Company’s common stock and meet all other conditions for equity classification under ASC 480 and ASC 815. Accordingly, the pre-funded warrants are classified as equity and are accounted for as a component of additional paid-in capital at the time of issuance. The Company also determined that the pre-funded warrants should be included in the determination of basic and diluted earnings per share.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9. Stock-based Compensation Expense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Stock Incentive Plan</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July 2016, the Company adopted the 2016 Stock Incentive Plan (the “2016 Plan”), which provided for the grant of restricted stock awards, restricted stock units, incentive stock options, non-statutory stock options, and other stock-based awards to the Company’s eligible employees, officers, directors, consultants, and advisors. As of the effective date of the 2019 Stock Incentive Plan (the “2019 Plan”), and as of September 30, 2025, no shares remained available for future issuance under the 2016 Plan. Any options or other awards outstanding under the 2016 Plan remain outstanding and effective.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Stock Incentive Plan</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On July 2, 2019, the Company’s stockholders approved the 2019 Plan, which became effective on July 17, 2019. The 2019 Plan provides for the grant of incentive stock options, non-statutory stock options, stock appreciation rights, restricted stock awards, restricted stock units and other stock-based awards to the Company’s officers, employees, directors, consultants and advisors. The number of shares initially reserved for issuance under the 2019 Plan was 2,017,142 shares, plus the shares of common stock remaining available for issuance under the 2016 Plan as of July 17, 2019. The number of shares reserved was increased on January 1, 2020 and will be increased each January 1 thereafter through January 1, 2029 by the least of (i) 2,000,000 shares, (ii) 4% of the number of shares of the Company’s common stock outstanding on the first day of each such year or (iii) an amount determined by the Company’s board of directors. On January 1, 2025, the number of shares reserved for issuance under the 2019 Plan was increased by 2,000,000 shares. As of September 30, 2025, there were 4,779,386 shares available for future issuance under the 2019 Plan.</w:t>
      </w:r>
    </w:p>
    <w:p>
      <w:pPr>
        <w:spacing w:after="0" w:line="192"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shares of common stock underlying any awards that expire, terminate, or are otherwise surrendered, cancelled, forfeited or repurchased by the Company under the 2016 Plan or the 2019 Plan will be added back to the shares of common stock available for issuance under the 2019 Plan. As of July 17, 2019, no further awards will be made under the 2016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Inducement Stock Incentive Plan</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February 2022, the Company’s board of directors adopted the 2022 Inducement Stock Incentive Plan (the “Inducement Plan”), pursuant to which the Company may grant, subject to the terms of the Inducement Plan and Nasdaq rules, nonstatutory stock options, stock appreciation rights, restricted stock awards, restricted stock units, and other stock-based awards. The Company initially reserved a total of 1,750,000 shares of common stock for the issuance of awards under the Inducement Plan. The number of shares reserved and available for issuance under the Inducement Plan can be increased at any time with the approval of the Company’s board of directors. The Inducement Plan permits the board of directors, a delegated committee of the board of directors, or a delegated officer of the Company to grant the stock-based awards available under the Inducement Plan to attract key employees for the growth of the Company. Effective March 8, 2023, the Company’s board of directors amended the Inducement Plan to increase the number of shares reserved for issuance by 2,000,000 shares. Effective May 18, 2023, the Company’s board of directors amended the Inducement Plan to increase the number of shares reserved for issuance by 1,400,000 shares. Effective June 17, 2024, the Company’s board of directors amended the Inducement Plan to increase the number of shares reserved for issuance by 1,000,000 shares. As of September 30, 2025, there were 1,681,184 shares available for future issuance under the Inducement Plan.</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6" w:name="page17"/>
    <w:bookmarkEnd w:id="1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Stock options granted by the Company typically vest over a four-year period and have a ten year contractual term. Shares issued upon the exercise of stock options are issued from the Company’s pool of authorized but unissued common stock. In addition to stock options granted under the 2019 Plan and 2016 Plan, the Company has granted stock options as material inducements to employment in accordance with Nasdaq Listing Rule 5635(c)(4), which were granted outside of the 2019 Plan and 2016 Plan. The following table summarizes the Company’s stock option activity during the nine months ended September 30, 2025:</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restart"/>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2"/>
                <w:szCs w:val="12"/>
                <w:color w:val="auto"/>
              </w:rPr>
            </w:pPr>
          </w:p>
        </w:tc>
        <w:tc>
          <w:tcPr>
            <w:tcW w:w="13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restart"/>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32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3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13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5"/>
                <w:szCs w:val="15"/>
                <w:color w:val="auto"/>
              </w:rPr>
            </w:pPr>
          </w:p>
        </w:tc>
        <w:tc>
          <w:tcPr>
            <w:tcW w:w="13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3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9,354,699</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7.46</w:t>
            </w:r>
          </w:p>
        </w:tc>
        <w:tc>
          <w:tcPr>
            <w:tcW w:w="14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8.03</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5,353,463</w:t>
            </w:r>
          </w:p>
        </w:tc>
        <w:tc>
          <w:tcPr>
            <w:tcW w:w="0" w:type="dxa"/>
            <w:vAlign w:val="bottom"/>
          </w:tcPr>
          <w:p>
            <w:pPr>
              <w:spacing w:after="0"/>
              <w:rPr>
                <w:sz w:val="1"/>
                <w:szCs w:val="1"/>
                <w:color w:val="auto"/>
              </w:rPr>
            </w:pPr>
          </w:p>
        </w:tc>
      </w:tr>
      <w:tr>
        <w:trPr>
          <w:trHeight w:val="216"/>
        </w:trPr>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3,806,273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(72,246)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Cancelled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(1,217,941)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September 30, 2025</w:t>
            </w:r>
          </w:p>
        </w:tc>
        <w:tc>
          <w:tcPr>
            <w:tcW w:w="132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11,870,785</w:t>
            </w:r>
          </w:p>
        </w:tc>
        <w:tc>
          <w:tcPr>
            <w:tcW w:w="2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6.57</w:t>
            </w:r>
          </w:p>
        </w:tc>
        <w:tc>
          <w:tcPr>
            <w:tcW w:w="1440" w:type="dxa"/>
            <w:vAlign w:val="bottom"/>
            <w:tcBorders>
              <w:bottom w:val="single" w:sz="8" w:color="CFF0FC"/>
            </w:tcBorders>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7.86</w:t>
            </w:r>
          </w:p>
        </w:tc>
        <w:tc>
          <w:tcPr>
            <w:tcW w:w="3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43,295,496</w:t>
            </w:r>
          </w:p>
        </w:tc>
        <w:tc>
          <w:tcPr>
            <w:tcW w:w="0" w:type="dxa"/>
            <w:vAlign w:val="bottom"/>
          </w:tcPr>
          <w:p>
            <w:pPr>
              <w:spacing w:after="0"/>
              <w:rPr>
                <w:sz w:val="1"/>
                <w:szCs w:val="1"/>
                <w:color w:val="auto"/>
              </w:rPr>
            </w:pPr>
          </w:p>
        </w:tc>
      </w:tr>
      <w:tr>
        <w:trPr>
          <w:trHeight w:val="197"/>
        </w:trPr>
        <w:tc>
          <w:tcPr>
            <w:tcW w:w="4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at September 30, 2025</w:t>
            </w:r>
          </w:p>
        </w:tc>
        <w:tc>
          <w:tcPr>
            <w:tcW w:w="1320" w:type="dxa"/>
            <w:vAlign w:val="bottom"/>
            <w:tcBorders>
              <w:bottom w:val="single" w:sz="8" w:color="auto"/>
            </w:tcBorders>
          </w:tcPr>
          <w:p>
            <w:pPr>
              <w:jc w:val="right"/>
              <w:ind w:right="15"/>
              <w:spacing w:after="0" w:line="196" w:lineRule="exact"/>
              <w:rPr>
                <w:sz w:val="20"/>
                <w:szCs w:val="20"/>
                <w:color w:val="auto"/>
              </w:rPr>
            </w:pPr>
            <w:r>
              <w:rPr>
                <w:rFonts w:ascii="Times New Roman" w:cs="Times New Roman" w:eastAsia="Times New Roman" w:hAnsi="Times New Roman"/>
                <w:sz w:val="18"/>
                <w:szCs w:val="18"/>
                <w:color w:val="auto"/>
              </w:rPr>
              <w:t>5,910,688</w:t>
            </w:r>
          </w:p>
        </w:tc>
        <w:tc>
          <w:tcPr>
            <w:tcW w:w="2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6"/>
              <w:spacing w:after="0" w:line="196" w:lineRule="exact"/>
              <w:rPr>
                <w:sz w:val="20"/>
                <w:szCs w:val="20"/>
                <w:color w:val="auto"/>
              </w:rPr>
            </w:pPr>
            <w:r>
              <w:rPr>
                <w:rFonts w:ascii="Times New Roman" w:cs="Times New Roman" w:eastAsia="Times New Roman" w:hAnsi="Times New Roman"/>
                <w:sz w:val="18"/>
                <w:szCs w:val="18"/>
                <w:color w:val="auto"/>
              </w:rPr>
              <w:t>8.16</w:t>
            </w:r>
          </w:p>
        </w:tc>
        <w:tc>
          <w:tcPr>
            <w:tcW w:w="1440" w:type="dxa"/>
            <w:vAlign w:val="bottom"/>
            <w:gridSpan w:val="2"/>
          </w:tcPr>
          <w:p>
            <w:pPr>
              <w:jc w:val="right"/>
              <w:ind w:right="28"/>
              <w:spacing w:after="0" w:line="196" w:lineRule="exact"/>
              <w:rPr>
                <w:sz w:val="20"/>
                <w:szCs w:val="20"/>
                <w:color w:val="auto"/>
              </w:rPr>
            </w:pPr>
            <w:r>
              <w:rPr>
                <w:rFonts w:ascii="Times New Roman" w:cs="Times New Roman" w:eastAsia="Times New Roman" w:hAnsi="Times New Roman"/>
                <w:sz w:val="18"/>
                <w:szCs w:val="18"/>
                <w:color w:val="auto"/>
              </w:rPr>
              <w:t>7.02</w:t>
            </w:r>
          </w:p>
        </w:tc>
        <w:tc>
          <w:tcPr>
            <w:tcW w:w="3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9"/>
              <w:spacing w:after="0" w:line="196" w:lineRule="exact"/>
              <w:rPr>
                <w:sz w:val="20"/>
                <w:szCs w:val="20"/>
                <w:color w:val="auto"/>
              </w:rPr>
            </w:pPr>
            <w:r>
              <w:rPr>
                <w:rFonts w:ascii="Times New Roman" w:cs="Times New Roman" w:eastAsia="Times New Roman" w:hAnsi="Times New Roman"/>
                <w:sz w:val="18"/>
                <w:szCs w:val="18"/>
                <w:color w:val="auto"/>
              </w:rPr>
              <w:t>17,449,713</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-187960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-170815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granted in the three and nine months ended September 30, 2025 was $5.98 per share and $3.95 per share, respectively. The weighted average grant date fair value of stock options granted in the three and nine months ended September 30, 2024 was $7.17 per share and $6.44 per share, respectively. The total intrinsic value of stock options exercised during the three and nine months ended September 30, 2025 was less than $0.1 million and $0.2 million, respectively. The total intrinsic value of stock options exercised during the three and nine months ended September 30, 2024 was $0.6 million and $1.4 million, respectively.</w:t>
      </w:r>
    </w:p>
    <w:p>
      <w:pPr>
        <w:spacing w:after="0" w:line="183"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stock options granted during the three and nine months ended September 30, 2025 and 2024 has been calculated on the date of grant using the following weighted average assumptions:</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170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Pr>
          <w:p>
            <w:pPr>
              <w:spacing w:after="0"/>
              <w:rPr>
                <w:sz w:val="13"/>
                <w:szCs w:val="13"/>
                <w:color w:val="auto"/>
              </w:rPr>
            </w:pPr>
          </w:p>
        </w:tc>
        <w:tc>
          <w:tcPr>
            <w:tcW w:w="17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Pr>
          <w:p>
            <w:pPr>
              <w:spacing w:after="0"/>
              <w:rPr>
                <w:sz w:val="13"/>
                <w:szCs w:val="13"/>
                <w:color w:val="auto"/>
              </w:rPr>
            </w:pPr>
          </w:p>
        </w:tc>
        <w:tc>
          <w:tcPr>
            <w:tcW w:w="17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00" w:type="dxa"/>
            <w:vAlign w:val="bottom"/>
          </w:tcPr>
          <w:p>
            <w:pPr>
              <w:spacing w:after="0"/>
              <w:rPr>
                <w:sz w:val="13"/>
                <w:szCs w:val="13"/>
                <w:color w:val="auto"/>
              </w:rPr>
            </w:pPr>
          </w:p>
        </w:tc>
        <w:tc>
          <w:tcPr>
            <w:tcW w:w="17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48"/>
        </w:trPr>
        <w:tc>
          <w:tcPr>
            <w:tcW w:w="2920" w:type="dxa"/>
            <w:vAlign w:val="bottom"/>
          </w:tcPr>
          <w:p>
            <w:pPr>
              <w:spacing w:after="0"/>
              <w:rPr>
                <w:sz w:val="12"/>
                <w:szCs w:val="12"/>
                <w:color w:val="auto"/>
              </w:rPr>
            </w:pPr>
          </w:p>
        </w:tc>
        <w:tc>
          <w:tcPr>
            <w:tcW w:w="170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170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172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172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2920" w:type="dxa"/>
            <w:vAlign w:val="bottom"/>
          </w:tcPr>
          <w:p>
            <w:pPr>
              <w:spacing w:after="0"/>
              <w:rPr>
                <w:sz w:val="15"/>
                <w:szCs w:val="15"/>
                <w:color w:val="auto"/>
              </w:rPr>
            </w:pPr>
          </w:p>
        </w:tc>
        <w:tc>
          <w:tcPr>
            <w:tcW w:w="170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15"/>
                <w:szCs w:val="15"/>
                <w:color w:val="auto"/>
              </w:rPr>
            </w:pPr>
          </w:p>
        </w:tc>
        <w:tc>
          <w:tcPr>
            <w:tcW w:w="170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5"/>
                <w:szCs w:val="15"/>
                <w:color w:val="auto"/>
              </w:rPr>
            </w:pPr>
          </w:p>
        </w:tc>
        <w:tc>
          <w:tcPr>
            <w:tcW w:w="17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5"/>
                <w:szCs w:val="15"/>
                <w:color w:val="auto"/>
              </w:rPr>
            </w:pPr>
          </w:p>
        </w:tc>
        <w:tc>
          <w:tcPr>
            <w:tcW w:w="17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10"/>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700" w:type="dxa"/>
            <w:vAlign w:val="bottom"/>
            <w:shd w:val="clear" w:color="auto" w:fill="CFF0FC"/>
          </w:tcPr>
          <w:p>
            <w:pPr>
              <w:jc w:val="right"/>
              <w:ind w:right="98"/>
              <w:spacing w:after="0"/>
              <w:rPr>
                <w:sz w:val="20"/>
                <w:szCs w:val="20"/>
                <w:color w:val="auto"/>
              </w:rPr>
            </w:pPr>
            <w:r>
              <w:rPr>
                <w:rFonts w:ascii="Times New Roman" w:cs="Times New Roman" w:eastAsia="Times New Roman" w:hAnsi="Times New Roman"/>
                <w:sz w:val="18"/>
                <w:szCs w:val="18"/>
                <w:color w:val="auto"/>
              </w:rPr>
              <w:t>6.1</w:t>
            </w:r>
          </w:p>
        </w:tc>
        <w:tc>
          <w:tcPr>
            <w:tcW w:w="18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6.1</w:t>
            </w:r>
          </w:p>
        </w:tc>
        <w:tc>
          <w:tcPr>
            <w:tcW w:w="18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6.0</w:t>
            </w:r>
          </w:p>
        </w:tc>
        <w:tc>
          <w:tcPr>
            <w:tcW w:w="18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103.1%</w:t>
            </w:r>
          </w:p>
        </w:tc>
      </w:tr>
    </w:tbl>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right="200" w:firstLine="509"/>
        <w:spacing w:after="0" w:line="313" w:lineRule="auto"/>
        <w:rPr>
          <w:sz w:val="20"/>
          <w:szCs w:val="20"/>
          <w:color w:val="auto"/>
        </w:rPr>
      </w:pPr>
      <w:r>
        <w:rPr>
          <w:rFonts w:ascii="Times New Roman" w:cs="Times New Roman" w:eastAsia="Times New Roman" w:hAnsi="Times New Roman"/>
          <w:sz w:val="18"/>
          <w:szCs w:val="18"/>
          <w:color w:val="auto"/>
        </w:rPr>
        <w:t>The Company has also granted restricted stock units. The shares of common stock underlying restricted stock units typically vest over a four-year period. The shares of common stock are recorded in stockholders’ equity as they vest.</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7" w:name="page18"/>
    <w:bookmarkEnd w:id="17"/>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unit activity during the nine months ended September 30, 2025:</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900" w:type="dxa"/>
            <w:vAlign w:val="bottom"/>
          </w:tcPr>
          <w:p>
            <w:pPr>
              <w:spacing w:after="0"/>
              <w:rPr>
                <w:sz w:val="12"/>
                <w:szCs w:val="12"/>
                <w:color w:val="auto"/>
              </w:rPr>
            </w:pPr>
          </w:p>
        </w:tc>
        <w:tc>
          <w:tcPr>
            <w:tcW w:w="154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9"/>
        </w:trPr>
        <w:tc>
          <w:tcPr>
            <w:tcW w:w="690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73"/>
        </w:trPr>
        <w:tc>
          <w:tcPr>
            <w:tcW w:w="6900" w:type="dxa"/>
            <w:vAlign w:val="bottom"/>
          </w:tcPr>
          <w:p>
            <w:pPr>
              <w:spacing w:after="0"/>
              <w:rPr>
                <w:sz w:val="15"/>
                <w:szCs w:val="15"/>
                <w:color w:val="auto"/>
              </w:rPr>
            </w:pPr>
          </w:p>
        </w:tc>
        <w:tc>
          <w:tcPr>
            <w:tcW w:w="15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5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43,072</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r>
        <w:trPr>
          <w:trHeight w:val="216"/>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57,105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(19,505)</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16"/>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Cancelled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(11,186)</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2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September 30, 2025</w:t>
            </w:r>
          </w:p>
        </w:tc>
        <w:tc>
          <w:tcPr>
            <w:tcW w:w="15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69,486</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0"/>
        </w:trPr>
        <w:tc>
          <w:tcPr>
            <w:tcW w:w="690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-25400</wp:posOffset>
            </wp:positionV>
            <wp:extent cx="1028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1028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jc w:val="both"/>
        <w:ind w:right="500" w:firstLine="509"/>
        <w:spacing w:after="0" w:line="280" w:lineRule="auto"/>
        <w:rPr>
          <w:sz w:val="20"/>
          <w:szCs w:val="20"/>
          <w:color w:val="auto"/>
        </w:rPr>
      </w:pPr>
      <w:r>
        <w:rPr>
          <w:rFonts w:ascii="Times New Roman" w:cs="Times New Roman" w:eastAsia="Times New Roman" w:hAnsi="Times New Roman"/>
          <w:sz w:val="18"/>
          <w:szCs w:val="18"/>
          <w:color w:val="auto"/>
        </w:rPr>
        <w:t>The total compensation cost recognized in the statements of operations and comprehensive loss associated with all stock-based compensation awards granted by the Company is as follows (in thousands)</w:t>
      </w:r>
      <w:r>
        <w:rPr>
          <w:rFonts w:ascii="Times New Roman" w:cs="Times New Roman" w:eastAsia="Times New Roman" w:hAnsi="Times New Roman"/>
          <w:sz w:val="21"/>
          <w:szCs w:val="21"/>
          <w:color w:val="auto"/>
        </w:rPr>
        <w:t>:</w:t>
      </w:r>
    </w:p>
    <w:p>
      <w:pPr>
        <w:spacing w:after="0" w:line="16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40" w:type="dxa"/>
            <w:vAlign w:val="bottom"/>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40" w:type="dxa"/>
            <w:vAlign w:val="bottom"/>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r>
      <w:tr>
        <w:trPr>
          <w:trHeight w:val="142"/>
        </w:trPr>
        <w:tc>
          <w:tcPr>
            <w:tcW w:w="4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09"/>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2,488</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2,494</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6,991</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7,762</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1,323</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2,411</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4,315</w:t>
            </w:r>
          </w:p>
        </w:tc>
      </w:tr>
      <w:tr>
        <w:trPr>
          <w:trHeight w:val="229"/>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3,360</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3,817</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9,402</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12,077</w:t>
            </w:r>
          </w:p>
        </w:tc>
      </w:tr>
      <w:tr>
        <w:trPr>
          <w:trHeight w:val="20"/>
        </w:trPr>
        <w:tc>
          <w:tcPr>
            <w:tcW w:w="408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-25400</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774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-25400</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774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-25400</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-8255</wp:posOffset>
            </wp:positionV>
            <wp:extent cx="768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205"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 had an aggregate of $22.3 million of unrecognized stock-based compensation expense, which is expected to be recognized over a weighted average period of 2.41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Employee Stock Purchase Plan</w:t>
      </w:r>
    </w:p>
    <w:p>
      <w:pPr>
        <w:spacing w:after="0" w:line="22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On July 2, 2019, the Company’s stockholders approved the 2019 Employee Stock Purchase Plan (the “ESPP”), which became effective on July 17, 2019. A total of 252,142 shares of common stock were initially reserved for issuance under the ESPP. In addition, the number of shares of common stock reserved under the ESPP was increased on January 1, 2020, and will be increased annually on each January 1 thereafter through January 1, 2029, by the least of (i) 428,571 shares of common stock, (ii) 1% of the number of shares of the Company’s common stock outstanding on the first day of each such year or (iii) an amount determined by the Company’s board of directors. On January 1, 2025, the number of shares reserved for issuance under the 2019 ESPP was increased by 428,571 shares. As of September 30, 2025, there were 2,052,030 shares available for future issuance under the ESPP.</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License and Collaboration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 Agreement</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May 2024, the Company entered into a collaboration and license agreement (the “Sanofi Agreement”) with Genzyme Corporation (“Sanofi”) pursuant to which the Company granted Sanofi an exclusive license under certain intellectual property rights to commercialize losmapimod, an oral small molecule for the treatment of facioscapulohumeral muscular dystrophy (“FSHD”), outside of the United States. Per the terms of the agreement, Sanofi made an upfront payment of $80.0 million to the Company. In September 2024, the Company announced topline data showing that it did not demonstrate a statistically significant difference between losmapimod and placebo on the primary endpoint in the Phase 3 REACH trial, and thereafter discontinued development. On December 18, 2024, the Company received written notice of Sanofi’s election to terminate for convenience the collaboration and license agreement. In accordance with the agreement, the termination became effective on April 17, 2025, which is 120 days following the date of receipt of the notice by the Company.</w:t>
      </w:r>
    </w:p>
    <w:p>
      <w:pPr>
        <w:spacing w:after="0" w:line="19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As of the termination date, the agreement was terminated in its entirety, and the Company is not entitled to receive any further milestone payments, royalties, or global development cost reimbursement.</w:t>
      </w:r>
    </w:p>
    <w:p>
      <w:pPr>
        <w:spacing w:after="0" w:line="162" w:lineRule="exact"/>
        <w:rPr>
          <w:sz w:val="20"/>
          <w:szCs w:val="20"/>
          <w:color w:val="auto"/>
        </w:rPr>
      </w:pPr>
    </w:p>
    <w:p>
      <w:pPr>
        <w:ind w:right="920" w:firstLine="509"/>
        <w:spacing w:after="0" w:line="282" w:lineRule="auto"/>
        <w:rPr>
          <w:sz w:val="20"/>
          <w:szCs w:val="20"/>
          <w:color w:val="auto"/>
        </w:rPr>
      </w:pPr>
      <w:r>
        <w:rPr>
          <w:rFonts w:ascii="Times New Roman" w:cs="Times New Roman" w:eastAsia="Times New Roman" w:hAnsi="Times New Roman"/>
          <w:sz w:val="18"/>
          <w:szCs w:val="18"/>
          <w:color w:val="auto"/>
        </w:rPr>
        <w:t>The Company determined that the Sanofi Agreement contained three material promises: (i) the license granted to Sanofi to develop and commercialize losmapimod outside of the United States (the “losmapimod license”); (ii) the parties’ joint global</w:t>
      </w: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8" w:name="page19"/>
    <w:bookmarkEnd w:id="18"/>
    <w:p>
      <w:pPr>
        <w:ind w:right="240"/>
        <w:spacing w:after="0" w:line="261" w:lineRule="auto"/>
        <w:rPr>
          <w:sz w:val="20"/>
          <w:szCs w:val="20"/>
          <w:color w:val="auto"/>
        </w:rPr>
      </w:pPr>
      <w:r>
        <w:rPr>
          <w:rFonts w:ascii="Times New Roman" w:cs="Times New Roman" w:eastAsia="Times New Roman" w:hAnsi="Times New Roman"/>
          <w:sz w:val="18"/>
          <w:szCs w:val="18"/>
          <w:color w:val="auto"/>
        </w:rPr>
        <w:t>development activities for losmapimod; and (iii) the Sanofi territory-specific manufacturing activities for losmapimod, subject to the terms of a supply agreement. The Company considered the guidance in ASC 606 to determine which, if any, of the components of the losmapimod agreement are performance obligations with a customer and concluded that the losmapimod license and the Sanofi territory-specific manufacturing activities are within the scope of ASC 606 because Sanofi is the Company’s customer in those transactions.</w:t>
      </w:r>
    </w:p>
    <w:p>
      <w:pPr>
        <w:spacing w:after="0" w:line="112"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evaluated the losmapimod license under ASC 606 and concluded that the losmapimod license is a functional intellectual property license and is a distinct performance obligation. The Company determined that Sanofi benefited from the losmapimod license at the time of grant, and therefore the related performance obligation is satisfied at a point in time.</w:t>
      </w:r>
    </w:p>
    <w:p>
      <w:pPr>
        <w:spacing w:after="0" w:line="95"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 Company evaluated the Sanofi territory-specific manufacturing activities under ASC 606 and identified one material promise associated with manufacturing activities related to development and commercial supply of losmapimod. Given that Sanofi is not obligated to purchase any minimum amount or quantities of the development and commercial supply from the Company, the Company concluded that, for the purpose of ASC 606, the provision of manufacturing activities related to development and commercial supply of losmapimod in the Sanofi territory was an option but not a performance obligation of the Company at the inception of the Sanofi agreement and would have been accounted for if and when exercised. The Company also concluded that there is no separate material right in connection with the development and commercial supply of losmapimod, as the expected pricing was not issued at a significant and incremental discount. Therefore, the manufacturing activities were excluded as a performance obligation at the outset of the arrangement. Additionally, the Company was entitled to sales milestones and royalties from Sanofi upon future sales of losmapimod in the Sanofi territory, and revenue would have been recognized when the related sales occur. Costs that are incurred associated with the Sanofi territory-specific manufacturing activities are reimbursable from Sanofi and will be recognized as revenue.</w:t>
      </w:r>
    </w:p>
    <w:p>
      <w:pPr>
        <w:spacing w:after="0" w:line="12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For the purposes of ASC 606, the transaction price of the Sanofi Agreement as of the outset of the arrangement consists of the upfront cash payment of $80.0 million, which was allocated to the performance obligation related to the losmapimod license and recognized as revenue during the year ended December 31, 2024. During the nine months ended September 30, 2025, the Company recognized no revenue associated with the upfront license payment.</w:t>
      </w:r>
    </w:p>
    <w:p>
      <w:pPr>
        <w:spacing w:after="0" w:line="10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For the parties’ participation in global development for losmapimod, the Company concluded that those activities and cost-sharing payments related to such activities are within the scope of ASC 808, as both parties are active participants in the development activities and are exposed to significant risks and rewards of those activities under the Sanofi agreement. The Company assessed its relationship with Sanofi, the economics and nature of the global development activities, and the contractual terms of the Sanofi Agreement and concluded that, in accordance with its policy, payments to or reimbursements from Sanofi related to the global development activities will be accounted for as an increase to or reduction of research and development expenses. During the three months ended September 30, 2025, the Company recorded no reduction in research and development expenses in connection with global development activities for losmapimod due to the termination of the agreement in April 2025. During the nine months ended September 30, 2025, the Company recorded a reduction in research and development expenses in connection with global development activities for losmapimod of $1.0 million.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CAMP4 Agreement</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July 2023, the Company entered into a license agreement (the “CAMP4 Agreement”) with CAMP4 Therapeutics Corporation (“CAMP4”) pursuant to which the Company received a worldwide exclusive license (including the right to sublicense) from CAMP4 to rights under its Diamond-Blackfan Anemia (“DBA”) program, which includes certain small molecule compounds, composition of matter and method of use patent rights, and know-how for the Company to research, develop, manufacture, use, commercialize or otherwise exploit therapeutic products in any indication, including the grant of a sublicense under certain intellectual property rights that CAMP4 has licensed under an agreement with Children’s Medical Center Corporation (“CMCC”).</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 made an undisclosed upfront non-refundable, non-creditable payment to CAMP4. If the Company succeeds in developing and commercializing licensed products, CAMP4 will be eligible to receive (i) up to $35.0 million in development and regulatory milestone payments, and (ii) up to $35.0 million in sales milestone payments. CAMP4 is also eligible to receive royalties on worldwide net sales of licensed products ranging from mid-single digit to low-double digit, subject to potential reduction following loss of patent coverage, the launch of certain generic products or royalty stacking for licenses of third party intellectual property. The royalties will expire on a product-by-product and country-by-country basis upon the latest to occur of</w:t>
      </w:r>
    </w:p>
    <w:p>
      <w:pPr>
        <w:spacing w:after="0" w:line="3" w:lineRule="exact"/>
        <w:rPr>
          <w:sz w:val="20"/>
          <w:szCs w:val="20"/>
          <w:color w:val="auto"/>
        </w:rPr>
      </w:pPr>
    </w:p>
    <w:p>
      <w:pPr>
        <w:ind w:left="220" w:hanging="212"/>
        <w:spacing w:after="0"/>
        <w:tabs>
          <w:tab w:leader="none" w:pos="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all valid patent claims covering the compounds in such country, (ii) the expiration of all regulatory exclusivities in such country,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years following the first commercial sale in such country. The Company is responsible for the costs associated with the development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ind w:right="340"/>
        <w:spacing w:after="0" w:line="282" w:lineRule="auto"/>
        <w:rPr>
          <w:sz w:val="20"/>
          <w:szCs w:val="20"/>
          <w:color w:val="auto"/>
        </w:rPr>
      </w:pPr>
      <w:r>
        <w:rPr>
          <w:rFonts w:ascii="Times New Roman" w:cs="Times New Roman" w:eastAsia="Times New Roman" w:hAnsi="Times New Roman"/>
          <w:sz w:val="18"/>
          <w:szCs w:val="18"/>
          <w:color w:val="auto"/>
        </w:rPr>
        <w:t>and regulatory approvals of licensed products. In April 2025, the Company achieved a $0.6 million preclinical milestone that the Company recorded as research and development expense during the nine months ended September 30, 2025.</w:t>
      </w:r>
    </w:p>
    <w:p>
      <w:pPr>
        <w:spacing w:after="0" w:line="16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Unless earlier terminated in accordance with its terms, the license agreement continues on a country-by-country and licensed product-by-licensed product basis until the expiration of the royalty term in each country, at which time the license agreement expires with respect to such licensed product in such country and the Company will have a fully-paid up, royalty-free and perpetual license to the licensed patent rights and know-how with respect to such licensed product in such country. CAMP4 has the right to terminate the license agreement in the event of the Company’s non-payment (subject to cure periods and tolling for bona fide disputes). CAMP4 may also terminate the license agreement if the Company challenges certain patents sublicensed to the Company by CAMP4. Either party may terminate the license agreement in its entirety for the other party’s material breach if such other party fails to cure the breach. Either party may also terminate the agreement in its entirety upon certain insolvency events involving the other party. The Company has the right to terminate the license agreement with CAMP4 for any or no reason upon prior written notice to CAMP4.</w:t>
      </w:r>
    </w:p>
    <w:p>
      <w:pPr>
        <w:spacing w:after="0" w:line="19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recognizes development and regulatory milestone payments when the underlying contingency is resolved and the consideration is paid or becomes payable. The milestone payments are capitalized or expensed depending on the nature of the associated asset as of the date of recognition.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26 Landsdowne Street</w:t>
      </w:r>
    </w:p>
    <w:p>
      <w:pPr>
        <w:spacing w:after="0" w:line="22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November 2017, the Company entered into a lease agreement for its current corporate headquarters comprising approximately 28,731 square feet of office and laboratory space at 26 Landsdowne Street in Cambridge, Massachusetts, commencing December 2017. The Company began to occupy and use the leased space for its intended purpose in June 2018. The lease ends on June 30, 2028. The Company has the option to extend the term of the lease for an additional five-year period, at the market rate, by giving the landlord written notice of its election to exercise the extension at least nine months prior to the original expiration of the lease term. The lease has a total commitment of $25.1 million over the ten year term, and includes escalating rent payments. The lease provides the Company with an allowance for normal leasehold improvements of $5.0 million. The lease agreement requires the Company to either pay a security deposit or maintain a letter of credit of $1.1 million. The Company maintains a letter of credit for this lease and has recorded the cash held to secure the letter of credit as restricted cash on the consolidated balance sheet as of September 30, 2025 and December 31, 2024. Operating lease expense associated with this lease for the three and nine months ended September 30, 2025 was approximately $0.5 million and $1.4 million, respectively. Variable lease expense associated with this lease for the three and nine months ended September 30, 2025 was approximately $0.3 million and $0.8 million, respectively.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future minimum lease payments associated with the 26 Landsdowne Street lease as of September 30, 2025, are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6"/>
        </w:trPr>
        <w:tc>
          <w:tcPr>
            <w:tcW w:w="1360" w:type="dxa"/>
            <w:vAlign w:val="bottom"/>
          </w:tcPr>
          <w:p>
            <w:pPr>
              <w:spacing w:after="0"/>
              <w:rPr>
                <w:sz w:val="2"/>
                <w:szCs w:val="2"/>
                <w:color w:val="auto"/>
              </w:rPr>
            </w:pPr>
          </w:p>
        </w:tc>
        <w:tc>
          <w:tcPr>
            <w:tcW w:w="7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3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2025</w:t>
            </w:r>
            <w:r>
              <w:rPr>
                <w:rFonts w:ascii="Times New Roman" w:cs="Times New Roman" w:eastAsia="Times New Roman" w:hAnsi="Times New Roman"/>
                <w:sz w:val="24"/>
                <w:szCs w:val="24"/>
                <w:color w:val="auto"/>
                <w:vertAlign w:val="superscript"/>
              </w:rPr>
              <w:t>(1)</w:t>
            </w:r>
          </w:p>
        </w:tc>
        <w:tc>
          <w:tcPr>
            <w:tcW w:w="78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20" w:type="dxa"/>
            <w:vAlign w:val="bottom"/>
            <w:shd w:val="clear" w:color="auto" w:fill="CFF0FC"/>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7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20" w:type="dxa"/>
            <w:vAlign w:val="bottom"/>
          </w:tcPr>
          <w:p>
            <w:pPr>
              <w:spacing w:after="0"/>
              <w:rPr>
                <w:sz w:val="18"/>
                <w:szCs w:val="18"/>
                <w:color w:val="auto"/>
              </w:rPr>
            </w:pPr>
          </w:p>
        </w:tc>
      </w:tr>
      <w:tr>
        <w:trPr>
          <w:trHeight w:val="216"/>
        </w:trPr>
        <w:tc>
          <w:tcPr>
            <w:tcW w:w="1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78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7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20" w:type="dxa"/>
            <w:vAlign w:val="bottom"/>
          </w:tcPr>
          <w:p>
            <w:pPr>
              <w:spacing w:after="0"/>
              <w:rPr>
                <w:sz w:val="18"/>
                <w:szCs w:val="18"/>
                <w:color w:val="auto"/>
              </w:rPr>
            </w:pPr>
          </w:p>
        </w:tc>
      </w:tr>
      <w:tr>
        <w:trPr>
          <w:trHeight w:val="210"/>
        </w:trPr>
        <w:tc>
          <w:tcPr>
            <w:tcW w:w="9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7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7,637</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7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(626)</w:t>
            </w:r>
          </w:p>
        </w:tc>
      </w:tr>
      <w:tr>
        <w:trPr>
          <w:trHeight w:val="250"/>
        </w:trPr>
        <w:tc>
          <w:tcPr>
            <w:tcW w:w="92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liability</w:t>
            </w:r>
          </w:p>
        </w:tc>
        <w:tc>
          <w:tcPr>
            <w:tcW w:w="780" w:type="dxa"/>
            <w:vAlign w:val="bottom"/>
            <w:tcBorders>
              <w:top w:val="single" w:sz="8" w:color="auto"/>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7,011</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15"/>
        </w:trPr>
        <w:tc>
          <w:tcPr>
            <w:tcW w:w="1360" w:type="dxa"/>
            <w:vAlign w:val="bottom"/>
            <w:tcBorders>
              <w:bottom w:val="single" w:sz="8" w:color="auto"/>
            </w:tcBorders>
          </w:tcPr>
          <w:p>
            <w:pPr>
              <w:spacing w:after="0"/>
              <w:rPr>
                <w:sz w:val="10"/>
                <w:szCs w:val="10"/>
                <w:color w:val="auto"/>
              </w:rPr>
            </w:pPr>
          </w:p>
        </w:tc>
        <w:tc>
          <w:tcPr>
            <w:tcW w:w="7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-119380</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-102235</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 w:lineRule="exact"/>
        <w:rPr>
          <w:sz w:val="20"/>
          <w:szCs w:val="20"/>
          <w:color w:val="auto"/>
        </w:rPr>
      </w:pPr>
    </w:p>
    <w:p>
      <w:pPr>
        <w:ind w:left="620" w:hanging="252"/>
        <w:spacing w:after="0"/>
        <w:tabs>
          <w:tab w:leader="none" w:pos="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for the three months ending December 31, 2025.</w:t>
      </w:r>
    </w:p>
    <w:p>
      <w:pPr>
        <w:spacing w:after="0" w:line="32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ind w:right="300"/>
        <w:spacing w:after="0" w:line="266" w:lineRule="auto"/>
        <w:rPr>
          <w:sz w:val="20"/>
          <w:szCs w:val="20"/>
          <w:color w:val="auto"/>
        </w:rPr>
      </w:pPr>
      <w:r>
        <w:rPr>
          <w:rFonts w:ascii="Times New Roman" w:cs="Times New Roman" w:eastAsia="Times New Roman" w:hAnsi="Times New Roman"/>
          <w:sz w:val="18"/>
          <w:szCs w:val="18"/>
          <w:color w:val="auto"/>
        </w:rPr>
        <w:t>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September 30, 2025 or December 31,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Other than attorneys’ fees and costs related to the defense of a securities action, which closed in March 28, 2025, no such costs have been incurred during the three and nine months ended September 30, 2025.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Defined Contribution Plan</w:t>
      </w:r>
    </w:p>
    <w:p>
      <w:pPr>
        <w:spacing w:after="0" w:line="22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 compensation on a pretax basis. As currently established, the Company is not required to make contributions to the 401(k) Plan. The Company made $0.1 million and $0.3 million, respectively, in contributions to the 401(k) Plan for the three and nine months ended September 30, 2025. The Company made $0.2 million and $0.6 million, respectively, in contributions to the 401(k) Plan for the three and nine months ended September 30,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Income per Share</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Basic net (loss) income per share is calculated by dividing net (loss) income by the weighted average number of common shares outstanding during the period, including the 8,500,000 shares of common stock issuable upon the exercise of pre-funded warrants that are exercisable for little or no consideration, as described in Note 8. Diluted net (loss) income per share is calculated by dividing the net (loss) income by the weighted-average number of common equivalent shares outstanding for the period, including the 8,500,000 shares of common stock issuable upon the exercise of pre-funded warrants that are exercisable for little or no consideration as well as any dilutive effect from outstanding stock options, unvested restricted stock, restricted stock units, and employee stock purchase plan stock using the treasury stock method. In periods with reported net operating losses, all common stock equivalents are deemed anti-dilutive such that basic net loss per share and diluted net loss per share are equal.</w:t>
      </w:r>
    </w:p>
    <w:p>
      <w:pPr>
        <w:spacing w:after="0" w:line="189"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The calculation of net (loss) income and the number of shares used to compute basic and diluted net (loss) income per share for the three and nine months ended September 30, 2025 and 2024 are as follows (in thousands, except per share data):</w:t>
      </w:r>
    </w:p>
    <w:p>
      <w:pPr>
        <w:spacing w:after="0" w:line="359"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2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4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 basic and diluted</w:t>
            </w:r>
          </w:p>
        </w:tc>
        <w:tc>
          <w:tcPr>
            <w:tcW w:w="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(19,595)</w:t>
            </w:r>
          </w:p>
        </w:tc>
        <w:tc>
          <w:tcPr>
            <w:tcW w:w="4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(21,696)</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(54,546)</w:t>
            </w:r>
          </w:p>
        </w:tc>
        <w:tc>
          <w:tcPr>
            <w:tcW w:w="4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6,843</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 options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Restricted stock units</w:t>
            </w: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diluted</w:t>
            </w:r>
          </w:p>
        </w:tc>
        <w:tc>
          <w:tcPr>
            <w:tcW w:w="40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62,597</w:t>
            </w:r>
          </w:p>
        </w:tc>
        <w:tc>
          <w:tcPr>
            <w:tcW w:w="12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62,409</w:t>
            </w:r>
          </w:p>
        </w:tc>
        <w:tc>
          <w:tcPr>
            <w:tcW w:w="12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62,537</w:t>
            </w:r>
          </w:p>
        </w:tc>
        <w:tc>
          <w:tcPr>
            <w:tcW w:w="12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63,688</w:t>
            </w:r>
          </w:p>
        </w:tc>
        <w:tc>
          <w:tcPr>
            <w:tcW w:w="100" w:type="dxa"/>
            <w:vAlign w:val="bottom"/>
            <w:tcBorders>
              <w:top w:val="single" w:sz="8" w:color="CFF0FC"/>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 per share, basic</w:t>
            </w:r>
          </w:p>
        </w:tc>
        <w:tc>
          <w:tcPr>
            <w:tcW w:w="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(0.31)</w:t>
            </w:r>
          </w:p>
        </w:tc>
        <w:tc>
          <w:tcPr>
            <w:tcW w:w="4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(0.35)</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(0.87)</w:t>
            </w:r>
          </w:p>
        </w:tc>
        <w:tc>
          <w:tcPr>
            <w:tcW w:w="4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per share, diluted</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(0.31)</w:t>
            </w:r>
          </w:p>
        </w:tc>
        <w:tc>
          <w:tcPr>
            <w:tcW w:w="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(0.35)</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(0.87)</w:t>
            </w:r>
          </w:p>
        </w:tc>
        <w:tc>
          <w:tcPr>
            <w:tcW w:w="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-431165</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-431165</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-431165</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-431165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common stock equivalents were excluded from the calculation of diluted net (loss) income per share for the periods indicated because including them would have had an anti-dilutive effect: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760" w:type="dxa"/>
            <w:vAlign w:val="bottom"/>
            <w:gridSpan w:val="4"/>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3840" w:type="dxa"/>
            <w:vAlign w:val="bottom"/>
            <w:gridSpan w:val="5"/>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11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800" w:type="dxa"/>
            <w:vAlign w:val="bottom"/>
            <w:tcBorders>
              <w:bottom w:val="single" w:sz="8" w:color="auto"/>
            </w:tcBorders>
            <w:gridSpan w:val="3"/>
          </w:tcPr>
          <w:p>
            <w:pPr>
              <w:jc w:val="center"/>
              <w:ind w:left="75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Borders>
              <w:bottom w:val="single" w:sz="8" w:color="auto"/>
            </w:tcBorders>
            <w:gridSpan w:val="3"/>
          </w:tcPr>
          <w:p>
            <w:pPr>
              <w:jc w:val="center"/>
              <w:ind w:left="72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5"/>
                <w:szCs w:val="15"/>
                <w:color w:val="auto"/>
              </w:rPr>
            </w:pPr>
          </w:p>
        </w:tc>
        <w:tc>
          <w:tcPr>
            <w:tcW w:w="1120" w:type="dxa"/>
            <w:vAlign w:val="bottom"/>
          </w:tcPr>
          <w:p>
            <w:pPr>
              <w:spacing w:after="0"/>
              <w:rPr>
                <w:sz w:val="15"/>
                <w:szCs w:val="15"/>
                <w:color w:val="auto"/>
              </w:rPr>
            </w:pPr>
          </w:p>
        </w:tc>
      </w:tr>
      <w:tr>
        <w:trPr>
          <w:trHeight w:val="142"/>
        </w:trPr>
        <w:tc>
          <w:tcPr>
            <w:tcW w:w="11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320" w:type="dxa"/>
            <w:vAlign w:val="bottom"/>
            <w:tcBorders>
              <w:bottom w:val="single" w:sz="8" w:color="auto"/>
            </w:tcBorders>
          </w:tcPr>
          <w:p>
            <w:pPr>
              <w:jc w:val="right"/>
              <w:ind w:right="49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300" w:type="dxa"/>
            <w:vAlign w:val="bottom"/>
            <w:tcBorders>
              <w:bottom w:val="single" w:sz="8" w:color="auto"/>
            </w:tcBorders>
          </w:tcPr>
          <w:p>
            <w:pPr>
              <w:jc w:val="right"/>
              <w:ind w:right="48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120" w:type="dxa"/>
            <w:vAlign w:val="bottom"/>
          </w:tcPr>
          <w:p>
            <w:pPr>
              <w:spacing w:after="0"/>
              <w:rPr>
                <w:sz w:val="12"/>
                <w:szCs w:val="12"/>
                <w:color w:val="auto"/>
              </w:rPr>
            </w:pPr>
          </w:p>
        </w:tc>
      </w:tr>
      <w:tr>
        <w:trPr>
          <w:trHeight w:val="209"/>
        </w:trPr>
        <w:tc>
          <w:tcPr>
            <w:tcW w:w="1140" w:type="dxa"/>
            <w:vAlign w:val="bottom"/>
          </w:tcPr>
          <w:p>
            <w:pPr>
              <w:spacing w:after="0"/>
              <w:rPr>
                <w:sz w:val="18"/>
                <w:szCs w:val="18"/>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32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11,870,785</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10,746,789</w:t>
            </w:r>
          </w:p>
        </w:tc>
        <w:tc>
          <w:tcPr>
            <w:tcW w:w="1400" w:type="dxa"/>
            <w:vAlign w:val="bottom"/>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8"/>
                <w:szCs w:val="18"/>
                <w:color w:val="auto"/>
              </w:rPr>
              <w:t>11,870,785</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7,479,764</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3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69,486</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71,138</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8"/>
                <w:szCs w:val="18"/>
                <w:color w:val="auto"/>
              </w:rPr>
              <w:t>69,486</w:t>
            </w: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17,823</w:t>
            </w:r>
          </w:p>
        </w:tc>
        <w:tc>
          <w:tcPr>
            <w:tcW w:w="1120" w:type="dxa"/>
            <w:vAlign w:val="bottom"/>
          </w:tcPr>
          <w:p>
            <w:pPr>
              <w:spacing w:after="0"/>
              <w:rPr>
                <w:sz w:val="18"/>
                <w:szCs w:val="18"/>
                <w:color w:val="auto"/>
              </w:rPr>
            </w:pPr>
          </w:p>
        </w:tc>
      </w:tr>
      <w:tr>
        <w:trPr>
          <w:trHeight w:val="250"/>
        </w:trPr>
        <w:tc>
          <w:tcPr>
            <w:tcW w:w="1140" w:type="dxa"/>
            <w:vAlign w:val="bottom"/>
          </w:tcPr>
          <w:p>
            <w:pPr>
              <w:spacing w:after="0"/>
              <w:rPr>
                <w:sz w:val="21"/>
                <w:szCs w:val="21"/>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11,940,271</w:t>
            </w: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10,817,927</w:t>
            </w:r>
          </w:p>
        </w:tc>
        <w:tc>
          <w:tcPr>
            <w:tcW w:w="1400" w:type="dxa"/>
            <w:vAlign w:val="bottom"/>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8"/>
                <w:szCs w:val="18"/>
                <w:color w:val="auto"/>
              </w:rPr>
              <w:t>11,940,271</w:t>
            </w:r>
          </w:p>
        </w:tc>
        <w:tc>
          <w:tcPr>
            <w:tcW w:w="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7,497,587</w:t>
            </w:r>
          </w:p>
        </w:tc>
        <w:tc>
          <w:tcPr>
            <w:tcW w:w="1120" w:type="dxa"/>
            <w:vAlign w:val="bottom"/>
          </w:tcPr>
          <w:p>
            <w:pPr>
              <w:spacing w:after="0"/>
              <w:rPr>
                <w:sz w:val="21"/>
                <w:szCs w:val="21"/>
                <w:color w:val="auto"/>
              </w:rPr>
            </w:pPr>
          </w:p>
        </w:tc>
      </w:tr>
      <w:tr>
        <w:trPr>
          <w:trHeight w:val="628"/>
        </w:trPr>
        <w:tc>
          <w:tcPr>
            <w:tcW w:w="1140" w:type="dxa"/>
            <w:vAlign w:val="bottom"/>
          </w:tcPr>
          <w:p>
            <w:pPr>
              <w:spacing w:after="0"/>
              <w:rPr>
                <w:sz w:val="24"/>
                <w:szCs w:val="24"/>
                <w:color w:val="auto"/>
              </w:rPr>
            </w:pPr>
          </w:p>
        </w:tc>
        <w:tc>
          <w:tcPr>
            <w:tcW w:w="3400" w:type="dxa"/>
            <w:vAlign w:val="bottom"/>
            <w:tcBorders>
              <w:top w:val="single" w:sz="8" w:color="CFF0FC"/>
            </w:tcBorders>
          </w:tcPr>
          <w:p>
            <w:pPr>
              <w:spacing w:after="0"/>
              <w:rPr>
                <w:sz w:val="24"/>
                <w:szCs w:val="24"/>
                <w:color w:val="auto"/>
              </w:rPr>
            </w:pPr>
          </w:p>
        </w:tc>
        <w:tc>
          <w:tcPr>
            <w:tcW w:w="1320" w:type="dxa"/>
            <w:vAlign w:val="bottom"/>
            <w:tcBorders>
              <w:top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-933450</wp:posOffset>
            </wp:positionV>
            <wp:extent cx="596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-916305</wp:posOffset>
            </wp:positionV>
            <wp:extent cx="596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-933450</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-916305</wp:posOffset>
            </wp:positionV>
            <wp:extent cx="603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-933450</wp:posOffset>
            </wp:positionV>
            <wp:extent cx="514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-916305</wp:posOffset>
            </wp:positionV>
            <wp:extent cx="514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Restructuring Activities</w:t>
      </w:r>
    </w:p>
    <w:p>
      <w:pPr>
        <w:spacing w:after="0" w:line="22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September 2024, the Company announced a plan to reprioritize research and development activities to focus on advancing pociredir for the treatment of sickle cell disease, novel therapeutic agents for the treatment of DBA, and the Company's early discovery programs. The plan reduced the Company’s workforce from 80 to 51 full-time employees, including a reduction of positions across both research and development and general and administrative functions. During the three and nine months ended September 30, 2025, the Company recorded no restructuring charges related to severance and other employee-related costs. During the three months ended September 30, 2025, the Company paid no restructuring charges. During the nine months ended September 30, 2025, the Company paid $0.4 million in restructuring charges.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restructuring charges as of December 31, 2024</w:t>
            </w: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 incurred during the period</w:t>
            </w:r>
          </w:p>
        </w:tc>
        <w:tc>
          <w:tcPr>
            <w:tcW w:w="8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paid during the period</w:t>
            </w:r>
          </w:p>
        </w:tc>
        <w:tc>
          <w:tcPr>
            <w:tcW w:w="8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(377)</w:t>
            </w:r>
          </w:p>
        </w:tc>
      </w:tr>
      <w:tr>
        <w:trPr>
          <w:trHeight w:val="210"/>
        </w:trPr>
        <w:tc>
          <w:tcPr>
            <w:tcW w:w="9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Accrued restructuring charges as of September 30, 2025</w:t>
            </w: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Related-Party Transactions</w:t>
      </w:r>
    </w:p>
    <w:p>
      <w:pPr>
        <w:spacing w:after="0" w:line="22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August 2024, the Company entered into an exchange agreement with RA Capital, one of the Company's principal stockholders and a related party in accordance with </w:t>
      </w:r>
      <w:r>
        <w:rPr>
          <w:rFonts w:ascii="Times New Roman" w:cs="Times New Roman" w:eastAsia="Times New Roman" w:hAnsi="Times New Roman"/>
          <w:sz w:val="18"/>
          <w:szCs w:val="18"/>
          <w:color w:val="212529"/>
        </w:rPr>
        <w:t>ASC 850,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xml:space="preserve"> pursuant to which RA Capital exchanged 8,500,000 shares of the Company's common stock, par value $0.001 per share, or common stock, for a pre-funded warrant to acquire 8,500,000 shares of the Company's common stock. No cash was exchanged related to the transaction. See Note 8, "Common Stock", for additional details of the transaction.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17. Segment Information</w:t>
      </w:r>
    </w:p>
    <w:p>
      <w:pPr>
        <w:spacing w:after="0" w:line="22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Segment reporting is prepared on the same basis that the Company's chief executive officer, who is the Company's chief operating decision maker (the “CODM”), utilizes to manage the business and makes decisions on how to allocate resources and assess performance of the business. The Company and the CODM view the Company's operations as a single operating segment. The Company's singular focus is on developing small molecules to improve the lives of patients with genetically defined rare diseases in areas of high unmet medical need.</w:t>
      </w:r>
    </w:p>
    <w:p>
      <w:pPr>
        <w:spacing w:after="0" w:line="180"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Company and the CODM primarily utilize the segment's consolidated net (loss ) income, disaggregated between (a) research and development and (b) general and administrative, as the key indicator to assess the segment's performance and for allocating resources.</w:t>
      </w:r>
    </w:p>
    <w:p>
      <w:pPr>
        <w:spacing w:after="0" w:line="16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Company's reportable segment revenue, operating expenses, and net (loss) income for the three and nine months ended September 30, 2025 and 2024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center"/>
              <w:ind w:left="4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4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3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Pociredir external expenses</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13,769</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Losmapimod external expenses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6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Employee compensation expenses (excluding stock-based compensation</w:t>
            </w: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expenses)</w:t>
            </w: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9,032</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Pre-development candidate expenses and unallocated expenses</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14,371</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21,389</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Restructuring expenses</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21,858</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25,126</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62,076</w:t>
            </w:r>
          </w:p>
        </w:tc>
        <w:tc>
          <w:tcPr>
            <w:tcW w:w="26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82,468</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(21,858)</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(25,126)</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(62,076)</w:t>
            </w:r>
          </w:p>
        </w:tc>
        <w:tc>
          <w:tcPr>
            <w:tcW w:w="3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(2,468)</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7,530</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(19,595)</w:t>
            </w: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(21,696)</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(54,546)</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6,843</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5460" w:type="dxa"/>
            <w:vAlign w:val="bottom"/>
            <w:tcBorders>
              <w:top w:val="single" w:sz="8" w:color="CFF0FC"/>
            </w:tcBorders>
          </w:tcPr>
          <w:p>
            <w:pPr>
              <w:spacing w:after="0"/>
              <w:rPr>
                <w:sz w:val="24"/>
                <w:szCs w:val="24"/>
                <w:color w:val="auto"/>
              </w:rPr>
            </w:pPr>
          </w:p>
        </w:tc>
        <w:tc>
          <w:tcPr>
            <w:tcW w:w="360" w:type="dxa"/>
            <w:vAlign w:val="bottom"/>
            <w:tcBorders>
              <w:top w:val="single" w:sz="8" w:color="CFF0FC"/>
            </w:tcBorders>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4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-1508125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-1508125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-1508125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-1508125</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-934085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-916940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-934085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-916940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-934085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-916940</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-934085</wp:posOffset>
            </wp:positionV>
            <wp:extent cx="7747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-916940</wp:posOffset>
            </wp:positionV>
            <wp:extent cx="7747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consolidated financial statements and related notes appearing elsewhere in this Quarterly Report on Form 10-Q and our Annual Report on Form 10-K filed with the Securities and Exchange Commission, or SEC, on February 25, 2025.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 See “Cautionary Note Regarding Forward-Looking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developing small molecules to improve the lives of patients with genetically defined rare diseases in areas of high unmet medical need. Our clinical-stage product candidate, pociredir, is being developed for the potential treatment of sickle cell disease, or SCD.</w:t>
      </w:r>
    </w:p>
    <w:p>
      <w:pPr>
        <w:spacing w:after="0" w:line="176"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In July 2025, we announced results from the 12 mg dose cohort of our Phase 1b trial of pociredir in SCD, following conclusion of the 12-week treatment period (n=16). Results are as follows:</w:t>
      </w:r>
    </w:p>
    <w:p>
      <w:pPr>
        <w:spacing w:after="0" w:line="54" w:lineRule="exact"/>
        <w:rPr>
          <w:sz w:val="20"/>
          <w:szCs w:val="20"/>
          <w:color w:val="auto"/>
        </w:rPr>
      </w:pPr>
    </w:p>
    <w:p>
      <w:pPr>
        <w:ind w:left="1020" w:hanging="503"/>
        <w:spacing w:after="0" w:line="258"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absolute fetal hemoglobin, or HbF, increased by 8.6% at 12 weeks of treatment with pociredir, representing an increase from a baseline of 7.6% to 16.2%. Seven of 16 patients achieved absolute HbF levels greater than 20% after 12 weeks of treatment with pociredir. HbF levels of 20% are associated with approximately 90% of individual patients experiencing zero vaso-occlusive crises, or VOCs, per year, based on an analysis of real-world data we conducted that was presented at the 20th Annual Sickle Cell &amp; Thalassaemia Conference (ASCAT) in October 2025.</w:t>
      </w:r>
    </w:p>
    <w:p>
      <w:pPr>
        <w:spacing w:after="0" w:line="75" w:lineRule="exact"/>
        <w:rPr>
          <w:rFonts w:ascii="Times New Roman" w:cs="Times New Roman" w:eastAsia="Times New Roman" w:hAnsi="Times New Roman"/>
          <w:sz w:val="18"/>
          <w:szCs w:val="18"/>
          <w:color w:val="auto"/>
        </w:rPr>
      </w:pPr>
    </w:p>
    <w:p>
      <w:pPr>
        <w:ind w:left="1020" w:right="360" w:hanging="503"/>
        <w:spacing w:after="0" w:line="26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Proportion of F-cells (HbF-containing red blood cells) increased from a mean of 34% at baseline to 67% at 12 weeks of treatment (n=8), consistent with pan-cellular HbF induction (evenly distributed across red blood cells). F-cells are resistant to red blood cell sickling and hemolysis because of HbF-mediated inhibition of sickle hemoglobin polymerization. Consequently, a higher proportion of F-cells is associated with improved red blood cell health.</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Markers of hemolysis and erythropoiesis improved with pociredir treatment at 12 weeks:</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oDecreased indirect bilirubin (mean decrease of 37%)</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oDecreased lactate dehydrogenase (mean decrease of 28%)</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Decreased red cell distribution width (mean decrease of 27%), indicating a more uniform red blood cell population</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Decreased reticulocyte counts (mean decrease of 30%), indicating healthier bone marrow function</w:t>
      </w:r>
    </w:p>
    <w:p>
      <w:pPr>
        <w:spacing w:after="0" w:line="11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hemoglobin concentration increased by 0.9 g/dL at 12 weeks of treatment with pociredir, from a baseline of 7.8 g/dL to 8.7 g/dL. Together with the observed decrease in reticulocyte counts, the increase in total hemoglobin indicates that pociredir decreased red blood cell destruction and showed reductions in anemia.</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trend of reduced VOC rates was observed during the study period (as assessed by VOCs reported as adverse events, or AEs), compared to cohort patients’ VOC frequency over the 6–12 months prior to enrollment. Eight of 16 patients (50%) reported no VOCs during the treatment period (12 weeks); three VOCs occurred during the follow-up period as of the June 26, 2025 data cut-off date.</w:t>
      </w:r>
    </w:p>
    <w:p>
      <w:pPr>
        <w:spacing w:after="0" w:line="6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completion of the 12 mg dose cohort, pociredir has been dosed in 135 adults, including 76 subjects in multiple dose cohorts up to 12 weeks.</w:t>
      </w:r>
    </w:p>
    <w:p>
      <w:pPr>
        <w:spacing w:after="0" w:line="5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103 healthy subjects, including 44 who received pociredir from 10 to 14 days treatment duration</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32 SCD patients who received pociredir up to 12 weeks treatment duration</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profile for pociredir observed in the 12 mg dose cohort was consistent with previously reported safety data. Pociredir was generally well-tolerated, with no drug-related serious adverse events and no discontinuations due to treatment-emergent adverse events through the completion of the 12 mg dose cohort. In addition, all treatment-related adverse events were Grade 1.</w:t>
      </w:r>
    </w:p>
    <w:p>
      <w:pPr>
        <w:spacing w:after="0" w:line="6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observations after completion of the 4-week follow-up period for 12 mg dose cohort (ongoing) will be shared at a future medical meeting.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4" w:name="page25"/>
    <w:bookmarkEnd w:id="24"/>
    <w:p>
      <w:pPr>
        <w:ind w:left="520"/>
        <w:spacing w:after="0"/>
        <w:rPr>
          <w:sz w:val="20"/>
          <w:szCs w:val="20"/>
          <w:color w:val="auto"/>
        </w:rPr>
      </w:pPr>
      <w:r>
        <w:rPr>
          <w:rFonts w:ascii="Times New Roman" w:cs="Times New Roman" w:eastAsia="Times New Roman" w:hAnsi="Times New Roman"/>
          <w:sz w:val="17"/>
          <w:szCs w:val="17"/>
          <w:color w:val="auto"/>
        </w:rPr>
        <w:t>This 12 mg data (n=16) relates to cohort 3b (incomplete prior 12 mg cohort (3a) conducted prior to clinical study hold not included in this analysis).</w:t>
      </w:r>
    </w:p>
    <w:p>
      <w:pPr>
        <w:spacing w:after="0" w:line="23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have completed enrollment in the 20 mg dose cohort with 12 patients (excluding 1 discontinuation that was previously disclosed), with greater than 90% rates of adherence to study drug to date, and we expect to provide clinical data from this cohort by the end of 2025. The mean and median baseline HbF levels of the 12 patients enrolled in the 20 mg dose cohort is 7.1% and 7.3%, respectively. We are also initiating an open label extension trial to allow patients to continue receiving pociredir after completing the PIONEER trial, enabling longer-term evaluation of safety and durability of response.</w:t>
      </w:r>
    </w:p>
    <w:p>
      <w:pPr>
        <w:spacing w:after="0" w:line="180"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In addition to our product candidates, we developed a discovery approach that we employ to systematically identify and validate cellular drug targets that can potentially modulate gene expression to treat known root causes of genetically defined rare diseases. Our discovery approach led to the identification of pociredir for SCD, as well as other drug candidates. We continue to advance our program for the potential treatment of bone marrow failure syndromes, such as DBA, 5q deletion syndrome, Shwachman-Diamond syndrome, and Fanconi anemia, and we plan to submit an IND during the fourth quarter of 2025. We also presented preclinical data for FTX-6274, an oral embryonic ectoderm development, or EED, inhibitor candidate, at the European Society for Medical Oncology (ESMO) Congress 2025, demonstrating robust efficacy in castration resistant prostate cancer models.</w:t>
      </w:r>
    </w:p>
    <w:p>
      <w:pPr>
        <w:spacing w:after="0" w:line="18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we expect to continue to incur significant operating losses for the foreseeable future. Our ability to generate product revenue sufficient to achieve profitability, if ever, will depend heavily on the successful development and eventual commercialization of one or more of our product candidates. Our net loss was $54.5 million for the nine months ended September 30, 2025. Our net income was $6.8 million for the nine months ended September 30, 2024, primarily due to the $80.0 million of collaboration revenue associated with our now terminated collaboration and license agreement with Sanofi that we recognized during the second quarter of 2024. As of September 30, 2025, we had an accumulated deficit of $573.9 million. We expect our expenses and operating losses will increase over the next several years in connection with our ongoing activities, as we:</w:t>
      </w:r>
    </w:p>
    <w:p>
      <w:pPr>
        <w:spacing w:after="0" w:line="81" w:lineRule="exact"/>
        <w:rPr>
          <w:sz w:val="20"/>
          <w:szCs w:val="20"/>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clinical development of pociredir;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preclinical studies;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clinical-stage product candidates into later stage trials;</w:t>
      </w:r>
    </w:p>
    <w:p>
      <w:pPr>
        <w:spacing w:after="0" w:line="117" w:lineRule="exact"/>
        <w:rPr>
          <w:rFonts w:ascii="Times New Roman" w:cs="Times New Roman" w:eastAsia="Times New Roman" w:hAnsi="Times New Roman"/>
          <w:sz w:val="18"/>
          <w:szCs w:val="18"/>
          <w:color w:val="auto"/>
        </w:rPr>
      </w:pPr>
    </w:p>
    <w:p>
      <w:pPr>
        <w:ind w:left="900" w:right="480" w:hanging="383"/>
        <w:spacing w:after="0" w:line="266"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the discovery of drug targets for other genetically-defined rare diseases and the subsequent development of any resulting product candidates, including for the potential treatment of bone marrow failure syndromes, such as DBA, 5q deletion syndrome, Shwachman-Diamond syndrome, and Fanconi anemia under our license agreement with CAMP4;</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manufacturing processes and capabilities, or arrange for a third party to do so on our behalf, to support our clinical trials of our product candidates and commercialization of any of our product candidates for which we obtain marketing approval;</w:t>
      </w:r>
    </w:p>
    <w:p>
      <w:pPr>
        <w:spacing w:after="0" w:line="53" w:lineRule="exact"/>
        <w:rPr>
          <w:rFonts w:ascii="Times New Roman" w:cs="Times New Roman" w:eastAsia="Times New Roman" w:hAnsi="Times New Roman"/>
          <w:sz w:val="18"/>
          <w:szCs w:val="18"/>
          <w:color w:val="auto"/>
        </w:rPr>
      </w:pPr>
    </w:p>
    <w:p>
      <w:pPr>
        <w:ind w:left="900" w:right="260" w:hanging="383"/>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regulatory approval and that we have not out-licensed;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products, product candidates, technologies and/or data referencing rights, such as our agreement with CAMP4;</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milestone payments to CAMP4 under our license agreement;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and scientific personnel; and</w:t>
      </w:r>
    </w:p>
    <w:p>
      <w:pPr>
        <w:spacing w:after="0" w:line="117" w:lineRule="exact"/>
        <w:rPr>
          <w:rFonts w:ascii="Times New Roman" w:cs="Times New Roman" w:eastAsia="Times New Roman" w:hAnsi="Times New Roman"/>
          <w:sz w:val="18"/>
          <w:szCs w:val="18"/>
          <w:color w:val="auto"/>
        </w:rPr>
      </w:pPr>
    </w:p>
    <w:p>
      <w:pPr>
        <w:ind w:left="900" w:right="180" w:hanging="383"/>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25" w:name="page26"/>
    <w:bookmarkEnd w:id="25"/>
    <w:p>
      <w:pPr>
        <w:ind w:firstLine="509"/>
        <w:spacing w:after="0" w:line="256" w:lineRule="auto"/>
        <w:rPr>
          <w:sz w:val="20"/>
          <w:szCs w:val="20"/>
          <w:color w:val="auto"/>
        </w:rPr>
      </w:pPr>
      <w:r>
        <w:rPr>
          <w:rFonts w:ascii="Times New Roman" w:cs="Times New Roman" w:eastAsia="Times New Roman" w:hAnsi="Times New Roman"/>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and marketing, distribution or licensing arrangements.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grant rights to develop and market our product candidates even if we would otherwise prefer to develop and market such product candidates ourselves.</w:t>
      </w:r>
    </w:p>
    <w:p>
      <w:pPr>
        <w:spacing w:after="0" w:line="18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drug development, we are unable to predict the timing or amount of increased expenses or the timing of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0"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2025, we had $200.6 million in cash, cash equivalents, and marketable securities. We believe that our existing cash, cash equivalents, and marketable securities as of September 30, 2025 will enable us to fund our operating expenses and capital expenditure requirements into 2028. We have based this estimate on assumptions that may prove to be wrong, and we could exhaust our available capital resources sooner than we expect. See “—Liquidity and Capital Resources.”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We have not generated any revenue from product sales and do not expect to generate revenue from the sale of products for several years, if at all. If our development efforts for our current or future product candidates are successful and result in marketing approval, we may generate revenue in the future from product sales. We cannot predict if, when or to what extent we will generate revenue from the commercialization and sale of our product candidates. We may never succeed in obtaining regulatory approval for any of our product candidates.</w:t>
      </w:r>
    </w:p>
    <w:p>
      <w:pPr>
        <w:spacing w:after="0" w:line="180"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May 2024, we entered into a collaboration and license agreement with Sanofi, pursuant to which we granted Sanofi an exclusive license under certain intellectual property rights to commercialize losmapimod, an oral small molecule for the treatment of facioscapulohumeral muscular dystrophy, or FSHD, outside of the United States and received an upfront payment of $80.0 million.</w:t>
      </w:r>
    </w:p>
    <w:p>
      <w:pPr>
        <w:spacing w:after="0" w:line="176"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September 30, 2025, we recorded zero and $1.0 million reduction in research and development expenses, respectively, in connection with global development activities for losmapimod. During the three and nine months ended September 30, 2025, we recognized no revenue associated with the Sanofi territory-specific manufacturing activities for losmapimod. As a result of the suspension of future development of losmapimod following our September 2024 announcement that there was no statistically significant difference between losmapimod and placebo on the primary endpoint in the Phase 3 REACH trial, Sanofi terminated the license. Accordingly, we will not recognize additional revenues under the Sanofi collaboration agreement.</w:t>
      </w:r>
    </w:p>
    <w:p>
      <w:pPr>
        <w:spacing w:after="0" w:line="120"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In the future, we may enter into additional license or collaboration agreements for our product candidates or intellectual property, and we may generate revenue in the future from payments as a result of such license or collaboration agreements.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represent costs incurred by us for the discovery, development, and manufacture of our product candidates and include:</w:t>
      </w:r>
    </w:p>
    <w:p>
      <w:pPr>
        <w:spacing w:after="0" w:line="54" w:lineRule="exact"/>
        <w:rPr>
          <w:sz w:val="20"/>
          <w:szCs w:val="20"/>
          <w:color w:val="auto"/>
        </w:rPr>
      </w:pPr>
    </w:p>
    <w:p>
      <w:pPr>
        <w:ind w:left="900" w:right="76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contract research organizations, contract manufacturing organizations, and consultants;</w:t>
      </w:r>
    </w:p>
    <w:p>
      <w:pPr>
        <w:spacing w:after="0" w:line="53" w:lineRule="exact"/>
        <w:rPr>
          <w:rFonts w:ascii="Times New Roman" w:cs="Times New Roman" w:eastAsia="Times New Roman" w:hAnsi="Times New Roman"/>
          <w:sz w:val="18"/>
          <w:szCs w:val="18"/>
          <w:color w:val="auto"/>
        </w:rPr>
      </w:pPr>
    </w:p>
    <w:p>
      <w:pPr>
        <w:ind w:left="900" w:right="56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payroll taxes, employee benefits and stock-based compensation expenses for individuals involved in research and development efforts;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maintenance of facilities, insurance and other operating costs.</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expense research and development costs as incurred. We recognize expenses for certain development activities, such as clinical trials and manufacturing, based on an evaluation of the progress to completion of specific tasks using data such as patient enrollment or other information provided to us by our vendors. Payments for these activities are based on the terms of the individual agreements, which may differ from the pattern of expenses incurred. Non-refundable advance payments for goods or services to be received in the future for use in research and development activities are recorded as prepaid expenses. These amounts are recognized as an expense as the goods are delivered or the related services are performed, or until it is no longer expected that the goods will be delivered or the services rendered.</w:t>
      </w:r>
    </w:p>
    <w:p>
      <w:pPr>
        <w:spacing w:after="0" w:line="18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External costs represent a significant portion of our research and development expenses, which we track on a program-by-program basis following the nomination of a development candidate. Our internal research and development expenses consist primarily of personnel-related expenses, including stock-based compensation expense. We do not track our internal research and development expenses on a program-by-program basis as the resources are deployed across multiple projects.</w:t>
      </w:r>
    </w:p>
    <w:p>
      <w:pPr>
        <w:spacing w:after="0" w:line="180"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The following table summarizes our external research and development expenses by program for the three and nine months ended September 30, 2025 and 2024. Pre-development candidate expenses, unallocated expenses and internal research and development expenses are classified separately. Payments to or reimbursements from Sanofi related to global development activities are accounted for as an increase to or reduction of losmapimod external expenses.</w:t>
      </w:r>
    </w:p>
    <w:p>
      <w:pPr>
        <w:spacing w:after="0" w:line="188"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2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2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Pociredir external expenses</w:t>
            </w: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5,412</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2,216</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13,769</w:t>
            </w: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6,020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Losmapimod external expenses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Pre-development candidate expenses and unallocated expenses</w:t>
            </w: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4,698</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3,520</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14,371</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10,524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Internal research and development expenses</w:t>
            </w:r>
          </w:p>
        </w:tc>
        <w:tc>
          <w:tcPr>
            <w:tcW w:w="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4,017</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4,595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11,443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16,346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14,296</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14,639</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40,687</w:t>
            </w: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51,673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-24765</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-8255</wp:posOffset>
            </wp:positionV>
            <wp:extent cx="768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-8255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At this time, we cannot reasonably estimate or know the nature, timing, and estimated costs of the efforts that will be necessary to complete the remainder of the development of our product candidates. We are also unable to predict when, if ever, material net cash inflows will commence from our product candidates, if approved. This is due to the numerous risks and uncertainties associated with developing our product candidates, including the uncertainty related to:</w:t>
      </w:r>
    </w:p>
    <w:p>
      <w:pPr>
        <w:spacing w:after="0" w:line="72" w:lineRule="exact"/>
        <w:rPr>
          <w:sz w:val="20"/>
          <w:szCs w:val="20"/>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necessary to complete clinical development of and, if applicable, commercialize our product candidates if and when approved;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ones;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we may enter into collaboration arrangements;</w:t>
      </w:r>
    </w:p>
    <w:p>
      <w:pPr>
        <w:spacing w:after="0" w:line="117" w:lineRule="exact"/>
        <w:rPr>
          <w:rFonts w:ascii="Times New Roman" w:cs="Times New Roman" w:eastAsia="Times New Roman" w:hAnsi="Times New Roman"/>
          <w:sz w:val="18"/>
          <w:szCs w:val="18"/>
          <w:color w:val="auto"/>
        </w:rPr>
      </w:pPr>
    </w:p>
    <w:p>
      <w:pPr>
        <w:ind w:left="900" w:right="260" w:hanging="383"/>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and completion of clinical trials with safety, tolerability and efficacy profiles that are satisfactory to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and active pharmaceutical ingredient, or API, for use in production of our product candidates;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operate a manufacturing facility, or secure manufacturing supply through relationships with third parties;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consistently manufacture our product candidates in quantities sufficient for use in clinical trials;</w:t>
      </w:r>
    </w:p>
    <w:p>
      <w:pPr>
        <w:spacing w:after="0" w:line="117" w:lineRule="exact"/>
        <w:rPr>
          <w:rFonts w:ascii="Times New Roman" w:cs="Times New Roman" w:eastAsia="Times New Roman" w:hAnsi="Times New Roman"/>
          <w:sz w:val="18"/>
          <w:szCs w:val="18"/>
          <w:color w:val="auto"/>
        </w:rPr>
      </w:pPr>
    </w:p>
    <w:p>
      <w:pPr>
        <w:ind w:left="900" w:right="46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and regulatory exclusivity, both in the United States and internationally (including defending and enforcing our rights);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third-party coverage and adequate reimbursement for our product candidates, if approved;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 candidates, if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products;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of our products following receipt of any regulatory approvals.</w:t>
      </w:r>
    </w:p>
    <w:p>
      <w:pPr>
        <w:spacing w:after="0" w:line="225"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would significantly change the costs and timing associated with the development of that product candidate, and potentially other candidates.</w:t>
      </w:r>
    </w:p>
    <w:p>
      <w:pPr>
        <w:spacing w:after="0" w:line="16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Research and development activities account for a significant portion of our operating expenses. We expect our research and development expenses to increase in future periods as we continue to implement our business strategy, which includes advancing pociredir for the treatment of SCD,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However, we do not believe that it is possible at this time to accurately project total program-specific expenses through approval and commercialization. There are numerous factors associated with obtaining regulatory approval and the successful commercialization of any of our product candidates, including future trial design and various regulatory requirements, many of which cannot be determined with accuracy at this time based on our stage of development.</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costs, including salaries, benefits and stock-based compensation expense, for our personnel in executive, finance and accounting, human resources, business operations and other administrative functions, legal fees related to patent, intellectual property and corporate matters, fees paid for accounting and tax services, consulting fees and facility-related costs not otherwise included in research and development expenses.</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in the future to support continued research and development activities and planned commercialization activities, including establishing a sales, marketing and distribution infrastructure to commercialize any medicines for which we may obtain marketing approval. These increases will likely include increased costs related to the hiring of additional personnel, legal, audit, filing fees, and general compliance and consulting expenses, among other expenses.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net consists primarily of interest income related to our investments in cash equivalents and marketable securities.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2025 and 2024</w:t>
      </w:r>
    </w:p>
    <w:p>
      <w:pPr>
        <w:spacing w:after="0" w:line="229" w:lineRule="exact"/>
        <w:rPr>
          <w:sz w:val="20"/>
          <w:szCs w:val="20"/>
          <w:color w:val="auto"/>
        </w:rPr>
      </w:pPr>
    </w:p>
    <w:p>
      <w:pPr>
        <w:ind w:right="80" w:firstLine="509"/>
        <w:spacing w:after="0" w:line="257" w:lineRule="auto"/>
        <w:rPr>
          <w:sz w:val="20"/>
          <w:szCs w:val="20"/>
          <w:color w:val="auto"/>
        </w:rPr>
      </w:pPr>
      <w:r>
        <w:rPr>
          <w:rFonts w:ascii="Times New Roman" w:cs="Times New Roman" w:eastAsia="Times New Roman" w:hAnsi="Times New Roman"/>
          <w:sz w:val="18"/>
          <w:szCs w:val="18"/>
          <w:color w:val="auto"/>
        </w:rPr>
        <w:t>The following summarizes our results of operations for the three months ended September 30, 2025 and 2024 along with the changes in those items in dollars:</w:t>
      </w:r>
    </w:p>
    <w:tbl>
      <w:tblPr>
        <w:tblLayout w:type="fixed"/>
        <w:tblInd w:w="86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60" w:type="dxa"/>
            <w:vAlign w:val="bottom"/>
            <w:gridSpan w:val="6"/>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4"/>
          </w:tcPr>
          <w:p>
            <w:pPr>
              <w:jc w:val="center"/>
              <w:ind w:left="4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80" w:type="dxa"/>
            <w:vAlign w:val="bottom"/>
            <w:gridSpan w:val="2"/>
            <w:vMerge w:val="continue"/>
          </w:tcPr>
          <w:p>
            <w:pPr>
              <w:spacing w:after="0"/>
              <w:rPr>
                <w:sz w:val="12"/>
                <w:szCs w:val="12"/>
                <w:color w:val="auto"/>
              </w:rPr>
            </w:pPr>
          </w:p>
        </w:tc>
        <w:tc>
          <w:tcPr>
            <w:tcW w:w="17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Restructuring expenses</w:t>
            </w:r>
          </w:p>
        </w:tc>
        <w:tc>
          <w:tcPr>
            <w:tcW w:w="1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(2,063)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60" w:type="dxa"/>
            <w:vAlign w:val="bottom"/>
            <w:shd w:val="clear" w:color="auto" w:fill="CFF0FC"/>
          </w:tcPr>
          <w:p>
            <w:pPr>
              <w:spacing w:after="0" w:line="20" w:lineRule="exact"/>
              <w:rPr>
                <w:sz w:val="1"/>
                <w:szCs w:val="1"/>
                <w:color w:val="auto"/>
              </w:rPr>
            </w:pPr>
          </w:p>
        </w:tc>
        <w:tc>
          <w:tcPr>
            <w:tcW w:w="17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(3,268)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(21,858)</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(25,126)</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(19,595)</w:t>
            </w: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(21,696)</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FF0FC"/>
            </w:tcBorders>
            <w:shd w:val="clear" w:color="auto" w:fill="CFF0FC"/>
          </w:tcPr>
          <w:p>
            <w:pPr>
              <w:spacing w:after="0" w:line="20" w:lineRule="exact"/>
              <w:rPr>
                <w:sz w:val="1"/>
                <w:szCs w:val="1"/>
                <w:color w:val="auto"/>
              </w:rPr>
            </w:pPr>
          </w:p>
        </w:tc>
        <w:tc>
          <w:tcPr>
            <w:tcW w:w="17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-599440</wp:posOffset>
            </wp:positionV>
            <wp:extent cx="603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-599440</wp:posOffset>
            </wp:positionV>
            <wp:extent cx="596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-599440</wp:posOffset>
            </wp:positionV>
            <wp:extent cx="603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-24765</wp:posOffset>
            </wp:positionV>
            <wp:extent cx="603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60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-24765</wp:posOffset>
            </wp:positionV>
            <wp:extent cx="596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596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three months ended September 30, 2025 and 2024:</w:t>
      </w:r>
    </w:p>
    <w:tbl>
      <w:tblPr>
        <w:tblLayout w:type="fixed"/>
        <w:tblInd w:w="86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60" w:type="dxa"/>
            <w:vAlign w:val="bottom"/>
            <w:gridSpan w:val="3"/>
          </w:tcPr>
          <w:p>
            <w:pPr>
              <w:jc w:val="right"/>
              <w:ind w:right="20"/>
              <w:spacing w:after="0" w:line="15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5"/>
                <w:szCs w:val="15"/>
                <w:color w:val="auto"/>
              </w:rPr>
            </w:pPr>
          </w:p>
        </w:tc>
        <w:tc>
          <w:tcPr>
            <w:tcW w:w="18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60" w:type="dxa"/>
            <w:vAlign w:val="bottom"/>
            <w:gridSpan w:val="2"/>
            <w:vMerge w:val="continue"/>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2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8,378</w:t>
            </w:r>
          </w:p>
        </w:tc>
        <w:tc>
          <w:tcPr>
            <w:tcW w:w="78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8,171</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supplies</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Facility costs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4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14,296</w:t>
            </w:r>
          </w:p>
        </w:tc>
        <w:tc>
          <w:tcPr>
            <w:tcW w:w="7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14,639</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-170815</wp:posOffset>
            </wp:positionV>
            <wp:extent cx="60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-170815</wp:posOffset>
            </wp:positionV>
            <wp:extent cx="596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-170815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decreased by $0.3 million from $14.6 million for the three months ended September 30, 2024 to $14.3 million for the three months ended September 30, 2025. The decrease in research and development expense was primarily attributable to the following:</w:t>
      </w:r>
    </w:p>
    <w:p>
      <w:pPr>
        <w:spacing w:after="0" w:line="54" w:lineRule="exact"/>
        <w:rPr>
          <w:sz w:val="20"/>
          <w:szCs w:val="20"/>
          <w:color w:val="auto"/>
        </w:rPr>
      </w:pPr>
    </w:p>
    <w:p>
      <w:pPr>
        <w:ind w:left="900" w:right="72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 million of decreased employee compensation costs due to decreased headcount, including a $0.5 million decrease in stock-based compensation expense;</w:t>
      </w:r>
    </w:p>
    <w:p>
      <w:pPr>
        <w:spacing w:after="0" w:line="53" w:lineRule="exact"/>
        <w:rPr>
          <w:rFonts w:ascii="Times New Roman" w:cs="Times New Roman" w:eastAsia="Times New Roman" w:hAnsi="Times New Roman"/>
          <w:sz w:val="18"/>
          <w:szCs w:val="18"/>
          <w:color w:val="auto"/>
        </w:rPr>
      </w:pPr>
    </w:p>
    <w:p>
      <w:pPr>
        <w:jc w:val="both"/>
        <w:ind w:left="900" w:right="80" w:hanging="383"/>
        <w:spacing w:after="0" w:line="26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$0.2 million of increased external research and development costs, primarily due to increased development costs associated with the advancement of the Phase 1b PIONEER trial of pociredir, partially offset by decreased costs due to the suspension of the losmapimod program; and</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laboratory supplies costs of $0.1 million.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three months ended September 30, 2025 and 2024:</w:t>
      </w:r>
    </w:p>
    <w:tbl>
      <w:tblPr>
        <w:tblLayout w:type="fixed"/>
        <w:tblInd w:w="0" w:type="dxa"/>
        <w:tblCellMar>
          <w:top w:w="0" w:type="dxa"/>
          <w:left w:w="0" w:type="dxa"/>
          <w:bottom w:w="0" w:type="dxa"/>
          <w:right w:w="0" w:type="dxa"/>
        </w:tblCellMar>
      </w:tblPr>
      <w:tr>
        <w:trPr>
          <w:trHeight w:val="151"/>
        </w:trPr>
        <w:tc>
          <w:tcPr>
            <w:tcW w:w="9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40" w:type="dxa"/>
            <w:vAlign w:val="bottom"/>
            <w:gridSpan w:val="3"/>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740" w:type="dxa"/>
            <w:vAlign w:val="bottom"/>
            <w:gridSpan w:val="2"/>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40" w:type="dxa"/>
            <w:vAlign w:val="bottom"/>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40" w:type="dxa"/>
            <w:vAlign w:val="bottom"/>
            <w:gridSpan w:val="2"/>
            <w:vMerge w:val="continue"/>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4,482</w:t>
            </w:r>
          </w:p>
        </w:tc>
        <w:tc>
          <w:tcPr>
            <w:tcW w:w="540" w:type="dxa"/>
            <w:vAlign w:val="bottom"/>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4,397</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2,203</w:t>
            </w:r>
          </w:p>
        </w:tc>
        <w:tc>
          <w:tcPr>
            <w:tcW w:w="5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2,990</w:t>
            </w: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Facility costs</w:t>
            </w: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260</w:t>
            </w:r>
          </w:p>
        </w:tc>
        <w:tc>
          <w:tcPr>
            <w:tcW w:w="5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285</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617</w:t>
            </w:r>
          </w:p>
        </w:tc>
        <w:tc>
          <w:tcPr>
            <w:tcW w:w="5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752</w:t>
            </w: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20" w:type="dxa"/>
            <w:vAlign w:val="bottom"/>
            <w:vMerge w:val="continue"/>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7,562</w:t>
            </w:r>
          </w:p>
        </w:tc>
        <w:tc>
          <w:tcPr>
            <w:tcW w:w="540" w:type="dxa"/>
            <w:vAlign w:val="bottom"/>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8,424</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(862)</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8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9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2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-933450</wp:posOffset>
            </wp:positionV>
            <wp:extent cx="514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-916940</wp:posOffset>
            </wp:positionV>
            <wp:extent cx="514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-933450</wp:posOffset>
            </wp:positionV>
            <wp:extent cx="5143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-916940</wp:posOffset>
            </wp:positionV>
            <wp:extent cx="5143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-933450</wp:posOffset>
            </wp:positionV>
            <wp:extent cx="5143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-916940</wp:posOffset>
            </wp:positionV>
            <wp:extent cx="514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9" w:name="page30"/>
    <w:bookmarkEnd w:id="29"/>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by $0.8 million from $8.4 million for the three months ended September 30, 2024 to $7.6 million for the three months ended September 30, 2025. The decrease in general and administrative expenses was primarily attributable to the following:</w:t>
      </w:r>
    </w:p>
    <w:p>
      <w:pPr>
        <w:spacing w:after="0" w:line="54" w:lineRule="exact"/>
        <w:rPr>
          <w:sz w:val="20"/>
          <w:szCs w:val="20"/>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million of decreased professional services costs, primarily due to decreased commercial costs;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 million of decreased other costs;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$0.1 million of increased employee compensation costs.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right="140" w:firstLine="509"/>
        <w:spacing w:after="0" w:line="312" w:lineRule="auto"/>
        <w:rPr>
          <w:sz w:val="20"/>
          <w:szCs w:val="20"/>
          <w:color w:val="auto"/>
        </w:rPr>
      </w:pPr>
      <w:r>
        <w:rPr>
          <w:rFonts w:ascii="Times New Roman" w:cs="Times New Roman" w:eastAsia="Times New Roman" w:hAnsi="Times New Roman"/>
          <w:sz w:val="17"/>
          <w:szCs w:val="17"/>
          <w:color w:val="auto"/>
        </w:rPr>
        <w:t>Other income, net decreased by $1.1 million from $3.4 million for the three months ended September 30, 2024 to $2.3 million for the three months ended September 30, 2025. The decrease was primarily due to a decrease in our average cash, cash equivalents, and marketable securities balance.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2025 and 2024</w:t>
      </w:r>
    </w:p>
    <w:p>
      <w:pPr>
        <w:spacing w:after="0" w:line="229" w:lineRule="exact"/>
        <w:rPr>
          <w:sz w:val="20"/>
          <w:szCs w:val="20"/>
          <w:color w:val="auto"/>
        </w:rPr>
      </w:pPr>
    </w:p>
    <w:p>
      <w:pPr>
        <w:ind w:right="140" w:firstLine="509"/>
        <w:spacing w:after="0" w:line="257" w:lineRule="auto"/>
        <w:rPr>
          <w:sz w:val="20"/>
          <w:szCs w:val="20"/>
          <w:color w:val="auto"/>
        </w:rPr>
      </w:pPr>
      <w:r>
        <w:rPr>
          <w:rFonts w:ascii="Times New Roman" w:cs="Times New Roman" w:eastAsia="Times New Roman" w:hAnsi="Times New Roman"/>
          <w:sz w:val="18"/>
          <w:szCs w:val="18"/>
          <w:color w:val="auto"/>
        </w:rPr>
        <w:t>The following summarizes our results of operations for the nine months ended September 30, 2025 and 2024 along with the changes in those items in dollars:</w:t>
      </w:r>
    </w:p>
    <w:tbl>
      <w:tblPr>
        <w:tblLayout w:type="fixed"/>
        <w:tblInd w:w="92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20" w:type="dxa"/>
            <w:vAlign w:val="bottom"/>
            <w:gridSpan w:val="5"/>
          </w:tcPr>
          <w:p>
            <w:pPr>
              <w:jc w:val="center"/>
              <w:ind w:right="460"/>
              <w:spacing w:after="0" w:line="131"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1"/>
                <w:szCs w:val="11"/>
                <w:color w:val="auto"/>
              </w:rPr>
            </w:pPr>
          </w:p>
        </w:tc>
        <w:tc>
          <w:tcPr>
            <w:tcW w:w="10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3"/>
          </w:tcPr>
          <w:p>
            <w:pPr>
              <w:jc w:val="center"/>
              <w:ind w:left="4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40" w:type="dxa"/>
            <w:vAlign w:val="bottom"/>
            <w:gridSpan w:val="2"/>
            <w:vMerge w:val="continue"/>
          </w:tcPr>
          <w:p>
            <w:pPr>
              <w:spacing w:after="0"/>
              <w:rPr>
                <w:sz w:val="12"/>
                <w:szCs w:val="12"/>
                <w:color w:val="auto"/>
              </w:rPr>
            </w:pPr>
          </w:p>
        </w:tc>
        <w:tc>
          <w:tcPr>
            <w:tcW w:w="17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40,687</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51,673</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Restructuring expenses</w:t>
            </w:r>
          </w:p>
        </w:tc>
        <w:tc>
          <w:tcPr>
            <w:tcW w:w="1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(2,063)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20" w:type="dxa"/>
            <w:vAlign w:val="bottom"/>
            <w:shd w:val="clear" w:color="auto" w:fill="CFF0FC"/>
          </w:tcPr>
          <w:p>
            <w:pPr>
              <w:spacing w:after="0" w:line="20" w:lineRule="exact"/>
              <w:rPr>
                <w:sz w:val="1"/>
                <w:szCs w:val="1"/>
                <w:color w:val="auto"/>
              </w:rPr>
            </w:pPr>
          </w:p>
        </w:tc>
        <w:tc>
          <w:tcPr>
            <w:tcW w:w="17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62,076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82,468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(20,392)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(62,076)</w:t>
            </w:r>
          </w:p>
        </w:tc>
        <w:tc>
          <w:tcPr>
            <w:tcW w:w="3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(2,468)</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vMerge w:val="continue"/>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(54,546)</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6,843</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(61,389)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Borders>
              <w:top w:val="single" w:sz="8" w:color="CFF0FC"/>
            </w:tcBorders>
            <w:shd w:val="clear" w:color="auto" w:fill="CFF0FC"/>
          </w:tcPr>
          <w:p>
            <w:pPr>
              <w:spacing w:after="0" w:line="20" w:lineRule="exact"/>
              <w:rPr>
                <w:sz w:val="1"/>
                <w:szCs w:val="1"/>
                <w:color w:val="auto"/>
              </w:rPr>
            </w:pPr>
          </w:p>
        </w:tc>
        <w:tc>
          <w:tcPr>
            <w:tcW w:w="17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-599440</wp:posOffset>
            </wp:positionV>
            <wp:extent cx="514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-599440</wp:posOffset>
            </wp:positionV>
            <wp:extent cx="514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-599440</wp:posOffset>
            </wp:positionV>
            <wp:extent cx="514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-24765</wp:posOffset>
            </wp:positionV>
            <wp:extent cx="514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514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5143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514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-24765</wp:posOffset>
            </wp:positionV>
            <wp:extent cx="5143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-7620</wp:posOffset>
            </wp:positionV>
            <wp:extent cx="514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Collaboration revenue decreased by $80.0 million from the nine months ended September 30, 2024 to the nine months ended September 30, 2025. The decrease was attributable to the recognition of $80.0 million of revenue associated with the upfront license payment received during the second quarter of 2024 under the now terminated Sanofi collaboration agreement.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nine months ended September 30, 2025 and 2024:</w:t>
      </w:r>
    </w:p>
    <w:tbl>
      <w:tblPr>
        <w:tblLayout w:type="fixed"/>
        <w:tblInd w:w="0" w:type="dxa"/>
        <w:tblCellMar>
          <w:top w:w="0" w:type="dxa"/>
          <w:left w:w="0" w:type="dxa"/>
          <w:bottom w:w="0" w:type="dxa"/>
          <w:right w:w="0" w:type="dxa"/>
        </w:tblCellMar>
      </w:tblPr>
      <w:tr>
        <w:trPr>
          <w:trHeight w:val="151"/>
        </w:trPr>
        <w:tc>
          <w:tcPr>
            <w:tcW w:w="9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80" w:type="dxa"/>
            <w:vAlign w:val="bottom"/>
            <w:gridSpan w:val="3"/>
          </w:tcPr>
          <w:p>
            <w:pPr>
              <w:jc w:val="right"/>
              <w:ind w:right="20"/>
              <w:spacing w:after="0" w:line="151"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0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720" w:type="dxa"/>
            <w:vAlign w:val="bottom"/>
            <w:gridSpan w:val="2"/>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2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23,147</w:t>
            </w:r>
          </w:p>
        </w:tc>
        <w:tc>
          <w:tcPr>
            <w:tcW w:w="7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29,972</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(6,825)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11,444</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(4,901)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supplies</w:t>
            </w:r>
          </w:p>
        </w:tc>
        <w:tc>
          <w:tcPr>
            <w:tcW w:w="10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80" w:type="dxa"/>
            <w:vAlign w:val="bottom"/>
            <w:shd w:val="clear" w:color="auto" w:fill="CFF0FC"/>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Facility costs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0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Borders>
              <w:bottom w:val="single" w:sz="8" w:color="CFF0FC"/>
            </w:tcBorders>
            <w:shd w:val="clear" w:color="auto" w:fill="CFF0FC"/>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40,687</w:t>
            </w:r>
          </w:p>
        </w:tc>
        <w:tc>
          <w:tcPr>
            <w:tcW w:w="7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51,673</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(10,986)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9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2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-1079500</wp:posOffset>
            </wp:positionV>
            <wp:extent cx="5143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-1079500</wp:posOffset>
            </wp:positionV>
            <wp:extent cx="5143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-1079500</wp:posOffset>
            </wp:positionV>
            <wp:extent cx="5143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decreased by $11.0 million from $51.7 million for the nine months ended September 30, 2024 to $40.7 million for the nine months ended September 30, 2025. The decrease in research and development expense was primarily attributable to the following:</w:t>
      </w:r>
    </w:p>
    <w:p>
      <w:pPr>
        <w:spacing w:after="0" w:line="54" w:lineRule="exact"/>
        <w:rPr>
          <w:sz w:val="20"/>
          <w:szCs w:val="20"/>
          <w:color w:val="auto"/>
        </w:rPr>
      </w:pPr>
    </w:p>
    <w:p>
      <w:pPr>
        <w:ind w:left="900" w:right="40" w:hanging="383"/>
        <w:spacing w:after="0" w:line="266"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 million of decreased external research and development costs, primarily due to the suspension of the losmapimod program as well as $1.0 million of reimbursement from the global development cost sharing under our former collaboration with Sanofi for losmapimod, partially offset by increased development costs associated with the advancement of the Phase 1b PIONEER trial of pociredir; and</w:t>
      </w:r>
    </w:p>
    <w:p>
      <w:pPr>
        <w:spacing w:after="0" w:line="67" w:lineRule="exact"/>
        <w:rPr>
          <w:rFonts w:ascii="Times New Roman" w:cs="Times New Roman" w:eastAsia="Times New Roman" w:hAnsi="Times New Roman"/>
          <w:sz w:val="18"/>
          <w:szCs w:val="18"/>
          <w:color w:val="auto"/>
        </w:rPr>
      </w:pPr>
    </w:p>
    <w:p>
      <w:pPr>
        <w:ind w:left="900" w:right="70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 million of decreased employee compensation costs due to decreased headcount, including a $1.9 million decrease in stock-based compensation expense;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$0.6 million of increased laboratory supplies costs and $0.2 million of increased other costs.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nine months ended September 30, 2025 and 2024:</w:t>
      </w:r>
    </w:p>
    <w:tbl>
      <w:tblPr>
        <w:tblLayout w:type="fixed"/>
        <w:tblInd w:w="960" w:type="dxa"/>
        <w:tblCellMar>
          <w:top w:w="0" w:type="dxa"/>
          <w:left w:w="0" w:type="dxa"/>
          <w:bottom w:w="0" w:type="dxa"/>
          <w:right w:w="0" w:type="dxa"/>
        </w:tblCellMar>
      </w:tblPr>
      <w:tr>
        <w:trPr>
          <w:trHeight w:val="151"/>
        </w:trPr>
        <w:tc>
          <w:tcPr>
            <w:tcW w:w="3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gridSpan w:val="3"/>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8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12,967</w:t>
            </w:r>
          </w:p>
        </w:tc>
        <w:tc>
          <w:tcPr>
            <w:tcW w:w="7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15,541</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(2,574)</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(3,841)</w:t>
            </w: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Facility costs</w:t>
            </w: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21,389</w:t>
            </w:r>
          </w:p>
        </w:tc>
        <w:tc>
          <w:tcPr>
            <w:tcW w:w="7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28,732</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(7,343)</w:t>
            </w: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-24765</wp:posOffset>
            </wp:positionV>
            <wp:extent cx="514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514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-24765</wp:posOffset>
            </wp:positionV>
            <wp:extent cx="514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514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-24765</wp:posOffset>
            </wp:positionV>
            <wp:extent cx="514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-7620</wp:posOffset>
            </wp:positionV>
            <wp:extent cx="514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by $7.3 million from $28.7 million for the nine months ended September 30, 2024 to $21.4 million for the nine months ended September 30, 2025. The decrease in general and administrative expenses was primarily attributable to the following:</w:t>
      </w:r>
    </w:p>
    <w:p>
      <w:pPr>
        <w:spacing w:after="0" w:line="54" w:lineRule="exact"/>
        <w:rPr>
          <w:sz w:val="20"/>
          <w:szCs w:val="20"/>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million of decreased professional services costs, primarily due to decreased commercial and legal costs;</w:t>
      </w:r>
    </w:p>
    <w:p>
      <w:pPr>
        <w:spacing w:after="0" w:line="117" w:lineRule="exact"/>
        <w:rPr>
          <w:rFonts w:ascii="Times New Roman" w:cs="Times New Roman" w:eastAsia="Times New Roman" w:hAnsi="Times New Roman"/>
          <w:sz w:val="18"/>
          <w:szCs w:val="18"/>
          <w:color w:val="auto"/>
        </w:rPr>
      </w:pPr>
    </w:p>
    <w:p>
      <w:pPr>
        <w:ind w:left="900" w:right="700" w:hanging="383"/>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million of decreased employee compensation costs due to decreased headcount, including a $0.8 million decrease in stock-based compensation expense;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of decreased facility costs as a result of the expiration of our lease agreement for office space at 125 Sidney Street;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 million of decreased other costs.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Other income, net decreased by $1.8 million from $9.3 million for the nine months ended September 30, 2024 to $7.5 million for the nine months ended September 30, 2025. The decrease was primarily attributable to the expiration of our sublease agreement for office space at 125 Sidney Street as well as a decrease in our average cash, cash equivalents, and marketable securities balance.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expect to continue to incur significant operating losses for the foreseeable future and may never become profitable. We have not yet commercialized any of our product candidates, which are in various phases of preclinical and clinical development, and we do not expect to generate revenue from sales of any products for several years, if at all. As of September 30, 2025, we have funded our operations primarily with aggregate gross proceeds of $792.5 million from the sale of shares of our capital stock and from upfront payments received under our collaboration and license agreements. As of September 30, 2025, we had cash, cash equivalents, and marketable securities of $200.6 million.</w:t>
      </w:r>
    </w:p>
    <w:p>
      <w:pPr>
        <w:spacing w:after="0" w:line="194" w:lineRule="exact"/>
        <w:rPr>
          <w:sz w:val="20"/>
          <w:szCs w:val="20"/>
          <w:color w:val="auto"/>
        </w:rPr>
      </w:pPr>
    </w:p>
    <w:p>
      <w:pPr>
        <w:ind w:right="660" w:firstLine="509"/>
        <w:spacing w:after="0" w:line="227" w:lineRule="auto"/>
        <w:rPr>
          <w:sz w:val="20"/>
          <w:szCs w:val="20"/>
          <w:color w:val="auto"/>
        </w:rPr>
      </w:pPr>
      <w:r>
        <w:rPr>
          <w:rFonts w:ascii="Times New Roman" w:cs="Times New Roman" w:eastAsia="Times New Roman" w:hAnsi="Times New Roman"/>
          <w:sz w:val="18"/>
          <w:szCs w:val="18"/>
          <w:color w:val="auto"/>
        </w:rPr>
        <w:t>In February 2024, we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agreement with Cantor Fitzgerald &amp; Co. and Stifel, Nicolaus &amp; Company, Incorporated, as agents, with respect to an at-the-market offering program pursuant to which we may offer and sell, from</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1" w:name="page32"/>
    <w:bookmarkEnd w:id="31"/>
    <w:p>
      <w:pPr>
        <w:ind w:right="360"/>
        <w:spacing w:after="0" w:line="312" w:lineRule="auto"/>
        <w:rPr>
          <w:sz w:val="20"/>
          <w:szCs w:val="20"/>
          <w:color w:val="auto"/>
        </w:rPr>
      </w:pPr>
      <w:r>
        <w:rPr>
          <w:rFonts w:ascii="Times New Roman" w:cs="Times New Roman" w:eastAsia="Times New Roman" w:hAnsi="Times New Roman"/>
          <w:sz w:val="17"/>
          <w:szCs w:val="17"/>
          <w:color w:val="auto"/>
        </w:rPr>
        <w:t>time to time in our sole discretion, shares of our common stock, par value $0.001 per share, having an aggregate offering price of up to $100.0 million through the agents. As of September 30, 2025, we have not issued or sold any shares of common stock under the at-the-market offering program.</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nine months ended September 30, 2025:</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6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40" w:type="dxa"/>
            <w:vAlign w:val="bottom"/>
            <w:gridSpan w:val="2"/>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(43,267)</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14,543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2,663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(11,134)</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47,176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-170815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Provided by Operating Activities</w:t>
      </w:r>
    </w:p>
    <w:p>
      <w:pPr>
        <w:spacing w:after="0" w:line="22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$43.3 million during the nine months ended September 30, 2025 compared to net cash provided by operating activities of $14.5 million during the nine months ended September 30, 2024. Net cash used in operating activities during the nine months ended September 30, 2025 was primarily due to our net loss of $54.5 million for the nine months ended September 30, 2025. Net cash provided by operating activities during the nine months ended September 30, 2024 primarily consisted of the $80.0 million upfront license payment during the second quarter of 2024 under our former Sanofi collaboration agreement.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Investing Activities</w:t>
      </w:r>
    </w:p>
    <w:p>
      <w:pPr>
        <w:spacing w:after="0" w:line="22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was $31.8 million during the nine months ended September 30, 2025 compared to net cash provided by investing activities of $30.0 million during the nine months ended September 30, 2024. The decrease in net cash provided by investing activities of $1.8 million was primarily due a decrease in net maturities of marketable securities during the nine months ended September 30, 2025, as compared to the nine months ended September 30, 2024.</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$0.4 million during the nine months ended September 30, 2025 compared to net cash provided by financing activities of $2.7 million during the nine months ended September 30, 2024. Net cash provided by financing activities during the nine months ended September 30, 2025 primarily consisted of net proceeds of $0.2 million from the issuance of common stock under our benefit plans. Net cash provided by financing activities during the nine months ended September 30, 2024 primarily consisted of net proceeds of $2.4 million from the issuance of common stock under our benefit plans.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research and development activities, particularly as we continue the research and development of, initiate clinical trials of, and seek marketing approval for, our product candidates, some of which are in the discovery stage of development. In addition, we expect to incur additional costs to support the growth of our organization when appropriate. As a result, we expect to incur substantial operating losses and negative operating cash flows for the foreseeable future.</w:t>
      </w:r>
    </w:p>
    <w:p>
      <w:pPr>
        <w:spacing w:after="0" w:line="180"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Based on our current operating plan, we believe that our existing cash, cash equivalents, and marketable securities as of September 30, 2025 will enable us to fund our operating expenses and capital expenditure requirements into 2028. However, we have based this estimate on assumptions that may prove to be wrong and we could exhaust our capital resources sooner than we expect.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funding requirements and timing and amount of our operating expenditures will depend largely on:</w:t>
      </w:r>
    </w:p>
    <w:p>
      <w:pPr>
        <w:spacing w:after="0" w:line="117" w:lineRule="exact"/>
        <w:rPr>
          <w:sz w:val="20"/>
          <w:szCs w:val="20"/>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clinical trials of pociredir;</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32" w:name="page33"/>
    <w:bookmarkEnd w:id="32"/>
    <w:p>
      <w:pPr>
        <w:ind w:left="900" w:right="280" w:hanging="383"/>
        <w:spacing w:after="0" w:line="266"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discovery research, preclinical development, laboratory testing and clinical trials for our current product candidates in additional indications or for any future product candidates that we may pursue, including under our license agreement with CAMP4;</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and development requirements for other product candidates that we pursue;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 manufacturing arrangements for supply of API and manufacture of our product candidates and the terms of such arrangements;</w:t>
      </w:r>
    </w:p>
    <w:p>
      <w:pPr>
        <w:spacing w:after="0" w:line="53" w:lineRule="exact"/>
        <w:rPr>
          <w:rFonts w:ascii="Times New Roman" w:cs="Times New Roman" w:eastAsia="Times New Roman" w:hAnsi="Times New Roman"/>
          <w:sz w:val="18"/>
          <w:szCs w:val="18"/>
          <w:color w:val="auto"/>
        </w:rPr>
      </w:pPr>
    </w:p>
    <w:p>
      <w:pPr>
        <w:ind w:left="900" w:right="660" w:hanging="383"/>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strategic collaborations, licensing or other arrangements and the financial terms of such arrangements;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royalties and other collaboration-based revenues, if any;</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sales, marketing and distribution, for any of our product candidates for which we may receive marketing approval and that we do not out-license to a third party;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our product candidates for which we receive marketing approval;</w:t>
      </w:r>
    </w:p>
    <w:p>
      <w:pPr>
        <w:spacing w:after="0" w:line="117" w:lineRule="exact"/>
        <w:rPr>
          <w:rFonts w:ascii="Times New Roman" w:cs="Times New Roman" w:eastAsia="Times New Roman" w:hAnsi="Times New Roman"/>
          <w:sz w:val="18"/>
          <w:szCs w:val="18"/>
          <w:color w:val="auto"/>
        </w:rPr>
      </w:pPr>
    </w:p>
    <w:p>
      <w:pPr>
        <w:ind w:left="900" w:right="820" w:hanging="383"/>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products, product candidates, technologies or data referencing rights.</w:t>
      </w:r>
    </w:p>
    <w:p>
      <w:pPr>
        <w:spacing w:after="0" w:line="22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any of our product candidates could significantly change the costs and timing associated with the development of that product candidate. We will need to continue to rely on additional financing to achieve our business objectives.</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variables described above, if and when any of our product candidates successfully complete development, we will incur substantial additional costs associated with regulatory filings, marketing approval, post-marketing requirements, maintaining our intellectual property rights, and regulatory protection, in addition to other commercial costs. We cannot reasonably estimate these costs at this time.</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equity offerings, debt financings, collaboration arrangements, strategic alliances and marketing, distribution or licensing arrangements. We currently have no credit facility or committed sources of capital. To the extent that we raise additional capital through the future sale of equity securities, the ownership interests of our stockholders will be diluted, and the terms of these securities may include liquidation or other preferences that adversely affect the rights of our existing common stockholders. If we raise additional funds through the issuance of debt securities, these securities could contain covenants that would restrict our operations. We may require additional capital beyond our currently anticipated amounts, and additional capital may not be available on reasonable terms, or at all. If we raise additional funds through collaboration arrangements, strategic alliances or marketing, distribution or licensing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development or future commercialization efforts or grant rights to develop and market product candidates that we would otherwise prefer to develop and market ourselves.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consolidated financial statements, which have been prepared in accordance with generally accepted accounting principles in the United States. The preparation of these consolidated financial statements requires us to make judgments and estimates that affect the reported amounts of assets and liabilities, the disclosure of contingent assets and liabilities at the date of the consolidated financial statements, and the reported amounts of expenses during the reporting periods. Our estimates are based on our historical experience, known trends and events, and on various other factors that we believe are reasonable under the circumstances, the results of which form the basis for making judgments about the carrying value of assets and liabilities and amount of expense recognized that are not readily apparent from other sources. Actual results may differ from these estimates under different assumptions or conditions. We evaluate our estimates and assumptions on an ongoing basis. The effects of material revisions in estimates, if any, will be reflected in the consolidated financial statements prospectively from the date of change in estimates. During the three months ended September 30, 2025, there were no material changes to our critical accounting policies from those described in our Annual Report on Form 10-K filed with the SEC on February 25, 2025.</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to our consolidated financial statements appearing elsewhere in this Quarterly Report on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under the Securities Exchange Act of 1934, as amended, for this reporting period and are not required to provide the information required under this item.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(our principal executive officer) and our Chief Financial Officer (our principal financial officer), evaluated the effectiveness of our disclosure controls and procedures as of September 30, 2025.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September 30, 2025, our Chief Executive Officer and our Chief Financial Officer concluded that, as of such date, our disclosure controls and procedures were effective at the reasonable assurance level.</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Our future operating results could differ materially from the results described in this Quarterly Report on Form 10-Q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In these circumstances, the market price of our common stock would likely decline. In addition, we cannot assure investors that our assumptions and expectations will prove to be correct. Important factors could cause our actual results to differ materially from those indicated or implied by forward-looking statements. See “Cautionary Note Regarding Forward-Looking Statements” on page i of this Quarterly Report on Form 10-Q for a discussion of some of the forward-looking statements that are qualified by these risk factors. Factors that could cause or contribute to such differences include those factors discussed below.</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15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Our net loss was $9.7 million for the year ended December 31, 2024 and $54.5 million for the nine months ended September 30, 2025. As of September 30, 2025, we had an accumulated deficit of $573.9 million. To date, we have funded our operations primarily from the sale of shares of our capital stock and from upfront payments received under our collaboration and license agreements. We have devoted substantially all of our financial resources and efforts to research and development, including clinical trials and preclinical studies. We are still in the early stages of development of our product candidates, and we have not completed development of any product candidates.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81" w:lineRule="exact"/>
        <w:rPr>
          <w:sz w:val="20"/>
          <w:szCs w:val="20"/>
          <w:color w:val="auto"/>
        </w:rPr>
      </w:pPr>
    </w:p>
    <w:p>
      <w:pPr>
        <w:ind w:left="900" w:hanging="36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clinical development of pociredir and any future product candidates;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preclinical studies;</w:t>
      </w:r>
    </w:p>
    <w:p>
      <w:pPr>
        <w:spacing w:after="0" w:line="117" w:lineRule="exact"/>
        <w:rPr>
          <w:rFonts w:ascii="Times New Roman" w:cs="Times New Roman" w:eastAsia="Times New Roman" w:hAnsi="Times New Roman"/>
          <w:sz w:val="18"/>
          <w:szCs w:val="18"/>
          <w:color w:val="auto"/>
        </w:rPr>
      </w:pPr>
    </w:p>
    <w:p>
      <w:pPr>
        <w:ind w:left="900" w:right="520" w:hanging="368"/>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the discovery of drug targets for other genetically-defined rare diseases and the subsequent development of any resulting product candidates, including for the potential treatment of bone marrow failure syndromes, such as DBA, 5q deletion syndrome, Shwachman-Diamond syndrome, and Fanconi anemia under our license agreement with CAMP4;</w:t>
      </w:r>
    </w:p>
    <w:p>
      <w:pPr>
        <w:spacing w:after="0" w:line="6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products, product candidates, technologies and/or data referencing rights, such as our agreement with CAMP4;</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milestone payments to CAMP4 under our license agreement with CAMP4;</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and scientific personnel as needed;</w:t>
      </w:r>
    </w:p>
    <w:p>
      <w:pPr>
        <w:spacing w:after="0" w:line="117" w:lineRule="exact"/>
        <w:rPr>
          <w:rFonts w:ascii="Times New Roman" w:cs="Times New Roman" w:eastAsia="Times New Roman" w:hAnsi="Times New Roman"/>
          <w:sz w:val="18"/>
          <w:szCs w:val="18"/>
          <w:color w:val="auto"/>
        </w:rPr>
      </w:pPr>
    </w:p>
    <w:p>
      <w:pPr>
        <w:ind w:left="900" w:right="240" w:hanging="368"/>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manufacturing processes and capabilities, or arrange for a third party to do so on our behalf, to support our clinical trials of any product candidate and commercialization of any of product candidates for which we may obtain marketing approval;</w:t>
      </w:r>
    </w:p>
    <w:p>
      <w:pPr>
        <w:spacing w:after="0" w:line="53" w:lineRule="exact"/>
        <w:rPr>
          <w:rFonts w:ascii="Times New Roman" w:cs="Times New Roman" w:eastAsia="Times New Roman" w:hAnsi="Times New Roman"/>
          <w:sz w:val="18"/>
          <w:szCs w:val="18"/>
          <w:color w:val="auto"/>
        </w:rPr>
      </w:pPr>
    </w:p>
    <w:p>
      <w:pPr>
        <w:ind w:left="900" w:right="280" w:hanging="368"/>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regulatory approval and that we have not out-licensed; and</w:t>
      </w:r>
    </w:p>
    <w:p>
      <w:pPr>
        <w:spacing w:after="0" w:line="53" w:lineRule="exact"/>
        <w:rPr>
          <w:rFonts w:ascii="Times New Roman" w:cs="Times New Roman" w:eastAsia="Times New Roman" w:hAnsi="Times New Roman"/>
          <w:sz w:val="18"/>
          <w:szCs w:val="18"/>
          <w:color w:val="auto"/>
        </w:rPr>
      </w:pPr>
    </w:p>
    <w:p>
      <w:pPr>
        <w:ind w:left="900" w:right="220" w:hanging="368"/>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any future commercialization efforts, as needed, and our operations as a public company.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5" w:name="page36"/>
    <w:bookmarkEnd w:id="35"/>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a product or products that generate significant revenue. The ability to achieve this success will require us to be effective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for our current product candidates. We may never succeed in these activities and, even if we do, may never generate revenues that are significant enough to achieve profitability. Because of the numerous risks and uncertainties associated with pharmaceutical product development, we are unable to accurately predict the timing or amount of increased expenses or when, or if, we will be able to achieve profitability. Our expenses will increase if, among other things:</w:t>
      </w:r>
    </w:p>
    <w:p>
      <w:pPr>
        <w:spacing w:after="0" w:line="84" w:lineRule="exact"/>
        <w:rPr>
          <w:sz w:val="20"/>
          <w:szCs w:val="20"/>
          <w:color w:val="auto"/>
        </w:rPr>
      </w:pPr>
    </w:p>
    <w:p>
      <w:pPr>
        <w:ind w:left="900" w:right="640" w:hanging="368"/>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by the FDA, the EMA, or other regulatory authorities to perform trials or studies in addition to, or different than, those expected;</w:t>
      </w:r>
    </w:p>
    <w:p>
      <w:pPr>
        <w:spacing w:after="0" w:line="53" w:lineRule="exact"/>
        <w:rPr>
          <w:rFonts w:ascii="Times New Roman" w:cs="Times New Roman" w:eastAsia="Times New Roman" w:hAnsi="Times New Roman"/>
          <w:sz w:val="18"/>
          <w:szCs w:val="18"/>
          <w:color w:val="auto"/>
        </w:rPr>
      </w:pPr>
    </w:p>
    <w:p>
      <w:pPr>
        <w:ind w:left="900" w:right="100" w:hanging="368"/>
        <w:spacing w:after="0" w:line="261"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any further delays in completing our ongoing clinical trial or otherwise in the development of any of our current or future product candidates, such as due to any further clinical holds imposed by the FDA (similar to the hold on the IND application for pociredir in SCD that was lifted in August 2023), or due to enrollment challenges (such as for our ongoing clinical trial of pociredir in light of the more stringent inclusion and exclusion criteria); or</w:t>
      </w:r>
    </w:p>
    <w:p>
      <w:pPr>
        <w:spacing w:after="0" w:line="71"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any third-party challenges to our intellectual property or we need to defend against any intellectual property-related claim.</w:t>
      </w:r>
    </w:p>
    <w:p>
      <w:pPr>
        <w:spacing w:after="0" w:line="22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pipeline of product candidates or even continue our operations. A decline in the value of our company could also cause our stockholders to lose all or part of their investment.</w:t>
      </w:r>
    </w:p>
    <w:p>
      <w:pPr>
        <w:spacing w:after="0" w:line="2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expect to devote substantial financial resources to our ongoing and planned activities, particularly as we continue our clinical development of pociredir, continue research and development and initiate additional clinical trials of, and seek regulatory approval for, this and any other product candidates. We expect our expenses to increase substantially in connection with our ongoing activities, particularly as we advance our preclinical activities and Phase 1b clinical trial of pociredir in SCD. In addition, if we obtain regulatory approval for any of our product candidates, we expect to incur significant commercialization expenses related to product manufacturing, sales, marketing and distribution, particularly if we do not out-license our product candidate. Accordingly, we will need to obtain substantial additional funding in connection with our continuing operations. Given current uncertainty in the capital markets and other factors, such funding may not be available on terms favorable to us or at all. If we are unable to raise capital when needed or on acceptable terms, we could be forced to delay, reduce or eliminate our research and development programs or any future commercialization efforts.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900" w:hanging="368"/>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ongoing Phase 1b clinical trial of pociredir in SCD;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planned clinical trials;</w:t>
      </w:r>
    </w:p>
    <w:p>
      <w:pPr>
        <w:spacing w:after="0" w:line="117" w:lineRule="exact"/>
        <w:rPr>
          <w:rFonts w:ascii="Times New Roman" w:cs="Times New Roman" w:eastAsia="Times New Roman" w:hAnsi="Times New Roman"/>
          <w:sz w:val="18"/>
          <w:szCs w:val="18"/>
          <w:color w:val="auto"/>
        </w:rPr>
      </w:pPr>
    </w:p>
    <w:p>
      <w:pPr>
        <w:ind w:left="900" w:right="20" w:hanging="368"/>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discovery research, preclinical development, laboratory testing and clinical trials for any of our product candidates in additional indications or for any future product candidates that we may pursue;</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and development requirements for other product candidates that we pursue;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900" w:right="300" w:hanging="368"/>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 manufacturing arrangements for supply of API and manufacture of our product candidates and the terms of such arrangements;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license agreement with CAMP4;</w:t>
      </w:r>
    </w:p>
    <w:p>
      <w:pPr>
        <w:spacing w:after="0" w:line="117" w:lineRule="exact"/>
        <w:rPr>
          <w:rFonts w:ascii="Times New Roman" w:cs="Times New Roman" w:eastAsia="Times New Roman" w:hAnsi="Times New Roman"/>
          <w:sz w:val="18"/>
          <w:szCs w:val="18"/>
          <w:color w:val="auto"/>
        </w:rPr>
      </w:pPr>
    </w:p>
    <w:p>
      <w:pPr>
        <w:ind w:left="900" w:right="640" w:hanging="368"/>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strategic collaborations, licensing or other arrangements and the financial terms of such arrangements;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royalties and other collaboration-based revenues, if any;</w:t>
      </w:r>
    </w:p>
    <w:p>
      <w:pPr>
        <w:spacing w:after="0" w:line="117" w:lineRule="exact"/>
        <w:rPr>
          <w:rFonts w:ascii="Times New Roman" w:cs="Times New Roman" w:eastAsia="Times New Roman" w:hAnsi="Times New Roman"/>
          <w:sz w:val="18"/>
          <w:szCs w:val="18"/>
          <w:color w:val="auto"/>
        </w:rPr>
      </w:pPr>
    </w:p>
    <w:p>
      <w:pPr>
        <w:ind w:left="900" w:right="160" w:hanging="368"/>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sales, marketing and distribution, for any of our product candidates for which we may receive marketing approval and that we do not out-license for commercialization;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ind w:left="900" w:hanging="368"/>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our product candidates for which we receive marketing approval;</w:t>
      </w:r>
    </w:p>
    <w:p>
      <w:pPr>
        <w:spacing w:after="0" w:line="117" w:lineRule="exact"/>
        <w:rPr>
          <w:rFonts w:ascii="Times New Roman" w:cs="Times New Roman" w:eastAsia="Times New Roman" w:hAnsi="Times New Roman"/>
          <w:sz w:val="18"/>
          <w:szCs w:val="18"/>
          <w:color w:val="auto"/>
        </w:rPr>
      </w:pPr>
    </w:p>
    <w:p>
      <w:pPr>
        <w:ind w:left="900" w:right="820" w:hanging="368"/>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products, product candidates, technologies or data referencing rights.</w:t>
      </w:r>
    </w:p>
    <w:p>
      <w:pPr>
        <w:spacing w:after="0" w:line="22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2025, we had cash, cash equivalents, and marketable securities of approximately $200.6 million. We believe that our cash, cash equivalents, and marketable securities as of September 30, 2025 will enable us to fund our operating expenses and capital expenditure requirements into 2028. However, we have based this estimate on assumptions that may prove to be wrong, and our operating plan may change as a result of many factors currently unknown to us. As a result, we could deplete our capital resources sooner than we currently expect.</w:t>
      </w:r>
    </w:p>
    <w:p>
      <w:pPr>
        <w:spacing w:after="0" w:line="180"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For example, we invested significant time and effort into developing losmapimod for FSHD but did not demonstrate a statistically significant difference between losmapimod and placebo on the primary endpoint in the Phase 3 REACH trial, for which we announced topline data in September 2024 and thereafter discontinued development. In addition, our product candidates, if approved, may not achieve commercial success. Commercial revenues, if any, will not be derived unless and until we can achieve sales of products, which we do not anticipate for several years, if at all. Accordingly, we will need to continue to rely on additional financing to achieve our business objectives. Adequate additional financing may not be available to us on acceptable terms, or at all, and may become even more difficult to obtain due to rising interest rates and the recent downturn in the U.S. capital markets and the biotechnology sector in general. In addition, we may seek additional capital due to favorable market conditions or strategic considerations, even if we believe we have sufficient funds for our current or future operating plans. If adequate funds are not available to us on a timely basis, we may be required to delay, limit, reduce or terminate preclinical studies, clinical trials or other development activities for one or more of our product candidates or discovery stage programs or delay, limit, reduce or terminate our establishment of sales and marketing capabilities or other activities that may be necessary to bring our product candidates to market. We may also choose to further realign our operations to achieve additional operational efficiencies beyond the strategic realignment effected in September 2024.</w:t>
      </w:r>
    </w:p>
    <w:p>
      <w:pPr>
        <w:spacing w:after="0" w:line="30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5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collaborations, strategic alliances and marketing, distribution or licensing arrangements. We do not have any committed external source of funds. To the extent that we raise additional capital through the sale of equity or convertible debt securities, our stockholders’ ownership interests will be diluted, and the terms of these securities may include liquidation or other preferences that adversely affect our stockholders’ rights as common stockholders. Debt financing and preferred equity financing, if available, may involve agreements that include covenants limiting or restricting our ability to take specific actions, such as incurring additional debt, selling or licensing our assets, making capital expenditures or declaring dividends.</w:t>
      </w:r>
    </w:p>
    <w:p>
      <w:pPr>
        <w:spacing w:after="0" w:line="18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relied, and in the future anticipate we will rely, in part on sales of our common stock through an at-the-market, or ATM, offering program. Increased volatility and decreases in market prices of equity securities generally and of our common stock in particular may have an adverse impact on our willingness and/or ability to continue to sell our common stock through our ATM offering program. Decreases in these sales could affect the cost or availability of equity capital, which could in turn have an adverse effect on our business, including current operations, future growth, revenues, net income and the market prices of our common stock.</w:t>
      </w:r>
    </w:p>
    <w:p>
      <w:pPr>
        <w:spacing w:after="0" w:line="18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February 2024, we established a new ATM offering program to sell shares of our common stock having an aggregate offering price of up to $100.0 million from time to time. Given the overall volatility in the capital markets, we may not be willing or able to continue to raise equity capital through our ATM offering program. We may, therefore, need to turn to other sources of funding that may have terms that are not favorable to us, or reduce our business operations given capital constraints.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ind w:firstLine="509"/>
        <w:spacing w:after="0" w:line="256" w:lineRule="auto"/>
        <w:rPr>
          <w:sz w:val="20"/>
          <w:szCs w:val="20"/>
          <w:color w:val="auto"/>
        </w:rPr>
      </w:pPr>
      <w:r>
        <w:rPr>
          <w:rFonts w:ascii="Times New Roman" w:cs="Times New Roman" w:eastAsia="Times New Roman" w:hAnsi="Times New Roman"/>
          <w:sz w:val="18"/>
          <w:szCs w:val="18"/>
          <w:color w:val="auto"/>
        </w:rPr>
        <w:t>Alternative financing arrangements could involve issuances of one or more types of securities, including common stock, preferred stock, convertible debt, warrants to acquire common stock or other securities. These securities could be issued at or below the then prevailing market price for our common stock. In addition, if we issue debt securities, the holders of the debt would have a claim to our assets that would be superior to the rights of stockholders until the principal, accrued and unpaid interest and any premium or make-whole has been paid. In addition, if we borrow funds and/or issue debt securities through a subsidiary, the lenders and/or holders of those debt securities would have a right to payment that would be effectively senior to our equity ownership in the subsidiary, which would adversely affect the rights of holders of both our equity securities and, if any, our debt and debt securities.</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Interest on any newly-issued debt securities and/or newly-incurred borrowings would increase our operating costs and reduce our net income, and these impacts may be material. If the issuance of new securities results in diminished rights to holders of our common stock, the market price of our common stock could be materially and adversely affected. Should the financing we require to sustain our working capital needs be unavailable or prohibitively expensive when we require it, the consequences could result in a material adverse effect on our business, operating results, financial condition and prospects.</w:t>
      </w:r>
    </w:p>
    <w:p>
      <w:pPr>
        <w:spacing w:after="0" w:line="28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have been focused on research and development and conducting clinical trials, which may make it difficult for stockholders to evaluate the success of our business to date and to assess our future viability.</w:t>
      </w:r>
    </w:p>
    <w:p>
      <w:pPr>
        <w:spacing w:after="0" w:line="15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commenced activities in 2015 and are a clinical-stage biotechnology company. Our operations to date have been limited to organizing and staffing our company, business planning, raising capital, establishing our intellectual property, building our discovery platform, identifying drug targets and potential product candidates, in-licensing assets, producing drug substance and drug product material for use in clinical trials and conducting preclinical studies and clinical trials. We have not yet demonstrated our ability to successfully develop any product candidate, obtain regulatory approvals, manufacture a commercial scale product or arrange for a third party to do so on our behalf, or conduct sales and marketing activities necessary for successful product commercialization or arrange for a third party to do so on our behalf. Consequently, any predictions stockholders make about our future success or viability may not be as accurate as they could be if we had a history of successfully developing and commercializing products.</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as our business evolves, we may encounter unforeseen expenses, difficulties, complications, delays and other known and unknown factors, such as our announcement in September 2024 that our Phase 3 REACH trial evaluating losmapimod for FSHD did not achieve its primary endpoint of change from baseline in relative surface area compared to placebo, and subsequent implementation of a plan to reprioritize research and development activities to focus on our other programs and reduction in workforce. If we are successful in moving our current pipeline programs through the clinic, we will need to transition at some point from a company with a research and development focus to a company capable of supporting commercial activities. We may not be successful in such a transition.</w:t>
      </w:r>
    </w:p>
    <w:p>
      <w:pPr>
        <w:spacing w:after="0" w:line="18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fluctuate significantly from quarter-to-quarter and year-to-year due to a variety of factors, many of which are beyond our control. Accordingly, stockholders should not rely upon the results of any quarterly or annual periods as indications of future operating performance.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implementation or interpretation may adversely affect our business and financial condition.</w:t>
      </w:r>
    </w:p>
    <w:p>
      <w:pPr>
        <w:spacing w:after="0" w:line="22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including with respect to net operating losses and research and development tax credits, could adversely affect us or holders of our common stock. In recent years, many such changes have been made and changes are likely to continue to occur in the future. For example, legislation commonly referred to as the One Big Beautiful Bill Act, or OBBBA, enacted on July 4, 2025, makes significant changes to the U.S. tax laws. For example, for tax years beginning after December 31, 2024, the OBBBA restores the tax deductibility of domestic research and development expenses in the year incurred, which expenses had been required under the 2017 Tax Cuts and Jobs Act to be capitalized and subsequently amortized over five years. The OBBBA did not change the tax treatment of expenses incurred in research and development activities conducted outside the United States, which expenses continue to be required to be capitalized and amortized over 15 years. We have evaluated the impact of the OBBBA and determined that it does not have a material impact on our consolidated financial position and results of operations.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8" w:name="page39"/>
    <w:bookmarkEnd w:id="38"/>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research and development tax credit carryforwards to offset future taxable income may be subject to certain limitations.</w:t>
      </w:r>
    </w:p>
    <w:p>
      <w:pPr>
        <w:spacing w:after="0" w:line="15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2024, we had federal net operating loss carryforwards of $5.0 million, which may be available to offset future taxable income and do not expire, but are limited in their usage to an annual deduction equal to 80% of annual taxable income. As of December 31, 2024, we had state net operating loss carryforwards of $6.2 million, which begin to expire in 2044. As of December 31, 2024, we also had federal orphan drug credits of $2.2 million, which begin to expire in 2044. As of December 31, 2024, we also had federal and state research and development tax credit carryforwards of $0.3 million and $0.2 million, respectively, which begin to expire in 2039. These net operating loss and tax credit carryforwards could expire unused and be unavailable to offset future income tax liabilities.</w:t>
      </w:r>
    </w:p>
    <w:p>
      <w:pPr>
        <w:spacing w:after="0" w:line="187"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general, under Section 382 of the Code, or Section 382, and corresponding provisions of state law, a corporation that undergoes an “ownership change,” which is generally defined as a greater than 50% change, by value, in its equity ownership by certain stockholders over a three-year period, is subject to limitations on its ability to utilize its pre-change net operating losses and research and development tax credit carryforwards to offset future taxable income. We conducted an analysis under Section 382 and determined that for purposes of Section 382, we were deemed to have undergone an ownership change as of September 12, 2024. Accordingly, we determined that all net operating loss carryforwards and credits generated before September 12, 2024 are limited. As a result, the carryforwards before the deemed ownership change date of September 12, 2024 are not available for utilization and have been written off. The carryforwards as of December 31, 2024 were generated after the deemed ownership change. If we experience a further deemed change of control for purposes of Section 382, utilization of the net operating loss carryforwards or research and development tax credit carryforwards generated after September 12, 2024 would be subject to an annual limitation under Section 382.</w:t>
      </w:r>
    </w:p>
    <w:p>
      <w:pPr>
        <w:spacing w:after="0" w:line="188" w:lineRule="exact"/>
        <w:rPr>
          <w:sz w:val="20"/>
          <w:szCs w:val="20"/>
          <w:color w:val="auto"/>
        </w:rPr>
      </w:pPr>
    </w:p>
    <w:p>
      <w:pPr>
        <w:ind w:right="100" w:firstLine="509"/>
        <w:spacing w:after="0" w:line="312" w:lineRule="auto"/>
        <w:rPr>
          <w:sz w:val="20"/>
          <w:szCs w:val="20"/>
          <w:color w:val="auto"/>
        </w:rPr>
      </w:pPr>
      <w:r>
        <w:rPr>
          <w:rFonts w:ascii="Times New Roman" w:cs="Times New Roman" w:eastAsia="Times New Roman" w:hAnsi="Times New Roman"/>
          <w:sz w:val="17"/>
          <w:szCs w:val="17"/>
          <w:color w:val="auto"/>
        </w:rPr>
        <w:t>We have a history of cumulative losses and anticipate that we will continue to incur significant losses in the foreseeable future; thus, we do not know whether or when we will generate taxable income necessary to utilize our net operating losses or research and development tax credit carryforwards.</w:t>
      </w:r>
    </w:p>
    <w:p>
      <w:pPr>
        <w:spacing w:after="0" w:line="244"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financial condition and results of operations.</w:t>
      </w:r>
    </w:p>
    <w:p>
      <w:pPr>
        <w:spacing w:after="0" w:line="17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In March 2023, a number of banks (e.g., Silicon Valley Bank, Signature Bank and Silvergate Capital Corp.) were placed into receivership, followed by First Republic Bank in May 2023. Although the Federal Deposit Insurance Corporation, or FDIC, and others have taken steps to reduce risk to uninsured depositors, borrowers under credit agreements, letters of credit and certain other financial instruments with such banks or any other financial institution that is placed into receivership by the FDIC may be unable to access undrawn amounts thereunder. Even 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affecting the financial services industry or economy in general, such as these recent bank failures. These factors could also include, among others,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and the supervision thereof. In addition, investor concerns regarding the United States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contractual obligations or result in violations of federal or state wage and hour laws, which could have material adverse effect on our liquidity and on our business, financial condition or results of operations.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Product Candidates</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and we currently have one product candidate in active clinical development. If we are unable to commercialize directly or out-license to a third party any of our product candidates or experience significant delays in doing so, our business will be materially harmed.</w:t>
      </w:r>
    </w:p>
    <w:p>
      <w:pPr>
        <w:spacing w:after="0" w:line="6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are early in our development efforts, and we have advanced only two product candidates into clinical trials. In September 2024, we announced that REACH, our Phase 3 clinical trial of losmapimod for the treatment of FSHD, did not meet its primary endpoint and we suspended development of losmapimod. As a result, we currently have only one product candidate in active clinical development, pociredir for the treatment of SCD. We have invested substantially all of our efforts and financial resources in identifying and validating and conducting clinical trials on cellular drug targets that can potentially modulate gene expression to address the root cause of genetically-defined rare diseases. Our ability to generate product revenues, which we do not expect will occur for several years, if ever, will depend heavily on the successful development, regulatory approval and eventual commercialization of any of our product candidates. The success of any of our product candidates will depend on several factors, including the following:</w:t>
      </w:r>
    </w:p>
    <w:p>
      <w:pPr>
        <w:spacing w:after="0" w:line="81" w:lineRule="exact"/>
        <w:rPr>
          <w:sz w:val="20"/>
          <w:szCs w:val="20"/>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completing preclinical studies and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by the FDA or other regulatory agencies of the INDs, clinical trial applications, or CTAs, or other regulatory filings;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maintaining a workforce of experienced scientists and others to continue development efforts;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applying for and receiving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intellectual property protection and regulatory exclusivity;</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for, or establishing, commercial manufacturing capabilities;</w:t>
      </w:r>
    </w:p>
    <w:p>
      <w:pPr>
        <w:spacing w:after="0" w:line="117" w:lineRule="exact"/>
        <w:rPr>
          <w:rFonts w:ascii="Times New Roman" w:cs="Times New Roman" w:eastAsia="Times New Roman" w:hAnsi="Times New Roman"/>
          <w:sz w:val="18"/>
          <w:szCs w:val="18"/>
          <w:color w:val="auto"/>
        </w:rPr>
      </w:pPr>
    </w:p>
    <w:p>
      <w:pPr>
        <w:ind w:left="900" w:right="120" w:hanging="368"/>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successfully launching commercial sales, if and when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coverage, adequate pricing and adequate reimbursement from third-party payors, including government payors;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enforcing, defending and protecting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infringing, misappropriating or otherwise violating others’ intellectual property or proprietary rights;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following receipt of any regulatory approvals.</w:t>
      </w:r>
    </w:p>
    <w:p>
      <w:pPr>
        <w:spacing w:after="0" w:line="225"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develop and commercialize any product candidates, which would materially harm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build a pipeline of product candidates.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current strategy is focused on developing small molecules to improve the lives of patients with genetically defined rare diseases. Even if we are successful in identifying drug targets and potential product candidates, such candidates that we identify may not be suitable for clinical development, including as a result of being shown to have harmful side effects or other characteristics that indicate that they are unlikely to receive marketing approval and achieve market acceptance. Identifying, developing, obtaining regulatory approval for and commercializing additional product candidates will require substantial additional funding and is prone to the risks of failure inherent in product development. We cannot provide stockholders any assurance that we will be able to successfully identify additional product candidates, advance any additional product candidates through the development process or successfully commercialize any such additional product candidates. Regulatory authorities have substantial discretion in the approval process and may cause delays in the approval or rejection of an application. As a result of these factors, it is difficult for us to predict the time and cost of product candidate development. There can be no assurance that any development problems we experience in the future related to our discovery technologies or any of our research or development programs will not cause significant delays or unanticipated costs, or that such development problems can be solved. If we do not successfully identify, develop, obtain regulatory approval for and commercialize product candidates, we will not be able to generate product revenues.</w:t>
      </w:r>
    </w:p>
    <w:p>
      <w:pPr>
        <w:spacing w:after="0" w:line="1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40" w:name="page41"/>
    <w:bookmarkEnd w:id="40"/>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currently have only one product candidate in active clinical development following our decision to suspend further development of losmapimod. The risk of failure for product candidates is high and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 in humans. We have not yet completed a pivotal clinical trial of any product candidate that demonstrated that our product candidate is safe and effective for its intended use. For example, in September 2024, we announced that REACH, our Phase 3 trial evaluating losmapimod in patients with FSHD, did not successfully achieve its primary endpoint as compared to placebo, and we suspended further development of losmapimod. Additionally, pociredir, our clinical-stage candidate to treat SCD, is an EED inhibitor. EED is a member of the PRC2 complex, which also includes EZH2. There are approved products in the EZH2 class of medications and their approved labeling outlines safety risks, including an increased risk of malignancies. In the event that pociredir has similar safety risks as other PRC2 medications, this could impact its acceptance. 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w:t>
      </w:r>
    </w:p>
    <w:p>
      <w:pPr>
        <w:spacing w:after="0" w:line="8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Before we can commence clinical trials for a product candidate, we must complete extensive preclinical testing and studies that support our planned INDs and other regulatory filings in the United States and abroad. We cannot be certain of the timely completion or outcome of our preclinical testing and studies and cannot predict if the FDA or other regulatory agencies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or continue. For example, in February 2023, the FDA imposed a clinical hold on our IND for pociredir in SCD. We worked diligently to resolve the hold as soon as possible, and in August 2023, the FDA lifted the clinical hold. Product candidates are subject to continued preclinical safety studies, which may be conducted concurrent with our clinical testing. The outcomes of these safety studies may delay the launch of or enrollment in future clinical trials and could impact our ability to continue to conduct our clinical trials.</w:t>
      </w:r>
    </w:p>
    <w:p>
      <w:pPr>
        <w:spacing w:after="0" w:line="86" w:lineRule="exact"/>
        <w:rPr>
          <w:sz w:val="20"/>
          <w:szCs w:val="20"/>
          <w:color w:val="auto"/>
        </w:rPr>
      </w:pPr>
    </w:p>
    <w:p>
      <w:pPr>
        <w:ind w:right="60" w:firstLine="509"/>
        <w:spacing w:after="0" w:line="268" w:lineRule="auto"/>
        <w:rPr>
          <w:sz w:val="20"/>
          <w:szCs w:val="20"/>
          <w:color w:val="auto"/>
        </w:rPr>
      </w:pPr>
      <w:r>
        <w:rPr>
          <w:rFonts w:ascii="Times New Roman" w:cs="Times New Roman" w:eastAsia="Times New Roman" w:hAnsi="Times New Roman"/>
          <w:sz w:val="17"/>
          <w:szCs w:val="17"/>
          <w:color w:val="auto"/>
        </w:rPr>
        <w:t>Clinical testing is expensive, difficult to design and implement, can take many years to complete and is uncertain as to outcome. We cannot guarantee that any clinical trials will be conducted as planned or completed on schedule, or at all. For example, we revised the inclusion and exclusion criteria of our clinical trial of pociredir in SCD to address the clinical hold imposed by the FDA, and are experiencing some difficulty enrolling patients who meet the updated more stringent criteria. While we are expanding our clinical trial sites, including outside the United States, to identify suitable patients that meet the new criteria, there can be no certainty as to whether we will be successful in completing the clinical trial with its revised design. A failure of one or more clinical trials can occur at any stage of testing, which may result from a multitude of factors, including, but not limited to, flaws in study design, dose selection issues, placebo effects, patient enrollment criteria and failure to demonstrate favorable safety or efficacy traits. In September 2024 we suspended further development of losmapimod after topline data from the Phase 3 REACH trial indicated that it did not achieve its primary endpoint of change from baseline in relative surface area, a measure of reachable work space, compared to placebo.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A lack of clinical benefit may be due to insufficient dosing or for other reasons.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of our product candidates to demonstrate safety and efficacy in any clinical trial could negatively impact the perception of our other product candidates and/or cause the FDA or other regulatory authorities to require additional testing before approving any of our product candidates.</w:t>
      </w:r>
    </w:p>
    <w:p>
      <w:pPr>
        <w:spacing w:after="0" w:line="393"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54" w:lineRule="exact"/>
        <w:rPr>
          <w:sz w:val="20"/>
          <w:szCs w:val="20"/>
          <w:color w:val="auto"/>
        </w:rPr>
      </w:pPr>
    </w:p>
    <w:p>
      <w:pPr>
        <w:ind w:left="900" w:right="200" w:hanging="368"/>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or IRBs,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900" w:right="780" w:hanging="368"/>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1" w:name="page42"/>
    <w:bookmarkEnd w:id="41"/>
    <w:p>
      <w:pPr>
        <w:ind w:left="900" w:right="380" w:hanging="368"/>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decide the design of our clinical trials is flawed, for example if our trial protocol does not evaluate treatment effects in trial subjects for a sufficient length of time;</w:t>
      </w:r>
    </w:p>
    <w:p>
      <w:pPr>
        <w:spacing w:after="0" w:line="53" w:lineRule="exact"/>
        <w:rPr>
          <w:rFonts w:ascii="Times New Roman" w:cs="Times New Roman" w:eastAsia="Times New Roman" w:hAnsi="Times New Roman"/>
          <w:sz w:val="18"/>
          <w:szCs w:val="18"/>
          <w:color w:val="auto"/>
        </w:rPr>
      </w:pPr>
    </w:p>
    <w:p>
      <w:pPr>
        <w:ind w:left="900" w:right="440" w:hanging="368"/>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such as with the Phase 3 REACH trial, and we may decide, or regulators may require us, to conduct additional clinical trials or abandon product development programs;</w:t>
      </w:r>
    </w:p>
    <w:p>
      <w:pPr>
        <w:spacing w:after="0" w:line="53" w:lineRule="exact"/>
        <w:rPr>
          <w:rFonts w:ascii="Times New Roman" w:cs="Times New Roman" w:eastAsia="Times New Roman" w:hAnsi="Times New Roman"/>
          <w:sz w:val="18"/>
          <w:szCs w:val="18"/>
          <w:color w:val="auto"/>
        </w:rPr>
      </w:pPr>
    </w:p>
    <w:p>
      <w:pPr>
        <w:ind w:left="900" w:right="380" w:hanging="368"/>
        <w:spacing w:after="0" w:line="312" w:lineRule="auto"/>
        <w:tabs>
          <w:tab w:leader="none" w:pos="9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establish clinical endpoints that applicable regulatory authorities would consider clinically meaningful, or, if we seek accelerated approval, biomarker efficacy endpoints that applicable regulatory authorities would consider likely to predict clinical benefit;</w:t>
      </w:r>
    </w:p>
    <w:p>
      <w:pPr>
        <w:spacing w:after="0" w:line="31" w:lineRule="exact"/>
        <w:rPr>
          <w:rFonts w:ascii="Times New Roman" w:cs="Times New Roman" w:eastAsia="Times New Roman" w:hAnsi="Times New Roman"/>
          <w:sz w:val="17"/>
          <w:szCs w:val="17"/>
          <w:color w:val="auto"/>
        </w:rPr>
      </w:pPr>
    </w:p>
    <w:p>
      <w:pPr>
        <w:ind w:left="900" w:hanging="368"/>
        <w:spacing w:after="0" w:line="266"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testing may produce results based on which we may decide, or regulators may require us, to conduct additional preclinical studies before we proceed with certain clinical trials, limit the scope of our clinical trials, halt ongoing clinical trial(s) or abandon product development programs;</w:t>
      </w:r>
    </w:p>
    <w:p>
      <w:pPr>
        <w:spacing w:after="0" w:line="67" w:lineRule="exact"/>
        <w:rPr>
          <w:rFonts w:ascii="Times New Roman" w:cs="Times New Roman" w:eastAsia="Times New Roman" w:hAnsi="Times New Roman"/>
          <w:sz w:val="18"/>
          <w:szCs w:val="18"/>
          <w:color w:val="auto"/>
        </w:rPr>
      </w:pPr>
    </w:p>
    <w:p>
      <w:pPr>
        <w:ind w:left="900" w:right="120" w:hanging="368"/>
        <w:spacing w:after="0" w:line="266"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(for example, we initially experienced difficulty enrolling patients who met the updated inclusion and exclusion criteria for our trial of pociredir in SCD) or participants may drop out of these clinical trials at a higher rate than we anticipate;</w:t>
      </w:r>
    </w:p>
    <w:p>
      <w:pPr>
        <w:spacing w:after="0" w:line="67" w:lineRule="exact"/>
        <w:rPr>
          <w:rFonts w:ascii="Times New Roman" w:cs="Times New Roman" w:eastAsia="Times New Roman" w:hAnsi="Times New Roman"/>
          <w:sz w:val="18"/>
          <w:szCs w:val="18"/>
          <w:color w:val="auto"/>
        </w:rPr>
      </w:pPr>
    </w:p>
    <w:p>
      <w:pPr>
        <w:ind w:left="900" w:right="40" w:hanging="368"/>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900" w:right="440" w:hanging="368"/>
        <w:spacing w:after="0" w:line="312" w:lineRule="auto"/>
        <w:tabs>
          <w:tab w:leader="none" w:pos="9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decide, or regulators or IRBs may require us, to suspend or terminate clinical trials of our product candidates for various reasons, including noncompliance with regulatory requirements or a finding that the participants are being exposed to unacceptable health risks;</w:t>
      </w:r>
    </w:p>
    <w:p>
      <w:pPr>
        <w:spacing w:after="0" w:line="31" w:lineRule="exact"/>
        <w:rPr>
          <w:rFonts w:ascii="Times New Roman" w:cs="Times New Roman" w:eastAsia="Times New Roman" w:hAnsi="Times New Roman"/>
          <w:sz w:val="17"/>
          <w:szCs w:val="17"/>
          <w:color w:val="auto"/>
        </w:rPr>
      </w:pPr>
    </w:p>
    <w:p>
      <w:pPr>
        <w:ind w:left="900" w:right="260" w:hanging="368"/>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may require us to perform additional or unanticipated clinical trials to obtain approval or we may be subject to additional post-marketing testing requirements to maintain regulatory approval;</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anticipate;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w:t>
      </w:r>
    </w:p>
    <w:p>
      <w:pPr>
        <w:spacing w:after="0" w:line="117" w:lineRule="exact"/>
        <w:rPr>
          <w:rFonts w:ascii="Times New Roman" w:cs="Times New Roman" w:eastAsia="Times New Roman" w:hAnsi="Times New Roman"/>
          <w:sz w:val="18"/>
          <w:szCs w:val="18"/>
          <w:color w:val="auto"/>
        </w:rPr>
      </w:pPr>
    </w:p>
    <w:p>
      <w:pPr>
        <w:ind w:left="900" w:right="680" w:hanging="368"/>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53" w:lineRule="exact"/>
        <w:rPr>
          <w:rFonts w:ascii="Times New Roman" w:cs="Times New Roman" w:eastAsia="Times New Roman" w:hAnsi="Times New Roman"/>
          <w:sz w:val="18"/>
          <w:szCs w:val="18"/>
          <w:color w:val="auto"/>
        </w:rPr>
      </w:pPr>
    </w:p>
    <w:p>
      <w:pPr>
        <w:ind w:left="900" w:right="380" w:hanging="368"/>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or our investigators, regulators or IRBs to suspend or terminate the trials;</w:t>
      </w:r>
    </w:p>
    <w:p>
      <w:pPr>
        <w:spacing w:after="0" w:line="53" w:lineRule="exact"/>
        <w:rPr>
          <w:rFonts w:ascii="Times New Roman" w:cs="Times New Roman" w:eastAsia="Times New Roman" w:hAnsi="Times New Roman"/>
          <w:sz w:val="18"/>
          <w:szCs w:val="18"/>
          <w:color w:val="auto"/>
        </w:rPr>
      </w:pPr>
    </w:p>
    <w:p>
      <w:pPr>
        <w:ind w:left="900" w:hanging="368"/>
        <w:spacing w:after="0" w:line="261"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global instability, including political instability, such as the Russian invasion of Ukraine or hostilities in Israel and the Gaza Strip or Iran, changes in U.S. economic policy that adversely impact the U.S. economy and/or economies worldwide, or instability from an outbreak of pandemic or contagious disease in or around the countries in which we conduct our clinical trials (such as closure of clinical trial sites, as we experienced in our ReDUX4 clinical trial due to COVID-19), could delay the commencement or rate of completion of our clinical trials; and</w:t>
      </w:r>
    </w:p>
    <w:p>
      <w:pPr>
        <w:spacing w:after="0" w:line="71" w:lineRule="exact"/>
        <w:rPr>
          <w:rFonts w:ascii="Times New Roman" w:cs="Times New Roman" w:eastAsia="Times New Roman" w:hAnsi="Times New Roman"/>
          <w:sz w:val="18"/>
          <w:szCs w:val="18"/>
          <w:color w:val="auto"/>
        </w:rPr>
      </w:pPr>
    </w:p>
    <w:p>
      <w:pPr>
        <w:ind w:left="900" w:right="460" w:hanging="368"/>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withdraw their approval of a product or impose restrictions on its distribution, such as in the form of a risk evaluation and mitigation strategy, or REMS.</w:t>
      </w:r>
    </w:p>
    <w:p>
      <w:pPr>
        <w:spacing w:after="0" w:line="5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Further, in February 2023, the FDA imposed a clinical hold on our IND for pociredir in SCD, which halted our clinical trial until the FDA lifted the clinical hold in August 2023.</w:t>
      </w:r>
    </w:p>
    <w:p>
      <w:pPr>
        <w:spacing w:after="0" w:line="5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such as our topline data from the Phase 3 REACH trial, or are only modestly positive or if there are safety concerns, we may:</w:t>
      </w:r>
    </w:p>
    <w:p>
      <w:pPr>
        <w:spacing w:after="0" w:line="68" w:lineRule="exact"/>
        <w:rPr>
          <w:sz w:val="20"/>
          <w:szCs w:val="20"/>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further development (such as with losmapimod for FSHD);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or a REMS that includes significant use or distribution restrictions or safety warnings;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in obtaining marketing approvals. We do not know whether any of our preclinical studies or clinical trials will begin as planned, will need to be restructured or will be completed on schedule, or at all. We may also determine to change the design or protocol of one or more of our clinical trials, including to add additional patients or arms, which could result in increased costs and expenses and/or delays.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29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Identifying and qualifying patients to participate in and complete clinical trials for our product candidates is critical to our success. Successful and timely completion of clinical trials requires that we enroll a sufficient number of patients that meet both the enrollment criteria, and who remain in the trial until its conclusion. For example, in our Phase 1b trial of pociredir, although we enrolled six subjects in the initial cohort, only three subjects remained evaluable as of the initial data cutoff date. Subsequently, we modified the study protocol to monitor subject adherence. However, if such protocols do not improve adherence and improve compliance, we may not be able to generate meaningful data. Furthermore, we may not be able to initiate or continue clinical trials for our product candidates if we are unable to locate and enroll a sufficient number of eligible patients to participate in these trials as required by the FDA or similar regulatory authorities outside of the United States. We revised the design of our clinical trial of pociredir in SCD to address the clinical hold imposed by the FDA, and there can be no certainty as to whether we will be successful in completing the clinical trial with its revised design, which includes updated inclusion and exclusion criteria and thus a narrower set of eligible patients, which necessitated our expansion of the trial outside of the United States to address initial enrollment difficulties. Because of our primary focus on genetically-defined rare diseases, we may have difficulty enrolling a sufficient number of eligible patients.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Patient enrollment is affected by a variety of other factors, including:</w:t>
      </w:r>
    </w:p>
    <w:p>
      <w:pPr>
        <w:spacing w:after="0" w:line="117" w:lineRule="exact"/>
        <w:rPr>
          <w:sz w:val="20"/>
          <w:szCs w:val="20"/>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the disease under investigation;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 in question (such as with our trial of pociredir for SCD);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trial;</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the trial protocols, including invasive procedures;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existing treatments for the indications for which we are conducting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conduct of clinical trials by competitors for product candidates that treat the same indications as our current or future product candidates;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specific patient populations for biomarker-defined trial cohort(s);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or lack of adequate compensation for, prospective patients.</w:t>
      </w:r>
    </w:p>
    <w:p>
      <w:pPr>
        <w:spacing w:after="0" w:line="11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Our inability to locate and enroll a sufficient number of patients for our clinical trials would result in significant delays, could require us to abandon one or more clinical trials altogether and could delay or prevent our receipt of necessary regulatory approvals.</w:t>
      </w:r>
    </w:p>
    <w:p>
      <w:pPr>
        <w:spacing w:after="0" w:line="5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Enrollment delays in our clinical trials may result in increased development costs for our product candidates, which would cause the value of our company to decline and limit our ability to obtain additional financing.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3" w:name="page44"/>
    <w:bookmarkEnd w:id="43"/>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serious adverse events or unacceptable side effects are identified during the development of our product candidates, we may need to abandon or limit our development of our product candidate.</w:t>
      </w:r>
    </w:p>
    <w:p>
      <w:pPr>
        <w:spacing w:after="0" w:line="5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If our product candidates are associated with serious adverse events or undesirable side effects in clinical trials or have characteristics that are unexpected in clinical trials or preclinical testing, we may need to abandon their development or limit development to more narrow uses or subpopulations in which the serious adverse events, undesirable side effects or other characteristics are less prevalent, less severe or more acceptable from a risk-benefit perspective.</w:t>
      </w:r>
    </w:p>
    <w:p>
      <w:pPr>
        <w:spacing w:after="0" w:line="7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For example, in February 2023, the FDA placed our IND for pociredir on clinical hold based on hematological malignancies observed in nonclinical toxicology studies. We addressed the FDA’s concern as diligently as possible, including FDA’s request for information about an SCD patient population with an appropriate benefit-risk profile for further clinical development of pociredir, and FDA's request for information to define the potential risk in any further studies that may be conducted in healthy volunteers. Although the FDA lifted the clinical hold in August 2023, we cannot make assurances that patients treated with pociredir will not develop hematological malignancies or other adverse events in the future. We also cannot make assurances that additional observations in preclinical studies of hematological malignancies or other adverse events will not occur. If such additional adverse events were to emerge, further advancement of our clinical studies could be halted or delayed and we may not receive regulatory approval for pociredir. Even if we receive regulatory approval for pociredir, our labeling may be restricted and/or market acceptance for our product may be diminished, and the commercial potential of our pociredir program may be materially and negatively impacted.</w:t>
      </w:r>
    </w:p>
    <w:p>
      <w:pPr>
        <w:spacing w:after="0" w:line="80"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 pharmaceutical development, many compounds that initially show promise in early-stage or clinical testing are later found to cause side effects that delay or prevent further development of the compound.</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Additionally, if results of our clinical trials reveal unacceptable side effects, we, the FDA or the IRBs at the institutions in which our studies are conducted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If we elect or are forced to suspend or terminate any clinical trial of our product candidates, the commercial prospects of such product candidate will be harmed, and our ability to generate product revenue from such product candidate will be delayed or eliminated. Any of these occurrences could materially harm our business.</w:t>
      </w:r>
    </w:p>
    <w:p>
      <w:pPr>
        <w:spacing w:after="0" w:line="29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p>
    <w:p>
      <w:pPr>
        <w:spacing w:after="0" w:line="51"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one or more of our product candidates receives regulatory approval, and we, or others, later discover that they are less effective than previously believed, or cause undesirable side effects, a number of potentially significant negative consequences could result, including:</w:t>
      </w:r>
    </w:p>
    <w:p>
      <w:pPr>
        <w:spacing w:after="0" w:line="75" w:lineRule="exact"/>
        <w:rPr>
          <w:sz w:val="20"/>
          <w:szCs w:val="20"/>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or limitation by regulatory authorities of approvals of such product;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 of the product by regulatory authorities;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the product;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of the product or the manufacturing process for any component thereof;</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by regulatory authorities of additional warnings on the label, such as a “black box” warning or contraindication;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that we implement a REMS or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to expensive post-marketing studies as a prerequisite of approval by regulatory authorities of such product;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regulatory investigations and government enforcement actions;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legal action against us to hold us liable for harm caused to patients;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 and resulting harm to physician or patient acceptance of our products.</w:t>
      </w:r>
    </w:p>
    <w:p>
      <w:pPr>
        <w:spacing w:after="0" w:line="225"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a particular product candidate, if approved, and could significantly harm our business, financial condition, and results of operations.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4" w:name="page45"/>
    <w:bookmarkEnd w:id="44"/>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are focusing our research and development efforts on rare neuromuscular, muscular, hematologic and central nervous system disorders.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For example, we suspended further development of losmapimod after devoting significant time, effort and capital on the program but it did not meet its primary endpoint in the Phase 3 REACH trial.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Failure to allocate resources or capitalize on strategies in a successful manner will have an adverse impact on our business.</w:t>
      </w:r>
    </w:p>
    <w:p>
      <w:pPr>
        <w:spacing w:after="0" w:line="29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conducting a clinical trial of pociredir in patients with SCD that includes clinical trial sites in Africa, and the FDA may not accept data from trial sites conducted in such locations.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currently conducting a Phase 1b clinical trial of pociredir in patients with SCD that includes clinical trial sites in Africa. We may also conduct additional clinical trials of other product candidates outside the United States. Although the FDA may accept data from clinical trial sites and clinical trials conducted outside the United States, acceptance of these data is subject to conditions imposed by the FDA. For example, the clinical trial must be well designed and conducted and be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including good clinical practices, and FDA’s ability to validate the data. If the FDA does not accept the data from any trial sites or clinical trials that we conduct outside the United States, it would likely result in the need for additional data and/or trials, which would be costly and time-consuming and could delay or permanently halt our development of the applicable product candidates.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11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 and the market opportunity for any of our product candidates, if approved, may be smaller than we estimate.</w:t>
      </w:r>
    </w:p>
    <w:p>
      <w:pPr>
        <w:spacing w:after="0" w:line="6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If any of our product candidates receives marketing approval, it may nonetheless fail to gain sufficient market acceptance by physicians, patients, third-party payors and others in the medical community. Efforts to educate the medical community and third-party payors on the benefits of our product candidates may require significant resources and may not be successful.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75" w:lineRule="exact"/>
        <w:rPr>
          <w:sz w:val="20"/>
          <w:szCs w:val="20"/>
          <w:color w:val="auto"/>
        </w:rPr>
      </w:pPr>
    </w:p>
    <w:p>
      <w:pPr>
        <w:ind w:left="900" w:hanging="368"/>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of our product candidates compared to the advantages and relative risks of alternative treatments;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 including any similar generic treatments;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if approved, for sale at competitive prices;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900" w:right="20" w:hanging="368"/>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and patients’ willingness to pay out of pocket for required co-payments or in the absence of third-party coverage or adequate reimbursement;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5" w:name="page46"/>
    <w:bookmarkEnd w:id="45"/>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if approved, together with other medications.</w:t>
      </w:r>
    </w:p>
    <w:p>
      <w:pPr>
        <w:spacing w:after="0" w:line="225"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Our assessment of the potential market opportunity for our product candidates is based on industry and market data that we obtained from industry publications and research, surveys and studies conducted by third parties, one of which we commissioned.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Our estimates of the potential market opportunities for our product candidates include several key assumptions based on our industry knowledge, industry publications and third-party research, surveys and studies, which may be based on a small sample size and fail to accurately reflect market opportunities. While we believe that our internal assumptions are reasonable, no independent source has verified such assumptions. If any of our assumptions or estimates, or these publications, research, surveys or studies prove to be inaccurate, then the actual market for our product candidate may be smaller than we expect, and as a result our product revenue may be limited and it may be more difficult for us to achieve or maintain profitability.</w:t>
      </w:r>
    </w:p>
    <w:p>
      <w:pPr>
        <w:spacing w:after="0" w:line="29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or enter into sales, marketing and distribution agreements with third parties, we may not be successful in commercializing our product candidates if and when they are approved.</w:t>
      </w:r>
    </w:p>
    <w:p>
      <w:pPr>
        <w:spacing w:after="0" w:line="5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 marketing or distribution of pharmaceutical products. To achieve commercial success for any product for which we have obtained marketing approval, we will need to establish a sales, marketing and distribution organization, either ourselves or through collaborations or other arrangements with third parties.</w:t>
      </w:r>
    </w:p>
    <w:p>
      <w:pPr>
        <w:spacing w:after="0" w:line="68"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the future, we may build a focused, specialty sales and marketing infrastructure to market one or more of our product candidates in the United States,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products on our own include:</w:t>
      </w:r>
    </w:p>
    <w:p>
      <w:pPr>
        <w:spacing w:after="0" w:line="117" w:lineRule="exact"/>
        <w:rPr>
          <w:sz w:val="20"/>
          <w:szCs w:val="20"/>
          <w:color w:val="auto"/>
        </w:rPr>
      </w:pPr>
    </w:p>
    <w:p>
      <w:pPr>
        <w:ind w:left="900" w:right="120" w:hanging="368"/>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marketing, coverage or reimbursement, customer service, medical affairs and other support personnel;</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products;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reimbursement professionals to negotiate arrangements for formulary access, reimbursement and other acceptance by payors;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price our products at a sufficient price point to ensure an adequate and attractive level of profitability;</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or closed distribution channels that make it difficult to distribute our products to segments of the patient population;</w:t>
      </w:r>
    </w:p>
    <w:p>
      <w:pPr>
        <w:spacing w:after="0" w:line="117" w:lineRule="exact"/>
        <w:rPr>
          <w:rFonts w:ascii="Times New Roman" w:cs="Times New Roman" w:eastAsia="Times New Roman" w:hAnsi="Times New Roman"/>
          <w:sz w:val="18"/>
          <w:szCs w:val="18"/>
          <w:color w:val="auto"/>
        </w:rPr>
      </w:pPr>
    </w:p>
    <w:p>
      <w:pPr>
        <w:ind w:left="900" w:right="300" w:hanging="368"/>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we are unable to establish our own sales, marketing and distribution capabilities and we enter into arrangements with third parties to perform these services, our product revenues and our profitability, if any, are likely to be lower than if we were to market, sell and distribute any products that we develop ourselves. We likely will have little control over such third parties, and any of them may fail to devote the necessary resources and attention to sell and market our products effectively. Further, there can be no guarantee that we will be able to successfully enter into arrangements with third parties to perform sales, marketing or distribution services. If we do not establish sales, marketing and distribution capabilities successfully, either on our own or in collaboration with third parties, we will not be successful in commercializing our product candidates.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6" w:name="page47"/>
    <w:bookmarkEnd w:id="46"/>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many of the disease indications for which we are developing our product candidates.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84"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For example, we are aware of several product candidates in clinical development that could be competitive with product candidates that we may successfully develop and commercialize. See Item 1 “Business — Competition” in the 2024 Annual Report.</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For example, in December 2023, the FDA approved CASGEVY (exagamglogene autotemcel) and LYFGENIA (lovotibeglogene autotemcel), the first ex vivo cell-based gene therapies for the treatment of SCD. CASGEVY has also been FDA-approved for the treatment of transfusion-dependent beta-thalassemia. In addition, our ability to compete may be affected in many cases by insurers or other third-party payors seeking to encourage the use of generic products. If our product candidates achieve marketing approval, we expect that they will be priced at a significant premium over competitive generic products.</w:t>
      </w:r>
    </w:p>
    <w:p>
      <w:pPr>
        <w:spacing w:after="0" w:line="84"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8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product candidates are smaller than we believe they are, our revenue may be adversely affected, and our business may suffer. Because certain of the target patient populations of our product candidates are small, and the addressable patient population even smaller, we must be able to successfully identify patients and capture a significant market share to achieve profitability and growth.</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primarily focus our research and product development on treatments for genetically-defined rare diseases. Given the small number of patients who have the rare diseases that we are targeting, it is critical to our ability to grow and become profitable that we continue to successfully identify patients with these rare diseases.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the scientific literature, surveys of clinics, patient foundations or market research that we conducted, and may prove to be incorrect or contain errors.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for many of the indications we are evaluating are very small, we may never achieve profitability despite obtaining such significant market share.</w:t>
      </w:r>
    </w:p>
    <w:p>
      <w:pPr>
        <w:spacing w:after="0" w:line="82"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Further, the pricing and reimbursement of our product candidates, if approved, is uncertain, but must be adequate to support commercial infrastructure. If we are unable to obtain adequate levels of reimbursement, our ability to successfully market and sell any approved products will be adversely affected.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47" w:name="page48"/>
    <w:bookmarkEnd w:id="47"/>
    <w:p>
      <w:pPr>
        <w:ind w:right="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rely, and expect to continue to rely, on CMOs to manufacture our product candidates. If we are unable to enter into such arrangements as expected or if such organizations do not meet our supply requirements, development and/or commercialization of our product candidates may be delayed.</w:t>
      </w:r>
    </w:p>
    <w:p>
      <w:pPr>
        <w:spacing w:after="0" w:line="2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do not have any manufacturing facilities and rely, and expect to continue to rely, on third parties to manufacture clinical supplies of our product candidates and we expect to rely on third parties to manufacture commercial supplies of our products, if and when approved for marketing by applicable regulatory authorities, as well as for packaging, sterilization, storage, distribution and other production logistics. If we are unable to enter into such arrangements on the terms or timeline we expect, development and/or commercialization of our product candidates may be delayed.</w:t>
      </w:r>
    </w:p>
    <w:p>
      <w:pPr>
        <w:spacing w:after="0" w:line="7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meet expected deadlines or manufacture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fulfill, or may be delayed in producing sufficient product candidates to meet, our supply requirements, or we may be forced to manufacture the materials ourselves, for which we may not have the capabilities or resources, or enter into an agreement with a different manufacturer, which we may not be able to do on reasonable terms, if at all. In either scenario, our clinical trial supply could be delayed significantly as we establish alternative supply sources. In some cases, the technical skills required to manufacture our products or product candidates may be unique or proprietary to the original manufacturer and we may have difficulty, or there may be contractual restrictions prohibiting us from, transferring such skills to a back-up or alternate supplier, or we may be unable to transfer such skills at all.</w:t>
      </w:r>
    </w:p>
    <w:p>
      <w:pPr>
        <w:spacing w:after="0" w:line="80"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addition, if we are required to change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manufacturer could negatively affect our ability to develop product candidates or commercialize our products in a timely manner or within budget. Furthermore, a manufacturer may possess technology related to the manufacture of our product candidate that such manufacturer owns independently. This would increase our reliance on such manufacturer or require us to obtain a license from such manufacturer in order to have another manufacturer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These facilities may also be affected by natural disasters, such as floods or fire, as well as public health issues (for example, an outbreak of a contagious disease such as COVID-19), or such facilities could face manufacturing issues, such as contamination or regulatory concerns following a regulatory inspection of such facility.</w:t>
      </w:r>
    </w:p>
    <w:p>
      <w:pPr>
        <w:spacing w:after="0" w:line="8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third-party manufacturers will be subject to inspection and approval by the FDA before we can commence the manufacture and sale of any of our product candidates, and thereafter subject to FDA inspection from time to time. Failure by our third-party manufacturers to pass such inspections and otherwise satisfactorily complete the FDA approval regimen with respect to our product candidates may result in regulatory actions such as the issuance of FDA Form 483 notices of observations, warning letters or injunctions or the loss of operating licenses.</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or our third-party manufacturers may also encounter shortages in the raw materials or API necessary to produce our product candidates in the quantities needed for our clinical trials or, if our product candidates are approved, in sufficient quantities for commercialization or to meet an increase in demand, as a result of capacity constraints or delays or disruptions in the market for the raw materials or API, including shortages caused by the purchase of such raw materials or API by our competitors or others. The failure of us or our third-party manufacturers to obtain the raw materials or API necessary to manufacture sufficient quantities of our product candidates, may have a material adverse effect on our business.</w:t>
      </w:r>
    </w:p>
    <w:p>
      <w:pPr>
        <w:spacing w:after="0" w:line="28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increases the risk that we will not have sufficient quantities of our product candidate or products or such quantities at an acceptable cost or quality, which could delay, prevent or impair our development or commercialization efforts.</w:t>
      </w:r>
    </w:p>
    <w:p>
      <w:pPr>
        <w:spacing w:after="0" w:line="51" w:lineRule="exact"/>
        <w:rPr>
          <w:sz w:val="20"/>
          <w:szCs w:val="20"/>
          <w:color w:val="auto"/>
        </w:rPr>
      </w:pPr>
    </w:p>
    <w:p>
      <w:pPr>
        <w:ind w:right="560" w:firstLine="509"/>
        <w:spacing w:after="0" w:line="266" w:lineRule="auto"/>
        <w:rPr>
          <w:sz w:val="20"/>
          <w:szCs w:val="20"/>
          <w:color w:val="auto"/>
        </w:rPr>
      </w:pPr>
      <w:r>
        <w:rPr>
          <w:rFonts w:ascii="Times New Roman" w:cs="Times New Roman" w:eastAsia="Times New Roman" w:hAnsi="Times New Roman"/>
          <w:sz w:val="18"/>
          <w:szCs w:val="18"/>
          <w:color w:val="auto"/>
        </w:rPr>
        <w:t>We do not have any manufacturing facilities. Although we believe we have obtained sufficient quantities of pociredir from a CMO for the completion of our Phase 1b clinical trial for SCD, we cannot be sure we have correctly estimated our drug product requirements, which could delay, prevent or impair our development efforts.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8" w:name="page49"/>
    <w:bookmarkEnd w:id="48"/>
    <w:p>
      <w:pPr>
        <w:ind w:firstLine="509"/>
        <w:spacing w:after="0" w:line="258" w:lineRule="auto"/>
        <w:rPr>
          <w:sz w:val="20"/>
          <w:szCs w:val="20"/>
          <w:color w:val="auto"/>
        </w:rPr>
      </w:pPr>
      <w:r>
        <w:rPr>
          <w:rFonts w:ascii="Times New Roman" w:cs="Times New Roman" w:eastAsia="Times New Roman" w:hAnsi="Times New Roman"/>
          <w:sz w:val="18"/>
          <w:szCs w:val="18"/>
          <w:color w:val="auto"/>
        </w:rPr>
        <w:t>We expect to rely on third parties for the manufacture of pociredir for any future clinical trials and for the manufacture of any future product candidates for preclinical and clinical testing. We also expect to rely on third-party manufacturers or third-party collaborators for the manufacture of commercial supply of any other product candidates for which we or our collaborators obtain marketing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7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addition, legislative proposals are pending that, if enacted, could negatively impact U.S. funding for certain biotechnology providers having relationships with foreign adversaries or which pose a threat to national security. The potential downstream adverse impacts on entities having commercial relationships with any impacted biotechnology providers are unknown but may include supply chain disruptions or delays. 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7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arrangements in place for redundant supply or a source for bulk drug substance. If any of our future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w:t>
      </w:r>
    </w:p>
    <w:p>
      <w:pPr>
        <w:spacing w:after="0" w:line="72"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26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candidates, the products may become subject to unfavorable pricing regulations, third-party coverage or reimbursement practices or healthcare reform initiatives, which could harm our business.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See Item 1 “Business — Government Regulation and Product Approval — Pharmaceutical Insurance Coverage and Health Care Reform” in the 2024 Annual Report.</w:t>
      </w:r>
    </w:p>
    <w:p>
      <w:pPr>
        <w:spacing w:after="0" w:line="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 Coverage and reimbursement by a third-party payor may depend upon a number of factors, including the third-party payor’s determination that use of a product is:</w:t>
      </w:r>
    </w:p>
    <w:p>
      <w:pPr>
        <w:spacing w:after="0" w:line="79"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9" w:name="page50"/>
    <w:bookmarkEnd w:id="49"/>
    <w:p>
      <w:pPr>
        <w:ind w:firstLine="509"/>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8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There can be no assurance that our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28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depends, in part, on our ability to penetrate foreign markets, where we would be subject to additional regulatory burdens and other risks and uncertainties that, if they materialize, could harm our business.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profitability will depend, in part, on our ability to commercialize our product candidates in markets outside of the United States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European Union. If we commercialize our product candidates in foreign markets, we will be subject to additional risks and uncertainties, including:</w:t>
      </w:r>
    </w:p>
    <w:p>
      <w:pPr>
        <w:spacing w:after="0" w:line="99" w:lineRule="exact"/>
        <w:rPr>
          <w:sz w:val="20"/>
          <w:szCs w:val="20"/>
          <w:color w:val="auto"/>
        </w:rPr>
      </w:pPr>
    </w:p>
    <w:p>
      <w:pPr>
        <w:ind w:left="900" w:right="60" w:hanging="368"/>
        <w:spacing w:after="0" w:line="266"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economies and markets, which could include localized disputes that have a broader regional or global impact (such as the Russian invasion of Ukraine or ongoing hostilities in Israel and the Gaza Strip, and the recent conflict in Iran);</w:t>
      </w:r>
    </w:p>
    <w:p>
      <w:pPr>
        <w:spacing w:after="0" w:line="67" w:lineRule="exact"/>
        <w:rPr>
          <w:rFonts w:ascii="Times New Roman" w:cs="Times New Roman" w:eastAsia="Times New Roman" w:hAnsi="Times New Roman"/>
          <w:sz w:val="18"/>
          <w:szCs w:val="18"/>
          <w:color w:val="auto"/>
        </w:rPr>
      </w:pPr>
    </w:p>
    <w:p>
      <w:pPr>
        <w:ind w:left="900" w:hanging="368"/>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 many of which vary between countries;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barriers, as well as other governmental controls and trade restrictions;</w:t>
      </w:r>
    </w:p>
    <w:p>
      <w:pPr>
        <w:spacing w:after="0" w:line="117" w:lineRule="exact"/>
        <w:rPr>
          <w:rFonts w:ascii="Times New Roman" w:cs="Times New Roman" w:eastAsia="Times New Roman" w:hAnsi="Times New Roman"/>
          <w:sz w:val="18"/>
          <w:szCs w:val="18"/>
          <w:color w:val="auto"/>
        </w:rPr>
      </w:pPr>
    </w:p>
    <w:p>
      <w:pPr>
        <w:ind w:left="900" w:right="120" w:hanging="368"/>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trade protection measures, import or export licensing requirements or other restrictive actions by U.S. or foreign governments (such as the announced tariffs by the current U.S. administration, which have led to volatility in the market and uncertainty);</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common;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 and related prevalence of generic alternatives to therapeutics;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 currency controls;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foreign reimbursement landscapes;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and potentially inadequate reimbursement of our products;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risks related to any of these uncertainties materializes, it could have a material adverse effect on our business.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93" w:right="459" w:bottom="1440" w:gutter="0" w:footer="0" w:header="0"/>
        </w:sectPr>
      </w:pPr>
    </w:p>
    <w:bookmarkStart w:id="50" w:name="page51"/>
    <w:bookmarkEnd w:id="50"/>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 and product liability lawsuits against us could divert our resources and could cause us to incur substantial liabilities and to limit commercialization of any products that we may develop.</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face an inherent risk of clinical trial and product liability exposure related to the testing of our product candidates in human clinical trials, and we will face an even greater risk if we commercially sell any products that we may develop. While we currently have no products that have been approved for commercial sale,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p>
    <w:p>
      <w:pPr>
        <w:spacing w:after="0" w:line="79" w:lineRule="exact"/>
        <w:rPr>
          <w:sz w:val="20"/>
          <w:szCs w:val="20"/>
          <w:color w:val="auto"/>
        </w:rPr>
      </w:pPr>
    </w:p>
    <w:p>
      <w:pPr>
        <w:ind w:left="900" w:hanging="36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any related litigation;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25"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We currently hold $10 million in clinical trial liability insurance coverage in the aggregate, with a per incident limit of $10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51"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We currently rely on third-party contract CROs to conduct our clinical trials. We plan to rely on third-party CROs or third-party research collaboratives to conduct any future clinical trials. We do not plan to independently conduct clinical trials of our other product candidates. We expect to continue to rely on third parties, such as CROs, clinical data management organizations, medical institutions and clinical investigators, to conduct our clinical trials. These agreements might terminate for a variety of reasons, including a failure to perform by the third parties. If we need to enter into alternative arrangements, our product development activities might be delayed.</w:t>
      </w:r>
    </w:p>
    <w:p>
      <w:pPr>
        <w:spacing w:after="0" w:line="7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will reduce our control over these activities but will not relieve us of our responsibilities.</w:t>
      </w:r>
    </w:p>
    <w:p>
      <w:pPr>
        <w:spacing w:after="0" w:line="5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develop and commercialize our product candidates. Furthermore, these third parties may also have relationships with other entities, some of which may be our competitors.</w:t>
      </w:r>
    </w:p>
    <w:p>
      <w:pPr>
        <w:spacing w:after="0" w:line="7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also rely, and expect to continue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280"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and may in the future enter into, collaborations with third parties for the discovery, development or commercialization of our product candidates. If our collaborations are not successful, we may not be able to capitalize on the market potential of these product candidates and our business could be adversely affected.</w:t>
      </w:r>
    </w:p>
    <w:p>
      <w:pPr>
        <w:spacing w:after="0" w:line="67"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We may in the future enter into development, distribution or marketing arrangements with third parties with respect to our other existing or future product candidates. Our likely collaborators for any such sales, marketing, distribution, development, licensing or broader collaboration arrangements include large and mid-size pharmaceutical companies, regional and national pharmaceutical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1" w:name="page52"/>
    <w:bookmarkEnd w:id="51"/>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companies and biotechnology companies. These third party arrangements generally do not provide us with the ability to control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Collaborations that we enter into may not be successful, and any success will depend heavily on the efforts and activities of such collaborators.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Collaborations pose a number of risks, including the following:</w:t>
      </w:r>
    </w:p>
    <w:p>
      <w:pPr>
        <w:spacing w:after="0" w:line="99" w:lineRule="exact"/>
        <w:rPr>
          <w:sz w:val="20"/>
          <w:szCs w:val="20"/>
          <w:color w:val="auto"/>
        </w:rPr>
      </w:pPr>
    </w:p>
    <w:p>
      <w:pPr>
        <w:ind w:left="900" w:right="900" w:hanging="368"/>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amount and timing of efforts and resources that they will apply to these collaborations;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ind w:left="900" w:right="100" w:hanging="368"/>
        <w:spacing w:after="0" w:line="266"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of any of our product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w:t>
      </w:r>
    </w:p>
    <w:p>
      <w:pPr>
        <w:spacing w:after="0" w:line="67" w:lineRule="exact"/>
        <w:rPr>
          <w:rFonts w:ascii="Times New Roman" w:cs="Times New Roman" w:eastAsia="Times New Roman" w:hAnsi="Times New Roman"/>
          <w:sz w:val="18"/>
          <w:szCs w:val="18"/>
          <w:color w:val="auto"/>
        </w:rPr>
      </w:pPr>
    </w:p>
    <w:p>
      <w:pPr>
        <w:ind w:left="900" w:right="120" w:hanging="368"/>
        <w:spacing w:after="0" w:line="266"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commercialization of any product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w:t>
      </w:r>
    </w:p>
    <w:p>
      <w:pPr>
        <w:spacing w:after="0" w:line="67" w:lineRule="exact"/>
        <w:rPr>
          <w:rFonts w:ascii="Times New Roman" w:cs="Times New Roman" w:eastAsia="Times New Roman" w:hAnsi="Times New Roman"/>
          <w:sz w:val="18"/>
          <w:szCs w:val="18"/>
          <w:color w:val="auto"/>
        </w:rPr>
      </w:pPr>
    </w:p>
    <w:p>
      <w:pPr>
        <w:ind w:left="900" w:right="580" w:hanging="368"/>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900" w:right="140" w:hanging="368"/>
        <w:spacing w:after="0" w:line="266"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spacing w:after="0" w:line="67" w:lineRule="exact"/>
        <w:rPr>
          <w:rFonts w:ascii="Times New Roman" w:cs="Times New Roman" w:eastAsia="Times New Roman" w:hAnsi="Times New Roman"/>
          <w:sz w:val="18"/>
          <w:szCs w:val="18"/>
          <w:color w:val="auto"/>
        </w:rPr>
      </w:pPr>
    </w:p>
    <w:p>
      <w:pPr>
        <w:ind w:left="900" w:right="560" w:hanging="368"/>
        <w:spacing w:after="0" w:line="266"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900" w:hanging="368"/>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53" w:lineRule="exact"/>
        <w:rPr>
          <w:rFonts w:ascii="Times New Roman" w:cs="Times New Roman" w:eastAsia="Times New Roman" w:hAnsi="Times New Roman"/>
          <w:sz w:val="18"/>
          <w:szCs w:val="18"/>
          <w:color w:val="auto"/>
        </w:rPr>
      </w:pPr>
    </w:p>
    <w:p>
      <w:pPr>
        <w:ind w:left="900" w:right="160" w:hanging="368"/>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may fail to comply with applicable regulatory requirements regarding the development, manufacture, distribution or marketing of a product candidate or product;</w:t>
      </w:r>
    </w:p>
    <w:p>
      <w:pPr>
        <w:spacing w:after="0" w:line="53" w:lineRule="exact"/>
        <w:rPr>
          <w:rFonts w:ascii="Times New Roman" w:cs="Times New Roman" w:eastAsia="Times New Roman" w:hAnsi="Times New Roman"/>
          <w:sz w:val="18"/>
          <w:szCs w:val="18"/>
          <w:color w:val="auto"/>
        </w:rPr>
      </w:pPr>
    </w:p>
    <w:p>
      <w:pPr>
        <w:ind w:left="900" w:right="600" w:hanging="368"/>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53" w:lineRule="exact"/>
        <w:rPr>
          <w:rFonts w:ascii="Times New Roman" w:cs="Times New Roman" w:eastAsia="Times New Roman" w:hAnsi="Times New Roman"/>
          <w:sz w:val="18"/>
          <w:szCs w:val="18"/>
          <w:color w:val="auto"/>
        </w:rPr>
      </w:pPr>
    </w:p>
    <w:p>
      <w:pPr>
        <w:ind w:left="900" w:right="60" w:hanging="368"/>
        <w:spacing w:after="0" w:line="261"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ind w:left="900" w:right="120" w:hanging="368"/>
        <w:spacing w:after="0" w:line="266"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6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the ownership of intellectual property developed pursuant to our collaborations;</w:t>
      </w:r>
    </w:p>
    <w:p>
      <w:pPr>
        <w:spacing w:after="0" w:line="117" w:lineRule="exact"/>
        <w:rPr>
          <w:rFonts w:ascii="Times New Roman" w:cs="Times New Roman" w:eastAsia="Times New Roman" w:hAnsi="Times New Roman"/>
          <w:sz w:val="18"/>
          <w:szCs w:val="18"/>
          <w:color w:val="auto"/>
        </w:rPr>
      </w:pPr>
    </w:p>
    <w:p>
      <w:pPr>
        <w:ind w:left="900" w:right="540" w:hanging="368"/>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misappropriate or otherwise violate the intellectual property or proprietary rights of third parties, which may expose us to litigation and potential liability; and</w:t>
      </w:r>
    </w:p>
    <w:p>
      <w:pPr>
        <w:spacing w:after="0" w:line="53" w:lineRule="exact"/>
        <w:rPr>
          <w:rFonts w:ascii="Times New Roman" w:cs="Times New Roman" w:eastAsia="Times New Roman" w:hAnsi="Times New Roman"/>
          <w:sz w:val="18"/>
          <w:szCs w:val="18"/>
          <w:color w:val="auto"/>
        </w:rPr>
      </w:pPr>
    </w:p>
    <w:p>
      <w:pPr>
        <w:ind w:left="900" w:right="260" w:hanging="368"/>
        <w:spacing w:after="0" w:line="266"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(e.g., our former collaborations with Acceleron Pharma, Inc. and MyoKardia, Inc., the latter of which was terminated on June 26, 2025), and, if terminated, we could be required to raise additional capital to pursue further development or commercialization of the applicable product candidates.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herein also apply to the activities of our collaborators.</w:t>
      </w:r>
    </w:p>
    <w:p>
      <w:pPr>
        <w:spacing w:after="0" w:line="7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Additionally, subject to its contractual obligations to us, if a collaborator of ours is involved in a business combination, the collaborator might deemphasize or terminate the development or commercialization of any product candidate licensed to it by us. If our collaborator terminates its agreement with us, we may find it more difficult to attract new collaborators and our perception in the business and financial communities could be adversely affected.</w:t>
      </w:r>
    </w:p>
    <w:p>
      <w:pPr>
        <w:spacing w:after="0" w:line="28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establish collaborations, we may have to alter our development and commercialization plans and our business could be adversely affected.</w:t>
      </w:r>
    </w:p>
    <w:p>
      <w:pPr>
        <w:spacing w:after="0" w:line="5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For some of our product candidates, we may decide to collaborate with pharmaceutical or biotechnology companies for the development and potential commercialization of those product candidates. We face significant competition in seeking appropriate collaborators, and a number of more established companies may also be pursuing strategies to license or acquire third-party intellectual property rights that we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existing or future license agreements from entering into agreements on certain terms with potential collaborators.</w:t>
      </w:r>
    </w:p>
    <w:p>
      <w:pPr>
        <w:spacing w:after="0" w:line="89" w:lineRule="exact"/>
        <w:rPr>
          <w:sz w:val="20"/>
          <w:szCs w:val="20"/>
          <w:color w:val="auto"/>
        </w:rPr>
      </w:pPr>
    </w:p>
    <w:p>
      <w:pPr>
        <w:ind w:right="320" w:firstLine="509"/>
        <w:spacing w:after="0" w:line="312" w:lineRule="auto"/>
        <w:rPr>
          <w:sz w:val="20"/>
          <w:szCs w:val="20"/>
          <w:color w:val="auto"/>
        </w:rPr>
      </w:pPr>
      <w:r>
        <w:rPr>
          <w:rFonts w:ascii="Times New Roman" w:cs="Times New Roman" w:eastAsia="Times New Roman" w:hAnsi="Times New Roman"/>
          <w:sz w:val="17"/>
          <w:szCs w:val="17"/>
          <w:color w:val="auto"/>
        </w:rPr>
        <w:t>Collaborations are complex and time-consuming to negotiate and document. In addition, there have been a significant number of recent business combinations among large pharmaceutical and biotechnology companies that have resulted in a reduced number of potential future collaborators.</w:t>
      </w:r>
    </w:p>
    <w:p>
      <w:pPr>
        <w:spacing w:after="0" w:line="32"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protection of the intellectual property we may own solely and jointly with others or may license from others, particularly patents, in the United States and other countries with respect to any proprietary technology and product candidates we develop. We seek to protect our proprietary position by filing patent applications in the United States and abroad related to our product candidates that are important to our business and by in-licensing intellectual property related to our technologies and product candidates. If we are unable to obtain or maintain patent protection with respect to any proprietary technology or product candidate, our business, financial condition, results of operations and prospects could be materially harmed.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3" w:name="page54"/>
    <w:bookmarkEnd w:id="53"/>
    <w:p>
      <w:pPr>
        <w:ind w:firstLine="509"/>
        <w:spacing w:after="0" w:line="256"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defend or license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enforce and defend the patents, covering technology that we license from third parties. Therefore, these in-licensed patents and applications may not be prepared, filed, prosecuted, maintained, defended and enforced in a manner consistent with the best interests of our business.</w:t>
      </w:r>
    </w:p>
    <w:p>
      <w:pPr>
        <w:spacing w:after="0" w:line="7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patent position of pharmaceutical and biotechnology companies generally is highly uncertain, involves complex legal and factual questions and has in recent years been the subject of much litigation. In addition, the scope of patent protection outside of the United States is uncertain and laws of foreign countries may not protect our rights to the same extent as the laws of the United States or vice versa. For example, European patent law restricts the patentability of methods of treatment of the human body more than United States law does. With respect to both owned and in-licensed patent rights, we cannot predict whether the patent applications we and our licensors are currently pursuing will issue as patents in any particular jurisdiction or whether the claims of any issued patents will provide sufficient protection from competitors. Further, we may not be aware of all third-party intellectual property rights potentially relating to our product candidates. In addition, publications of discoveries in the scientific literature often lag behind the actual discoveries, and patent applications in the United States and other jurisdictions are typically not published until 18 months after filing, or in some cases not published at all. Therefore, neither we nor our licensors can know with certainty whether either we or our licensors were the first to make the inventions claimed in the patents and patent applications we own or in-license now or in the future, or that either we or our licensors were the first to file for patent protection of such inventions. As a result, the issuance, scope, validity, enforceability and commercial value of our owned and in-licensed patent rights are highly uncertain. Moreover, our owned and in-licensed pending and future patent applications may not result in patents being issued which protect our technology and product candidates, in whole or in part, or which effectively prevent others from commercializing competitive technologies and products. Changes in either the patent laws or interpretation of the patent laws in the United States and other countries may diminish the value of our patents and our ability to obtain, protect, maintain, defend and enforce our patent rights, narrow the scope of our patent protection and, more generally, could affect the value or narrow the scope of our patent rights. For information relating to our patent portfolio, see Item 1 “Business—Intellectual Property” in the 2024 Annual Report.</w:t>
      </w:r>
    </w:p>
    <w:p>
      <w:pPr>
        <w:spacing w:after="0" w:line="19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Moreover, we or our licensors may be subject to a third-party preissuance submission of prior art to the United States Patent and Trademark Office, or USPTO, or become involved in opposition, derivation, revocation,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current or future product candidates. For example, while we believe that the specific and generic claims contained in our issued and pending U.S. non-provisional and provisional applications provide protection for the pharmaceutical compositions and methods of use for pociredir, third parties may nevertheless challenge such claims. If any such claims are invalidated or rendered unenforceable for any reason, we will lose valuable intellectual property rights and our ability to prevent others from competing with us would be impaired.</w:t>
      </w:r>
    </w:p>
    <w:p>
      <w:pPr>
        <w:spacing w:after="0" w:line="19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Additionally,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management and employees, even if the eventual outcome is favorable to us. Given the amount of time required for the development, testing and regulatory review of new product candidates, patents protecting such candidates might expire before or shortly after such candidates are commercialized. Furthermore, our competitors may be able to circumvent our owned or in-licensed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licenses from third parties on commercially reasonable terms or fail to comply with our obligations under such agreements, our business could be harmed.</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spacing w:after="0" w:line="187"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183"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Additionally, 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192"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Under our current license agreements, we may not have the final or sole decision on whether we are able to opt out certain of our in-licensed European patents and patent applications from the recently created Unified Patent Court, or the UPC, for the European Union. While our licensors have decided to opt out of the UPC, we cannot guarantee that our in-licensed European patents and patent applications will be challenged for non-compliance during the opt-out procedure and if successful, brought under the jurisdiction of the UPC, nor can we guarantee that our licensors will decide to opt back into the UPC at a later time. Thus, we cannot be certain that our in-licensed European patents and patent applications will not fall under the jurisdiction of the UPC. Under the UPC, a single European patent would be valid and enforceable in numerous European countries. A challenge to the validity of a European patent under the UPC, if successful, could result in a loss of patent protection in numerous European countries which could have a material adverse impact on our business and our ability to commercialize or license our technology and product candidates.</w:t>
      </w:r>
    </w:p>
    <w:p>
      <w:pPr>
        <w:spacing w:after="0" w:line="18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in the United States under the Hatch-Waxman Act and in foreign countries under similar legislation, our business may be materially harmed.</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the patent term of a patent that covers an FDA-approved drug may be eligible for limited patent term extension of up to five years beyond the expiration of the patent. The length of the patent term extension is related to, among other factors, the length of time the drug is under regulatory review, but such patent extension cannot extend the remaining term of a patent beyond a total of 14 years from the date of product approval, and only one eligible patent may be extended. Similar provisions are available in Europe and certain other jurisdictions outside the United States. If and when our product candidate receives FDA approval, we expect to apply for patent term extensions where applicable, but there is no guarantee that the applicable governmental authorities will agree with our assessment of whether such extensions should be granted, and even if granted, the length of such extensions.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If we are unable to obtain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55" w:name="page56"/>
    <w:bookmarkEnd w:id="55"/>
    <w:p>
      <w:pPr>
        <w:ind w:right="100"/>
        <w:spacing w:after="0" w:line="282" w:lineRule="auto"/>
        <w:rPr>
          <w:sz w:val="20"/>
          <w:szCs w:val="20"/>
          <w:color w:val="auto"/>
        </w:rPr>
      </w:pPr>
      <w:r>
        <w:rPr>
          <w:rFonts w:ascii="Times New Roman" w:cs="Times New Roman" w:eastAsia="Times New Roman" w:hAnsi="Times New Roman"/>
          <w:sz w:val="18"/>
          <w:szCs w:val="18"/>
          <w:color w:val="auto"/>
        </w:rPr>
        <w:t>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spacing w:after="0" w:line="16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Further, for our licensed patents, we may not have the right to control prosecution, including filing with the USPTO a petition for patent term extension thus if one of our licensed patents is eligible for patent term extension, we may not be able to control whether a petition to obtain a patent term extension is filed, or obtained, from the USPTO.</w:t>
      </w:r>
    </w:p>
    <w:p>
      <w:pPr>
        <w:spacing w:after="0" w:line="17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There are detailed rules and requirements regarding the patents that may be submitted to the FDA for listing in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an ANDA applicant would not have to provide notice to us with respect to that patent. See Item 1 “Business—Intellectual Property” in the 2024 Annual Report for additional information regarding patent laws and patent protection.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issued European patents could be subject to the jurisdiction of the UPC.</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Our European patents and patent applications could be challenged in the UPC. We decided to remove, i.e., opt out, our European patents and patent applications from the jurisdiction of the UPC. However, if certain formalities and requirements are not met, our European patents and patent applications could be challenged for non-compliance and brought under the jurisdiction of the UPC. We cannot be certain that our European patents and patent applications will avoid falling under the jurisdiction of the UPC. Under the UPC, a granted European patent would be valid and enforceable in numerous European countries. Although such patent rights would apply to numerous European countries, a successful challenge to a European patent under the UPC could result in loss of patent protection in numerous European countries. Accordingly, a single proceeding under the UPC addressing the validity and infringement of the European patent could result in loss of patent protection in numerous European countries rather than in each validated country separately as such patents always have been adjudicated. Such a loss of patent protection could have a material adverse impact on our business and our ability to commercialize or license our technology and product candidates.</w:t>
      </w:r>
    </w:p>
    <w:p>
      <w:pPr>
        <w:spacing w:after="0" w:line="184"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patent laws in the United States and other jurisdictions could diminish the value of patents in general, thereby impairing our ability to protect our products.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Changes in either the patent laws or interpretation of patent laws in the United States, including patent reform legislation such as the Leahy-Smith America Invents Act, or the Leahy-Smith Act, could increase the uncertainties and costs surrounding the prosecution of our owned and in-licensed patent applications and the maintenance, enforcement or defense of our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6" w:name="page57"/>
    <w:bookmarkEnd w:id="56"/>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we or our licensors are not currently involved in any litigation to protect or enforce our patent or other intellectual property rights, we may become involved in such lawsuits, which could be expensive, time-consuming and unsuccessful.</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 xml:space="preserve">Competitors and other third parties may infringe, misappropriate or otherwise violate our or our licensor’s issued patents or other intellectual property. As a result, we or our licensors may need to file infringement, misappropriation or other intellectual property related claims, which can be expensive and time-consuming. Any claims we assert against perceived infringers could provoke such parties to assert counterclaims against us alleging that we infringe, misappropriate or otherwise violate their intellectual property. In addition, in a patent infringement proceeding, such parties could counterclaim that the patents we or our licensors have asserted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opposition proceedings). The outcome following legal assertions of invalidity and unenforceability is unpredictable.</w:t>
      </w:r>
    </w:p>
    <w:p>
      <w:pPr>
        <w:spacing w:after="0" w:line="19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An adverse result in any such proceeding could put one or more of our owned or in-licensed patents at risk of being invalidated or interpreted narrowly, and could put any of our owned or in-licensed patent applications at risk of not yielding an issued patent. A court may also refuse to stop the third party from using the technology at issue in a proceeding on the grounds that our owned or in-licensed patents do not cover such technology. Furthermore, because of the substantial amount of discovery required in connection with intellectual property litigation, there is a risk that some of our confidential information or trade secrets could be compromised by disclosure during this type of litigation. Any of the foregoing could allow such third parties to develop and commercialize competing technologies and products and have a material adverse impact on our business, financial condition, results of operations and prospects.</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or derivation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19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5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Our commercial success depends upon our ability and the ability of our collaborators to develop, manufacture, market and sell our product candidates and use our proprietary technologies without infringing, misappropriating or otherwise violating the intellectual property and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technology and product candidates, including interference proceedings, post 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before the USPTO and similar proceedings in foreign jurisdictions such as oppositions before the European Patent Office.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technologies or product candidates that we may identify may be subject to claims of infringement of the patent rights of third parties.</w:t>
      </w:r>
    </w:p>
    <w:p>
      <w:pPr>
        <w:spacing w:after="0" w:line="18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 substantially greater resources to prosecuting these legal actions than we can. The risks of being involved in such litigation and proceedings may increase if and as our product candidates near commercialization and as we gain the greater visibility associated with being a public company. Third parties may assert infringement claims against us based on existing patents or patents that may be granted in the future, regardless of merit. We may not be aware of all such intellectual property rights potentially relating to our technology and product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7" w:name="page58"/>
    <w:bookmarkEnd w:id="57"/>
    <w:p>
      <w:pPr>
        <w:ind w:right="60"/>
        <w:spacing w:after="0" w:line="266" w:lineRule="auto"/>
        <w:rPr>
          <w:sz w:val="20"/>
          <w:szCs w:val="20"/>
          <w:color w:val="auto"/>
        </w:rPr>
      </w:pPr>
      <w:r>
        <w:rPr>
          <w:rFonts w:ascii="Times New Roman" w:cs="Times New Roman" w:eastAsia="Times New Roman" w:hAnsi="Times New Roman"/>
          <w:sz w:val="18"/>
          <w:szCs w:val="18"/>
          <w:color w:val="auto"/>
        </w:rPr>
        <w:t>candidates and their uses, or we may incorrectly conclude that third party intellectual property is invalid or that our activities and product candidates do not infringe such intellectual property. Thus, we do not know with certainty that our technology and product candidates, or our development and commercialization thereof, do not and will not infringe, misappropriate or otherwise violate any third party’s intellectual property.</w:t>
      </w:r>
    </w:p>
    <w:p>
      <w:pPr>
        <w:spacing w:after="0" w:line="17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There may be third-party patents or patent applications with claims to materials, formulations or methods, such as methods of manufacture or methods for treatment, related to the discovery, use or manufacture of the product candidates that we may identify or related to our technologies. Because patent applications can take many years to issue, there may be currently pending patent applications which may later result in issued patents that the product candidates that we may identify may infringe. In addition, third parties may obtain patents in the future and claim that use of our technologies infringes upon these patents. Moreover, as noted above, there may be existing patents that we are not aware of or that we have incorrectly concluded are invalid or not infringed by our activities. If any third-party patents were held by a court of competent jurisdiction to cover, for example, the manufacturing process of the product candidates that we may identify,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8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the product candidates that we may identify.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may choose to take a license or, if we are found to infringe, misappropriate or otherwise violate a third party’s intellectual property rights, we could also be required to obtain a license from such third party to continue developing, manufacturing and marketing our technology and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significant monetary damages, including treble damages and attorneys’ fees, if we are found to have willfully infringed a patent or other intellectual property right and could be forced to indemnify our customers or collaborators. A finding of infringement could prevent us from commercializing our product candidates or force us to cease some of our business operations, which could materially harm our business. In addition, we may be forced to redesign our product candidates, seek new regulatory approvals and indemnify third parties pursuant to contractual agreements. Claims that we have misappropriated the confidential information or trade secrets of third parties could have a similar material adverse effect on our business, financial condition, results of operations and prospects.</w:t>
      </w:r>
    </w:p>
    <w:p>
      <w:pPr>
        <w:spacing w:after="0" w:line="29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or other legal proceedings relating to intellectual property could cause us to spend substantial resources and distract our personnel from their normal responsibilities.</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may also have an advantage in such proceedings due to their more mature and developed intellectual property portfolios. Uncertainties resulting from the initiation and continuation of intellectual property litigation or other proceedings could compromise our ability to compete in the marketplace.</w:t>
      </w:r>
    </w:p>
    <w:p>
      <w:pPr>
        <w:spacing w:after="0" w:line="292"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The USPTO and various foreign governmental patent agencies require compliance with a number of procedural, documentary, fee payment and other similar provisions during the patent application process. In certain circumstances, we rely on our licensing partners to pay these fees to, or comply with the procedural and documentary rules of, the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8" w:name="page59"/>
    <w:bookmarkEnd w:id="58"/>
    <w:p>
      <w:pPr>
        <w:spacing w:after="0" w:line="254" w:lineRule="auto"/>
        <w:rPr>
          <w:sz w:val="20"/>
          <w:szCs w:val="20"/>
          <w:color w:val="auto"/>
        </w:rPr>
      </w:pPr>
      <w:r>
        <w:rPr>
          <w:rFonts w:ascii="Times New Roman" w:cs="Times New Roman" w:eastAsia="Times New Roman" w:hAnsi="Times New Roman"/>
          <w:sz w:val="18"/>
          <w:szCs w:val="18"/>
          <w:color w:val="auto"/>
        </w:rPr>
        <w:t>relevant patent agency. With respect to our patents, we rely on an annuity service, outside firms and outside counsel to remind us of the due dates and to make payment after we instruct them to do so.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29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5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are party to license and funding agreements, and we may enter into additional licensing and funding arrangements with third parties that impose or may impose diligence, development and commercialization timelines, milestone payment, royalty, insurance and other obligations on us. Under our existing licensing and funding agreements, we are obligated to pay royalties on net product sales of product candidates or related technologies to the extent they are covered by the agreements. If we fail to comply with such obligations under current or future license and funding agreements, our counterparties may have the right to terminate these agreements or require us to grant them certain rights. Such an occurrence could materially adversely affect the value of any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which would have a material adverse effect on our business, financial condition, results of operations and prospects. We also have licenses and agreements to certain technologies that we use in our discovery efforts, all of which are non-exclusive. While we still face all of the risks described herein with respect to those agreements, we cannot prevent third parties from also accessing those technologies. In addition, our licenses may place restrictions on our future business opportunities.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Disputes may arise regarding intellectual property subject to a licensing agreement, including:</w:t>
      </w:r>
    </w:p>
    <w:p>
      <w:pPr>
        <w:spacing w:after="0" w:line="117" w:lineRule="exact"/>
        <w:rPr>
          <w:sz w:val="20"/>
          <w:szCs w:val="20"/>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 related issues;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17" w:lineRule="exact"/>
        <w:rPr>
          <w:rFonts w:ascii="Times New Roman" w:cs="Times New Roman" w:eastAsia="Times New Roman" w:hAnsi="Times New Roman"/>
          <w:sz w:val="18"/>
          <w:szCs w:val="18"/>
          <w:color w:val="auto"/>
        </w:rPr>
      </w:pPr>
    </w:p>
    <w:p>
      <w:pPr>
        <w:ind w:left="900" w:right="260" w:hanging="368"/>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spacing w:after="0" w:line="18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current or future licensors may have relied on third-party consultants or collaborators or on funds from third parties such that our licensors are not the sole and exclusive owners of the patents and patent applications we in-license. If other third parties have ownership rights to patents or patent applications we in-license,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80"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 candidates and technology covered by these license agreements. If these in-licenses are terminated, or if the underlying intellectual property fails 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9" w:name="page60"/>
    <w:bookmarkEnd w:id="59"/>
    <w:p>
      <w:pPr>
        <w:ind w:right="80"/>
        <w:spacing w:after="0" w:line="282" w:lineRule="auto"/>
        <w:rPr>
          <w:sz w:val="20"/>
          <w:szCs w:val="20"/>
          <w:color w:val="auto"/>
        </w:rPr>
      </w:pPr>
      <w:r>
        <w:rPr>
          <w:rFonts w:ascii="Times New Roman" w:cs="Times New Roman" w:eastAsia="Times New Roman" w:hAnsi="Times New Roman"/>
          <w:sz w:val="18"/>
          <w:szCs w:val="18"/>
          <w:color w:val="auto"/>
        </w:rPr>
        <w:t>provide the intended exclusivity, competitors would have the freedom to seek regulatory approval of, and to market, products and technologies identical to ours. This could have a material adverse effect on our competitive position, business, financial condition, results of operations and prospects.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and proprietary rights throughout the world.</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the laws of foreign countries may not protect our rights to the same extent as the laws of the United States. In addition, the laws of some foreign countries do not protect intellectual property rights to the same extent as federal and state laws in the United States, and even where such protection is nominally available, judicial and governmental enforcement of such intellectual property rights may be lacking.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spacing w:after="0" w:line="18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and in Russia,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In addition, certain jurisdictions do not protect to the same extent or at all inventions that constitute new methods of treatment.</w:t>
      </w:r>
    </w:p>
    <w:p>
      <w:pPr>
        <w:spacing w:after="0" w:line="1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83"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96"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consultants or contractors have wrongfully used or disclosed confidential information of third parties, or we have wrongfully used or disclosed alleged trade secrets of their current or former employers or claims asserting we have misappropriated their intellectual property, or claiming ownership of what we regard as our own intellectual property.</w:t>
      </w:r>
    </w:p>
    <w:p>
      <w:pPr>
        <w:spacing w:after="0" w:line="6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Many of our employees, consultants and contractors were previously employed at universities or other pharmaceutical or biotechnology companies, including our competitors or potential competitors. Although we try to ensure that our employees, consultants and contractors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0" w:name="page61"/>
    <w:bookmarkEnd w:id="60"/>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intellectual property assignment agreements with them may not be self-executing or may be breached, and we may be forced to bring claims against third parties, or defend claims they may bring against us, to determine the ownership of what we regard as our intellectual property. Such claims could have a material adverse effect on our business, financial conditions, results of operations and prospects.</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which could have a material adverse effect on our competitive business position and prospects. Such intellectual property rights could be awarded to a third party, and we could be required to obtain a license from such third party to commercialize our technology or products, which license may not be available on commercially reasonable terms, or at all, or such license may be non-exclusive. Even if we are successful in prosecuting or defending against such claims, litigation could result in substantial costs and be a distraction to our management and employees.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to seeking patents for our product candidates, we also rely on trade secrets and confidentiality agreements to protect our unpatented know-how, technology and other proprietary information, to maintain our competitive position, including certain aspects of our discovery technology. We seek to protect our trade secrets and other proprietary technology, in part, by entering into non-disclosure and confidentiality agreements with parties who have access to them, such as our employees, corporate collaborators, outside scientific collaborators, CROs, CMOs, consultants, advisors and other third parties. We also enter into confidentiality and invention or patent assignment agreements with our employees and consultants, but we cannot guarantee that we have entered into such agreements with each party that may have or has had access to our trade secrets or proprietary technology. Despite these efforts, any of these parties may breach the agreements and disclose our proprietary information, including our trade secrets, and we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900" w:hanging="368"/>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 candidates that are similar to ours but that are not covered by the claims of the patents that we own;</w:t>
      </w:r>
    </w:p>
    <w:p>
      <w:pPr>
        <w:spacing w:after="0" w:line="117" w:lineRule="exact"/>
        <w:rPr>
          <w:rFonts w:ascii="Times New Roman" w:cs="Times New Roman" w:eastAsia="Times New Roman" w:hAnsi="Times New Roman"/>
          <w:sz w:val="18"/>
          <w:szCs w:val="18"/>
          <w:color w:val="auto"/>
        </w:rPr>
      </w:pPr>
    </w:p>
    <w:p>
      <w:pPr>
        <w:ind w:left="900" w:right="100" w:hanging="368"/>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make the inventions covered by the issued patent or pending patent applications that we license or may own in the future;</w:t>
      </w:r>
    </w:p>
    <w:p>
      <w:pPr>
        <w:spacing w:after="0" w:line="53" w:lineRule="exact"/>
        <w:rPr>
          <w:rFonts w:ascii="Times New Roman" w:cs="Times New Roman" w:eastAsia="Times New Roman" w:hAnsi="Times New Roman"/>
          <w:sz w:val="18"/>
          <w:szCs w:val="18"/>
          <w:color w:val="auto"/>
        </w:rPr>
      </w:pPr>
    </w:p>
    <w:p>
      <w:pPr>
        <w:ind w:left="900" w:right="100" w:hanging="368"/>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file patent applications covering certain of our or their inventions;</w:t>
      </w:r>
    </w:p>
    <w:p>
      <w:pPr>
        <w:spacing w:after="0" w:line="53" w:lineRule="exact"/>
        <w:rPr>
          <w:rFonts w:ascii="Times New Roman" w:cs="Times New Roman" w:eastAsia="Times New Roman" w:hAnsi="Times New Roman"/>
          <w:sz w:val="18"/>
          <w:szCs w:val="18"/>
          <w:color w:val="auto"/>
        </w:rPr>
      </w:pPr>
    </w:p>
    <w:p>
      <w:pPr>
        <w:ind w:left="900" w:right="100" w:hanging="368"/>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in-licensed intellectual property rights;</w:t>
      </w:r>
    </w:p>
    <w:p>
      <w:pPr>
        <w:spacing w:after="0" w:line="53" w:lineRule="exact"/>
        <w:rPr>
          <w:rFonts w:ascii="Times New Roman" w:cs="Times New Roman" w:eastAsia="Times New Roman" w:hAnsi="Times New Roman"/>
          <w:sz w:val="18"/>
          <w:szCs w:val="18"/>
          <w:color w:val="auto"/>
        </w:rPr>
      </w:pPr>
    </w:p>
    <w:p>
      <w:pPr>
        <w:ind w:left="900" w:right="60" w:hanging="368"/>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and in-licensed pending patent applications or those we may own or in-license in the future will not lead to issued patents;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117" w:lineRule="exact"/>
        <w:rPr>
          <w:rFonts w:ascii="Times New Roman" w:cs="Times New Roman" w:eastAsia="Times New Roman" w:hAnsi="Times New Roman"/>
          <w:sz w:val="18"/>
          <w:szCs w:val="18"/>
          <w:color w:val="auto"/>
        </w:rPr>
      </w:pPr>
    </w:p>
    <w:p>
      <w:pPr>
        <w:ind w:left="900" w:right="820" w:hanging="368"/>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900" w:right="380" w:hanging="368"/>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of our patents, or any of our pending patent applications, if issued, or those of our licensors, will include claims having a scope sufficient to protect our product candidate;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1" w:name="page62"/>
    <w:bookmarkEnd w:id="61"/>
    <w:p>
      <w:pPr>
        <w:ind w:left="900" w:hanging="368"/>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patents issued to us or our licensors will provide a basis for an exclusive market for our commercially viable product candidates or will provide us with any competitive advantages;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our commercial activities or product candidates will not infringe upon the patents of others;</w:t>
      </w:r>
    </w:p>
    <w:p>
      <w:pPr>
        <w:spacing w:after="0" w:line="117" w:lineRule="exact"/>
        <w:rPr>
          <w:rFonts w:ascii="Times New Roman" w:cs="Times New Roman" w:eastAsia="Times New Roman" w:hAnsi="Times New Roman"/>
          <w:sz w:val="18"/>
          <w:szCs w:val="18"/>
          <w:color w:val="auto"/>
        </w:rPr>
      </w:pPr>
    </w:p>
    <w:p>
      <w:pPr>
        <w:ind w:left="900" w:right="420" w:hanging="368"/>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we will be able to successfully commercialize our product candidates on a substantial scale, if approved, before the relevant patents that we own or license expire;</w:t>
      </w:r>
    </w:p>
    <w:p>
      <w:pPr>
        <w:spacing w:after="0" w:line="53" w:lineRule="exact"/>
        <w:rPr>
          <w:rFonts w:ascii="Times New Roman" w:cs="Times New Roman" w:eastAsia="Times New Roman" w:hAnsi="Times New Roman"/>
          <w:sz w:val="18"/>
          <w:szCs w:val="18"/>
          <w:color w:val="auto"/>
        </w:rPr>
      </w:pPr>
    </w:p>
    <w:p>
      <w:pPr>
        <w:ind w:left="900" w:right="100" w:hanging="368"/>
        <w:spacing w:after="0" w:line="266"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our discovery technology are protected by trade secrets, but much is not protected by intellectual property, including patents, trade secrets and know-how, and we may not be able to develop, acquire or in-license any patentable technologies or other intellectual property related to the unprotected portions of our discovery portfolio;</w:t>
      </w:r>
    </w:p>
    <w:p>
      <w:pPr>
        <w:spacing w:after="0" w:line="6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17" w:lineRule="exact"/>
        <w:rPr>
          <w:rFonts w:ascii="Times New Roman" w:cs="Times New Roman" w:eastAsia="Times New Roman" w:hAnsi="Times New Roman"/>
          <w:sz w:val="18"/>
          <w:szCs w:val="18"/>
          <w:color w:val="auto"/>
        </w:rPr>
      </w:pPr>
    </w:p>
    <w:p>
      <w:pPr>
        <w:ind w:left="900" w:right="400" w:hanging="368"/>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marketing approval process is expensive, time-consuming and uncertain, and we may not obtain approvals for the commercialization of some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7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Marketing approval of drugs in the United States requires the submission of a new drug application, or NDA, to the FDA and we are not permitted to market any drug candidate in the United States until we obtain approval of the NDA. An NDA must be supported by extensive clinical and preclinical data, as well as extensive information regarding pharmacology, chemistry, manufacturing and controls. We have not submitted an application for or received marketing approval for any of our product candidates in the United States or in any other jurisdiction.</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have only limited experience in filing and supporting the applications necessary to gain marketing approvals and expect to rely on third-party clinical research organizations or other third-party consultants or vendors to assist us in this process. Securing marketing approval requires the submission of extensive preclinical and clinical data and supporting information, including manufacturing information, to regulatory authorities for each therapeutic indication to establish the product candidate’s safety and efficacy. Our product candidates may not be effective, may be only moderately effective or may prove to have undesirable or unintended side effects, toxicities or other characteristics that may preclude our obtaining marketing approval or prevent or limit commercial use. If any of our product candidates receives marketing approval, the accompanying label may limit the approved use of our drug, which could limit sales of the product.</w:t>
      </w:r>
    </w:p>
    <w:p>
      <w:pPr>
        <w:spacing w:after="0" w:line="8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8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266"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which could negatively impact our business and our timelines.</w:t>
      </w:r>
    </w:p>
    <w:p>
      <w:pPr>
        <w:spacing w:after="0" w:line="6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shifting policy priorities as a result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2" w:name="page63"/>
    <w:bookmarkEnd w:id="62"/>
    <w:p>
      <w:pPr>
        <w:spacing w:after="0" w:line="266" w:lineRule="auto"/>
        <w:rPr>
          <w:sz w:val="20"/>
          <w:szCs w:val="20"/>
          <w:color w:val="auto"/>
        </w:rPr>
      </w:pPr>
      <w:r>
        <w:rPr>
          <w:rFonts w:ascii="Times New Roman" w:cs="Times New Roman" w:eastAsia="Times New Roman" w:hAnsi="Times New Roman"/>
          <w:sz w:val="18"/>
          <w:szCs w:val="18"/>
          <w:color w:val="auto"/>
        </w:rPr>
        <w:t>changes in the presidential administration and political appointees tasked to oversee the agency, and statutory, regulatory, and policy changes. Average review times at the agency have fluctuated in recent years as a result. In addition, government funding of the SEC, and other government agencies on which our operations may rely is subject to the impacts of political events, which are inherently fluid and unpredictable.</w:t>
      </w:r>
    </w:p>
    <w:p>
      <w:pPr>
        <w:spacing w:after="0" w:line="68"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Disruptions at the FDA and other federal agencies, including substantial leadership departures, personnel cuts, and policy changes, may also slow the time necessary for new drugs to be reviewed and/or approved, which would harm our business. Changes and cuts in FDA staffing also could result in delays in the FDA’s responsiveness or in its ability to review IND submissions or applications, issue regulations or guidance, or implement or enforce regulatory requirements in a timely fashion or at all.</w:t>
      </w:r>
    </w:p>
    <w:p>
      <w:pPr>
        <w:spacing w:after="0" w:line="72"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For example, over the last several years, the U.S. government has shut down several times, including beginning on October 1, 2025, and certain regulatory agencies, such as the FDA and the SEC, have had to furlough critical FDA, SEC and other government employees and stop critical activities. While the U.S. government has been shut down since October 1, 2025, it is uncertain how long such shutdown will last. If a prolonged government shutdown occurs, it could significantly impact the ability of the FDA and the SEC to timely review and process our submissions, which could have a material adverse effect on our business and our timelines.</w:t>
      </w:r>
    </w:p>
    <w:p>
      <w:pPr>
        <w:spacing w:after="0" w:line="7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With the change in the U.S. presidential administration in 2025, there is substantial uncertainty as to how the current administration will seek to modify or revise the requirements and policies of the FDA and other regulatory agencies with jurisdiction over our product candidates and any products for which we obtain approval. This uncertainty could present new challenges and/or opportunities as we navigate development and approval of our product candidates. Additionally, the new administration could issue or promulgate executive orders, regulations, policies or guidance that adversely affect us or create a more challenging or costly environment to pursue the development of new therapeutic candidates.</w:t>
      </w:r>
    </w:p>
    <w:p>
      <w:pPr>
        <w:spacing w:after="0" w:line="28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orphan drug designation or exclusivity for our product candidates and, even if we do, that exclusivity may not prevent the FDA or the EMA from approving other competing products.</w:t>
      </w:r>
    </w:p>
    <w:p>
      <w:pPr>
        <w:spacing w:after="0" w:line="51"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European Union, may designate drugs for relatively small patient populations as orphan drugs. We may seek orphan drug designation for our other current and future product candidates.</w:t>
      </w:r>
    </w:p>
    <w:p>
      <w:pPr>
        <w:spacing w:after="0" w:line="5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marketing approval for the indication for which it has such designation, the product is entitled to a period of market exclusivity, which precludes the FDA or the EMA from approving another marketing authorization application for the same drug for a certain time period. The applicable period is seven years in the United States and ten years in the European Union. The exclusivity period in the European Union can be reduced to six years at the end of the fifth year if it is determined that a product no longer meets the criteria for orphan designation, including if the product is sufficiently profitable so that market exclusivity is no longer justified. Proposed amendments to European Union regulations regarding orphan medicines are under consideration which, if approved, could reduce the ten-year marketing exclusivity period.</w:t>
      </w:r>
    </w:p>
    <w:p>
      <w:pPr>
        <w:spacing w:after="0" w:line="8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54"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Even if we obtain orphan drug exclusivity for a product, that exclusivity may not effectively protect the product from competition because competing drugs containing a different active ingredient can be approved for the same condition. In addition, the FDA or the EMA can subsequently approve the same drug for the same condition if the FDA or the EMA concludes that the later drug is clinically superior to the first drug to obtain orphan drug exclusivity because it is shown to be safer, more effective or makes a major contribution to patient care. Moreover, if we pursue and obtain approval for the same product for another indication for which we are not entitled to or do not have orphan drug exclusivity, our period of orphan exclusivity will not prevent third parties from obtaining approval for a competing drug containing the same active ingredient for use in this other, non-orphan indication. If that were to occur, the protection we derive from orphan exclusivity may be adversely affected.</w:t>
      </w:r>
    </w:p>
    <w:p>
      <w:pPr>
        <w:spacing w:after="0" w:line="29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Designation by the FDA, such as fast track or breakthrough therapy, may not lead to a faster development or regulatory review or approval process, and it does not increase the likelihood that our product candidates will receive marketing approval.</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FDA granted fast track designation to pociredir for the treatment of SCD, and we may seek fast track designation for some of our other product candidates as well as breakthrough therapy designation. If a drug is intended for the treatment of a serious or life-threatening condition and the drug demonstrates the potential to address unmet medical needs for this condition, the drug sponsor may apply for FDA fast track designation. The FDA has broad discretion whether or not to grant this designation, so even if we believe a particular product candidate is eligible for this designation, we cannot assure stockholders that the FDA would decide to grant it. Even with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3" w:name="page64"/>
    <w:bookmarkEnd w:id="63"/>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w:t>
      </w:r>
    </w:p>
    <w:p>
      <w:pPr>
        <w:spacing w:after="0" w:line="6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Even if we receive breakthrough therapy designation, the receipt of such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or decide that the time period for FDA review or approval will not be shortened.</w:t>
      </w:r>
    </w:p>
    <w:p>
      <w:pPr>
        <w:spacing w:after="0" w:line="29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the FDA agrees that we may pursue an accelerated approval NDA submission, approval of the NDA is not assured, nor does submission of an accelerated approval NDA ensure that the product candidate will have a faster development or regulatory review process.</w:t>
      </w:r>
    </w:p>
    <w:p>
      <w:pPr>
        <w:spacing w:after="0" w:line="5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may seek approval, as applicable, of our product candidates using the FDA’s accelerated approval pathway. A product may be eligible for accelerated approval if it treats a serious condition, generally provides a meaningful advantage over available therapies, and demonstrates an effect on a surrogate endpoint that is reasonably likely to predict clinical benefit or on a clinical endpoint that can be measured earlier than irreversible morbidity or mortality, or IMM, that is reasonably likely to predict an effect on IMM or other clinical benefit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an intermediate clinical endpoint).</w:t>
      </w:r>
    </w:p>
    <w:p>
      <w:pPr>
        <w:spacing w:after="0" w:line="72"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Prior to seeking such accelerated approval, we will seek feedback from the FDA and otherwise evaluate our ability to seek and receive such accelerated approval.</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There can be no assurance that, after feedback from FDA,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there can be no assurance that such submission or application will be accepted or that any expedited review or approval will be granted on a timely basis, or at all.</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Moreover, as a condition of accelerated approval, the FDA likely would require that we perform adequate and well-controlled post-marketing clinical trials to confirm the product’s clinical benefit. These confirmatory trials must be completed with due diligence. Under the Food and Drug Omnibus Reform Act of 2022, or FDORA, the FDA may require that a post-approval confirmatory study or studies be underway prior to approval or within a specified time period after the date of approval for a product granted accelerated approval. FDORA also requires sponsors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generally requires pre-approval of promotional materials for products under consideration for accelerated approval, which could adversely impact the timing of the commercial launch of the product. Thus, even if we seek to utilize the accelerated approval pathway for a product candidate, we may not experience a faster development or regulatory review or approval process for that product. In addition, receiving accelerated approval does not assure that the product’s accelerated approval will ultimately be converted to a traditional approval.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any product candidates from being marketed abroad.</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order to market and sell our products in the European Union and many other foreign jurisdictions, we or our potential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of the United States generally includes all of the risks associated with obtaining FDA approval. In addition, in many countries outside of the United States, it is required that the product be approved for reimbursement before the product can be approved for sale in that country. We or our potential third-party collaborators may not obtain approvals, including conditional authorization,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 However, a failure or delay in obtaining regulatory approval in one country may have a negative effect on the regulatory process in other countries. We may not be able to file for marketing approvals and may not receive the necessary approvals to commercialize our products in any market.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4" w:name="page65"/>
    <w:bookmarkEnd w:id="64"/>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Additionally, now that the United Kingdom is no longer part of the European Union, separate applications and procedures will be required to obtain regulatory approval for our products in the United Kingdom and the European Union. Any delay in obtaining, or an inability to obtain, any marketing approvals could prevent us from commercializing any product candidates in the United Kingdom and/or the European Union and restrict our ability to generate revenue and achieve and sustain profitability.</w:t>
      </w:r>
    </w:p>
    <w:p>
      <w:pPr>
        <w:spacing w:after="0" w:line="284"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could be subject to post-marketing restrictions or withdrawal from the market and we may be subject to substantial penalties if we fail to comply with regulatory requirements or if we experience unanticipated problems with our products, when and if any of them are approved.</w:t>
      </w:r>
    </w:p>
    <w:p>
      <w:pPr>
        <w:spacing w:after="0" w:line="67"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Even if marketing approval of a product candidate is granted, the approval may be subject to limitations on the indicated uses for which the product may be marketed or to the conditions of approval, including the requirement to implement a REMS. If any of our product candidates receives marketing approval, the accompanying label may limit the approved use of our drug, which could limit sales of the product.</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the product, including the adoption and implementation of REMS. The FDA and other agencies, including the Department of Justice, or the DOJ, closely regulate and monitor the post-approval marketing and promotion of drugs to ensure they are marketed and distributed only for the approved indications and in accordance with the provisions of the approved labeling. 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w:t>
      </w:r>
    </w:p>
    <w:p>
      <w:pPr>
        <w:spacing w:after="0" w:line="7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products, manufacturers or manufacturing processes, or failure to comply with regulatory requirements, may have various consequences, including:</w:t>
      </w:r>
    </w:p>
    <w:p>
      <w:pPr>
        <w:spacing w:after="0" w:line="54" w:lineRule="exact"/>
        <w:rPr>
          <w:sz w:val="20"/>
          <w:szCs w:val="20"/>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or restrictions on such products, manufacturers or manufacturing processes;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warnings on the labeling or marketing of a product;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or</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using our products.</w:t>
      </w:r>
    </w:p>
    <w:p>
      <w:pPr>
        <w:spacing w:after="0" w:line="117" w:lineRule="exact"/>
        <w:rPr>
          <w:sz w:val="20"/>
          <w:szCs w:val="20"/>
          <w:color w:val="auto"/>
        </w:rPr>
      </w:pPr>
    </w:p>
    <w:p>
      <w:pPr>
        <w:jc w:val="both"/>
        <w:ind w:right="500" w:firstLine="509"/>
        <w:spacing w:after="0" w:line="289" w:lineRule="auto"/>
        <w:rPr>
          <w:sz w:val="20"/>
          <w:szCs w:val="20"/>
          <w:color w:val="auto"/>
        </w:rPr>
      </w:pPr>
      <w:r>
        <w:rPr>
          <w:rFonts w:ascii="Times New Roman" w:cs="Times New Roman" w:eastAsia="Times New Roman" w:hAnsi="Times New Roman"/>
          <w:sz w:val="17"/>
          <w:szCs w:val="17"/>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or United Kingdom’s requirements regarding the protection of personal information can also lead to significant penalties and sanctions.</w:t>
      </w:r>
    </w:p>
    <w:p>
      <w:pPr>
        <w:spacing w:after="0" w:line="50" w:lineRule="exact"/>
        <w:rPr>
          <w:sz w:val="20"/>
          <w:szCs w:val="20"/>
          <w:color w:val="auto"/>
        </w:rPr>
      </w:pPr>
    </w:p>
    <w:p>
      <w:pPr>
        <w:jc w:val="both"/>
        <w:ind w:right="500" w:firstLine="509"/>
        <w:spacing w:after="0" w:line="282"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requirements, including ensuring that quality control and manufacturing procedures conform to cGMPs applicable to drug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5" w:name="page66"/>
    <w:bookmarkEnd w:id="65"/>
    <w:p>
      <w:pPr>
        <w:ind w:right="300"/>
        <w:spacing w:after="0" w:line="258" w:lineRule="auto"/>
        <w:rPr>
          <w:sz w:val="20"/>
          <w:szCs w:val="20"/>
          <w:color w:val="auto"/>
        </w:rPr>
      </w:pPr>
      <w:r>
        <w:rPr>
          <w:rFonts w:ascii="Times New Roman" w:cs="Times New Roman" w:eastAsia="Times New Roman" w:hAnsi="Times New Roman"/>
          <w:sz w:val="18"/>
          <w:szCs w:val="18"/>
          <w:color w:val="auto"/>
        </w:rPr>
        <w:t>manufacturers. Additionally, under FDORA, sponsors of approved drugs and biologics must provide six months’ notice to the FDA of any changes in marketing status, such as the withdrawal of a drug, and failure to do so could result in the FDA placing the product on a list of discontinued products, which would revoke the product’s ability to be marketed. We will also be subject to other regulatory requirements, including submissions of safety and other post-marketing information and reports, registration and listing requirements, requirements regarding the distribution of samples to clinicians, and recordkeeping.</w:t>
      </w:r>
    </w:p>
    <w:p>
      <w:pPr>
        <w:spacing w:after="0" w:line="287"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physicians and third-party payors will be subject to applicable anti-kickback, fraud and abuse, false claims, transparency, health information privacy and security, and other healthcare laws and regulations, which, in the event of a violation, could expose us to criminal sanctions, civil penalties, contractual damages, reputational harm, administrative burdens and diminished profits and future earnings.</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If we obtain regulatory approval and commercialize any products, healthcare providers, physicians and third-party payors will play a primary role in the recommendation and prescription of any product candidates for which we obtain marketing approval. Our future arrangements with healthcare providers, physicians and third-party payors may expose us to broadly applicable fraud and abuse and other healthcare laws and regulations that may constrain the business or financial arrangements and relationships through which we market, sell and distribute any products for which we obtain marketing approval. In addition, we may be subject to transparency laws and patient privacy regulation by U.S. federal and state governments and by governments in foreign jurisdictions in which we conduct our business. See Item 1 “Business—Government Regulation and Product Approvals—Health Care Law and Regulation” in the 2024 Annual Report.</w:t>
      </w:r>
    </w:p>
    <w:p>
      <w:pPr>
        <w:spacing w:after="0" w:line="8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including anticipated activities that would be conducted by our sales team,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participation in government funded healthcare programs.</w:t>
      </w:r>
    </w:p>
    <w:p>
      <w:pPr>
        <w:spacing w:after="0" w:line="292"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67"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legislative and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Economic Area, or EEA, including personal health data, is subject to the European Union’s General Data Protection Regulation, or EU GDPR. Following the withdrawal of the United Kingdom from the European Union, or Brexit, the EU GDPR has been incorporated into United Kingdom’s laws, or UK GDPR, alongside the UK Data Protection Act 2018, and together with the EU GDPR, is referred to as GDPR.</w:t>
      </w:r>
    </w:p>
    <w:p>
      <w:pPr>
        <w:spacing w:after="0" w:line="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Despite Brexit, the EU and UK GDPR remain largely aligned. Currently, the most impactful point of divergence relates to transfer mechanisms (i.e., the ability for companies in the European Union or the United Kingdom to transfer personal information to third countries, including the United States), because it requires us to implement a variety of different contractual clauses approved by European Union’s or United Kingdom’s regulators, and carry out transfer impact assessments to establish whether the third country can ensure essential equivalency. This complexity and the additional contractual burden increases our overall risk exposure, and may result in us needing to make strategic considerations around where EEA and UK personal data is stored and which service providers we can utilize for the processing of EEA and UK personal data.</w:t>
      </w:r>
    </w:p>
    <w:p>
      <w:pPr>
        <w:spacing w:after="0" w:line="7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There may be further divergence in the future, including with regard to administrative burdens. The UK Government has also now introduced a Data Protection and Digital Information Bill, or the UK Bill, into the UK legislative process. The aim of the UK Bill is to reform the UK’s data protection regime following Brexit. If passed, the final version of the UK Bill may have the effect of further altering the similarities between the UK and EEA data protection regime. This may lead to additional compliance costs and could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6" w:name="page67"/>
    <w:bookmarkEnd w:id="66"/>
    <w:p>
      <w:pPr>
        <w:spacing w:after="0" w:line="282" w:lineRule="auto"/>
        <w:rPr>
          <w:sz w:val="20"/>
          <w:szCs w:val="20"/>
          <w:color w:val="auto"/>
        </w:rPr>
      </w:pPr>
      <w:r>
        <w:rPr>
          <w:rFonts w:ascii="Times New Roman" w:cs="Times New Roman" w:eastAsia="Times New Roman" w:hAnsi="Times New Roman"/>
          <w:sz w:val="18"/>
          <w:szCs w:val="18"/>
          <w:color w:val="auto"/>
        </w:rPr>
        <w:t>increase our overall risk exposure as we may no longer be able to take a unified approach across the European Union and the United Kingdom, and we will need to amend our processes and procedures to align with the new framework.</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Similar data protection laws are either in place or under way in the United States. There are a broad variety of privacy and data security laws and regulations that may be applicable to our activities governing the collection, use, disclosure, and protection of health-related and other personal information (including, state data breach notification laws, health information and/or genetic privacy laws and federal and state consumer protection laws including Section 5 of the FTC Act, HIPAA, and the California Consumer Privacy Act, or CCPA). For example, the CCPA as amended by the California Privacy Rights Act, has created certain requirements for data use, sharing and transparency, and provides California residents certain rights concerning their personal information, such as access, correction, deletion and opt out of selling or sharing such data. More than a dozen other states have implemented privacy legislation similar to the CCPA or are preparing to implement their own regulatory frameworks. For example, Washington state’s My Health My Data Act, which took effect in March 2024, expands the definition of consumer health data, affords consumers with privacy rights and creates a private right of action, which could generate litigation. A wide range of enforcement agencies at both the state and federal levels, such as the Federal Trade Commission and state Attorneys General have been increasingly aggressive in reviewing and enforcing privacy and data security-related consumer protection laws. Regulators and legislators in the U.S. are increasingly scrutinizing and restricting certain personal data transfers and transactions involving foreign countries. See Item 1 “Business –Government Regulation and Product Approvals” in the 2024 Annual Report.</w:t>
      </w:r>
    </w:p>
    <w:p>
      <w:pPr>
        <w:spacing w:after="0" w:line="82"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Given the breadth and depth of changes in privacy, data protection and consumer protection obligations, preparing for and complying with these requirements is rigorous and time intensive and requires significant resources and ongoing review of our technologies, systems and practices, as well as those of any third-party collaborators, service providers, contractors or consultants that store, process or transfer personal data on our behalf. Compliance with the GDPR and other similar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Any failure or perceived failure by us to comply with such laws and regulations could lead to government enforcement actions, private litigation and significant fines and penalties against us and could have a material adverse effect on our business, financial condition or results of operations. There is also the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29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obtain marketing approval of and commercialize our product candidate and affect the prices we may obtain for any products that are approved in the United States or foreign jurisdictions.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 If reimbursement of our products is unavailable or limited in scope, our business could be materially harmed. See Item 1 “Business—Government Regulation and Product Approval—Pharmaceutical Insurance Coverage and Health Care Reform” in the 2024 Annual Report.</w:t>
      </w:r>
    </w:p>
    <w:p>
      <w:pPr>
        <w:spacing w:after="0" w:line="8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For example, the Inflation Reduction Act of 2022, among other things, allows for Centers for Medicare &amp; Medicaid Services to negotiate prices for certain single-source drugs and biologics reimbursed under Medicare Part B and Part D, beginning with select high-cost drugs in 2026. The legislation subjects drug manufacturers to civil monetary penalties and a potential excise tax for offering a price that is not equal to or less than the price negotiated under the law or for taking price increases that exceed inflation. The legislation also requires manufacturers to pay rebates for drugs in Medicare Part B and Part D whose price increases exceed inflation. Further, the legislation caps Medicare beneficiaries’ annual out-of-pocket drug expenses at $2,000. The implementation of the IRA is currently subject to ongoing litigation challenging the constitutionality of the IRA’s Medicare drug price negotiation program. The effect of Inflation Reduction Act of 2022 on our business and the healthcare industry in general is not yet known.</w:t>
      </w:r>
    </w:p>
    <w:p>
      <w:pPr>
        <w:spacing w:after="0" w:line="8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Further, on April 15, 2025, the current U.S. administration published Executive Order 14273, “Lowering Drug Prices by Once Again Putting Americans First,” which generally directs the federal government to take measures to reduce drug prices, including eliminating the so-called “pill penalty” under the Inflation Reduction Act that creates a distinction between small molecule and large molecule products for purposes of determining when a drug may be eligible for drug price negotiation. On May 12, 2025, the current U.S. administration published Executive Order 14297, “Delivering Most-Favored-Nation Prescription Drug Pricing to American Patients,” which generally, among other things, directs the federal government to establish and communicate most-favored-nation price targets to pharmaceutical manufacturers to bring prices for U.S. patients in line with comparably developed nations. Further, the Executive Order directs the federal government to support regulatory paths to allow direct-to-patient sales for companies that meet</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67" w:name="page68"/>
    <w:bookmarkEnd w:id="67"/>
    <w:p>
      <w:pPr>
        <w:spacing w:after="0" w:line="255" w:lineRule="auto"/>
        <w:rPr>
          <w:sz w:val="20"/>
          <w:szCs w:val="20"/>
          <w:color w:val="auto"/>
        </w:rPr>
      </w:pPr>
      <w:r>
        <w:rPr>
          <w:rFonts w:ascii="Times New Roman" w:cs="Times New Roman" w:eastAsia="Times New Roman" w:hAnsi="Times New Roman"/>
          <w:sz w:val="18"/>
          <w:szCs w:val="18"/>
          <w:color w:val="auto"/>
        </w:rPr>
        <w:t>these targets. It also states that the current U.S. administration will take additional aggressive action (for example, examining whether marketing approvals should be modified or rescinded or opening the door for individual drug importation waivers) should manufacturers fail to offer U.S. consumers the most-favored-nation lowest price. It also directs the Secretary of Commerce and the U.S. Trade Representative to “take all necessary and appropriate action to ensure foreign countries are not engaged in any act, policy, or practice that may be unreasonable or discriminatory or that may impair United States national security . . . including by suppressing the price of pharmaceutical products below fair market value in foreign countries.” Notably, a similar “most favored nation” pricing rule enacted during the current President’s first term in office was subject to an injunction resulting from judicial challenges to the rule, which was formally rescinded in August 2021.</w:t>
      </w:r>
    </w:p>
    <w:p>
      <w:pPr>
        <w:spacing w:after="0" w:line="8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payers of healthcare services to contain or reduce costs of healthcare may adversely affect:</w:t>
      </w:r>
    </w:p>
    <w:p>
      <w:pPr>
        <w:spacing w:after="0" w:line="54"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set a price that we believe is fair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6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of the United States tend to impose strict price controls, which may adversely affect our revenues, if any.</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countries outside of the United States,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28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third-party manufacturers we engage now or in the future fail to comply with environmental, health and safety laws and regulations, we could become subject to fines or penalties or incur costs or liabilities that could harm our business.</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and third-party manufacturers we engage now are, and any third-party manufacturers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Liability under certain environmental laws governing the release and cleanup of hazardous materials is joint and several and could be imposed without regard to fault. We also could incur significant costs associated with civil or criminal fines and penalties or become subject to injunctions limiting or prohibiting our activities for failure to comply with such laws and regulations.</w:t>
      </w:r>
    </w:p>
    <w:p>
      <w:pPr>
        <w:spacing w:after="0" w:line="80"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72"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68"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68" w:name="page69"/>
    <w:bookmarkEnd w:id="68"/>
    <w:p>
      <w:pPr>
        <w:ind w:right="60"/>
        <w:spacing w:after="0" w:line="266" w:lineRule="auto"/>
        <w:rPr>
          <w:sz w:val="20"/>
          <w:szCs w:val="20"/>
          <w:color w:val="auto"/>
        </w:rPr>
      </w:pPr>
      <w:r>
        <w:rPr>
          <w:rFonts w:ascii="Times New Roman" w:cs="Times New Roman" w:eastAsia="Times New Roman" w:hAnsi="Times New Roman"/>
          <w:sz w:val="18"/>
          <w:szCs w:val="18"/>
          <w:color w:val="auto"/>
        </w:rPr>
        <w:t>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28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be precluded from developing manufacturing and selling certain products outside the United States or be required to develop and implement costly compliance programs, which could adversely affect our business, results of operations and financial condition.</w:t>
      </w:r>
    </w:p>
    <w:p>
      <w:pPr>
        <w:spacing w:after="0" w:line="7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Compliance with the FCPA, in particular,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8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our international operations might be subject or the manner in which existing laws might be administered or interpreted. If we expand our operations outside of the United States, we will need to dedicate additional resources to comply with numerous laws and regulations in each jurisdiction in which we plan to operate.</w:t>
      </w:r>
    </w:p>
    <w:p>
      <w:pPr>
        <w:spacing w:after="0" w:line="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8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 also may suspend or bar issuers from trading securities on U.S. exchanges for violations of the FCPA’s accounting provisions. Any investigation of any potential violations of the Bribery Act, the FCPA, other anti-corruption laws or Trade Control laws by United Kingdom, United States or other authorities could also have an adverse impact on our reputation, our business, results of operations and financial condition.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9" w:name="page70"/>
    <w:bookmarkEnd w:id="69"/>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and vendors may engage in misconduct or other improper activities, including non-compliance with regulatory standards and requirements and insider trading, which could cause significant liability for us and harm our reputation.</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independent contractors, consultants and vendors. Misconduct by these partners could include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This could include violations of HIPAA, other U.S. federal and state law, and requirements of non-U.S. jurisdictions, including the EU GDPR. We are also exposed to risks in connection with any insider trading violations by employees or others affiliated with us.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29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and information technology systems and infrastructure, or those of our collaborators or other contractors or consultants, may fail or suffer security compromises or breaches, which could result in a disruption of our product development programs.</w:t>
      </w:r>
    </w:p>
    <w:p>
      <w:pPr>
        <w:spacing w:after="0" w:line="5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Our internal computer and information technology systems and infrastructure and those of our CROs, collaborators, and other contractors or consultants upon which our business relies, are vulnerable to breakdown or damage or interruption or otherwise may sustain damage from computer viruses, unauthorized access, data breaches, phishing attacks, cybercriminals, system malfunction, natural disasters (including hurricanes and earthquakes), terrorism, war and telecommunication and electrical failures. Such systems and infrastructure are also vulnerable to service interruptions or to security compromises or breaches from inadvertent or intentional actions by our employees, CROs or other third-party vendors, contractors, consultants and/or business partners or other third parties, or from cyber-attacks by malicious third parties. Cyber-attacks are increasing in their frequency, sophistication and intensity, and have become increasingly difficult to detect. Cyber-attacks could include wrongful conduct by insider employees or vendors, hostile foreign governments, industrial espionage, wire fraud and other forms of cyber fraud or cyber-attacks, including the deployment of harmful malware, ransomware, denial-of-service attacks, unauthorized access to or deletion of files, phishing attacks and social engineering, business email compromise, and other means to affect service reliability and threaten the confidentiality, integrity and availability of information. We, and our third party service providers, have experienced cyber incidents in the past, and we cannot guarantee that the measures we take to prevent, detect and respond to cyber-attacks will be effective to prevent or remediate future incidents. If our cybersecurity measures or those of our service providers fail to protect against unauthorized access, attacks, compromise or the mishandling of data by our employees or contractors, then our reputation, customer trust, business, results of operations and financial condition could be adversely affected. Because the techniques used by threat actors who may attempt to penetrate and sabotage our computer systems or those of our collaborators or other contractors or consultants change frequently and may not be recognized until launched against a target, we may be unable to anticipate these techniques.</w:t>
      </w:r>
    </w:p>
    <w:p>
      <w:pPr>
        <w:spacing w:after="0" w:line="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While we have not experienced any material system failure, accident, cyber-attack or security breach to date,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compromise or breach were to result in a loss of, damage to, unauthorized access, or misuse of our data, systems, infrastructure or applications, or inappropriate disclosure of confidential or proprietary information, we could incur liability (including in connection with or resulting from litigation or governmental investigations and enforcement actions), our competitive position could be harmed and the further development and commercialization of our product candidates could be delayed and our business could be otherwise adversely affected. We cannot be sure that our cyber insurance coverage will be adequate or sufficient to protect us from or to mitigate liabilities arising out of any such disruption in, or failure or security incident, breach, or compromise of our system or third-party systems.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offer letters with our executive officers, each of them may terminate their employment with us at any time. We do</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70" w:name="page71"/>
    <w:bookmarkEnd w:id="70"/>
    <w:p>
      <w:pPr>
        <w:ind w:right="300"/>
        <w:spacing w:after="0" w:line="282" w:lineRule="auto"/>
        <w:rPr>
          <w:sz w:val="20"/>
          <w:szCs w:val="20"/>
          <w:color w:val="auto"/>
        </w:rPr>
      </w:pPr>
      <w:r>
        <w:rPr>
          <w:rFonts w:ascii="Times New Roman" w:cs="Times New Roman" w:eastAsia="Times New Roman" w:hAnsi="Times New Roman"/>
          <w:sz w:val="18"/>
          <w:szCs w:val="18"/>
          <w:color w:val="auto"/>
        </w:rPr>
        <w:t>not maintain “key person” insurance for any of our executives or other employees. Recruiting and retaining qualified scientific, clinical, manufacturing, accounting, legal and sales and marketing personnel will also be critical to our success.</w:t>
      </w:r>
    </w:p>
    <w:p>
      <w:pPr>
        <w:spacing w:after="0" w:line="5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have had executive transitions, including of our chief executive officer, chief financial officer, president of research and development, chief scientific officer, and chief medical officer. We cannot predict the likelihood, timing or effect of future transitions among our executive leadership.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Even if we are successful in our efforts to replace our executive leadership, we cannot guarantee that we will not face similar turnover in the future. In August 2022 and September 2024, we announced a workforce reduction in our research and development function, which may make us a less attractive employer to future candidates.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300"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if appropriate, potentially implement sales, marketing and distribution capabilities, and as a result, we may encounter difficulties in managing our growth, which could disrupt our operations.</w:t>
      </w:r>
    </w:p>
    <w:p>
      <w:pPr>
        <w:spacing w:after="0" w:line="51" w:lineRule="exact"/>
        <w:rPr>
          <w:sz w:val="20"/>
          <w:szCs w:val="20"/>
          <w:color w:val="auto"/>
        </w:rPr>
      </w:pPr>
    </w:p>
    <w:p>
      <w:pPr>
        <w:ind w:right="20" w:firstLine="509"/>
        <w:spacing w:after="0" w:line="273" w:lineRule="auto"/>
        <w:rPr>
          <w:sz w:val="20"/>
          <w:szCs w:val="20"/>
          <w:color w:val="auto"/>
        </w:rPr>
      </w:pPr>
      <w:r>
        <w:rPr>
          <w:rFonts w:ascii="Times New Roman" w:cs="Times New Roman" w:eastAsia="Times New Roman" w:hAnsi="Times New Roman"/>
          <w:sz w:val="17"/>
          <w:szCs w:val="17"/>
          <w:color w:val="auto"/>
        </w:rPr>
        <w:t>As we continue to expand our pipeline, we expect that we will experience growth in the number of our employees and the scope of our operations, particularly in the areas of drug development, clinical,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if they choose to act together, have the ability to control or significantly influence all matters submitted to stockholders for approval.</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of October 22, 2025, our executive officers and directors and our stockholders who owned more than 5% of our outstanding common stock in the aggregate beneficially owned shares representing approximately 74.6% of our capital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the election of directors and approval of any merger, consolidation or sale of all or substantially all of our assets.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This concentration of ownership control may:</w:t>
      </w:r>
    </w:p>
    <w:p>
      <w:pPr>
        <w:spacing w:after="0" w:line="117" w:lineRule="exact"/>
        <w:rPr>
          <w:sz w:val="20"/>
          <w:szCs w:val="20"/>
          <w:color w:val="auto"/>
        </w:rPr>
      </w:pPr>
    </w:p>
    <w:p>
      <w:pPr>
        <w:ind w:left="900" w:hanging="368"/>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defer or prevent a change in control;</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entrench our management and board of directors; or</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prevent a merger, consolidation, takeover or other business combination involving us that other stockholders may desire.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1" w:name="page72"/>
    <w:bookmarkEnd w:id="71"/>
    <w:p>
      <w:pPr>
        <w:jc w:val="both"/>
        <w:ind w:right="2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28"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and our bylaws may discourage, delay or prevent a merger, acquisition or other change in control of our company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9" w:lineRule="exact"/>
        <w:rPr>
          <w:sz w:val="20"/>
          <w:szCs w:val="20"/>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only one of three classes of directors is elected each year;</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our board of directors;</w:t>
      </w:r>
    </w:p>
    <w:p>
      <w:pPr>
        <w:spacing w:after="0" w:line="117" w:lineRule="exact"/>
        <w:rPr>
          <w:rFonts w:ascii="Times New Roman" w:cs="Times New Roman" w:eastAsia="Times New Roman" w:hAnsi="Times New Roman"/>
          <w:sz w:val="18"/>
          <w:szCs w:val="18"/>
          <w:color w:val="auto"/>
        </w:rPr>
      </w:pPr>
    </w:p>
    <w:p>
      <w:pPr>
        <w:ind w:left="900" w:right="100" w:hanging="368"/>
        <w:spacing w:after="0" w:line="282"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 of directors;</w:t>
      </w:r>
    </w:p>
    <w:p>
      <w:pPr>
        <w:spacing w:after="0" w:line="53" w:lineRule="exact"/>
        <w:rPr>
          <w:rFonts w:ascii="Times New Roman" w:cs="Times New Roman" w:eastAsia="Times New Roman" w:hAnsi="Times New Roman"/>
          <w:sz w:val="18"/>
          <w:szCs w:val="18"/>
          <w:color w:val="auto"/>
        </w:rPr>
      </w:pPr>
    </w:p>
    <w:p>
      <w:pPr>
        <w:ind w:left="900" w:right="440" w:hanging="368"/>
        <w:spacing w:after="0" w:line="282"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117" w:lineRule="exact"/>
        <w:rPr>
          <w:rFonts w:ascii="Times New Roman" w:cs="Times New Roman" w:eastAsia="Times New Roman" w:hAnsi="Times New Roman"/>
          <w:sz w:val="18"/>
          <w:szCs w:val="18"/>
          <w:color w:val="auto"/>
        </w:rPr>
      </w:pPr>
    </w:p>
    <w:p>
      <w:pPr>
        <w:ind w:left="900" w:hanging="368"/>
        <w:spacing w:after="0" w:line="266"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67" w:lineRule="exact"/>
        <w:rPr>
          <w:rFonts w:ascii="Times New Roman" w:cs="Times New Roman" w:eastAsia="Times New Roman" w:hAnsi="Times New Roman"/>
          <w:sz w:val="18"/>
          <w:szCs w:val="18"/>
          <w:color w:val="auto"/>
        </w:rPr>
      </w:pPr>
    </w:p>
    <w:p>
      <w:pPr>
        <w:ind w:left="900" w:right="140" w:hanging="368"/>
        <w:spacing w:after="0" w:line="282"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specified provisions of our certificate of incorporation or bylaws.</w:t>
      </w:r>
    </w:p>
    <w:p>
      <w:pPr>
        <w:spacing w:after="0" w:line="16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84"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or cease publishing research or reports or publish misleading, inaccurate or unfavorable research about our business or if they publish negative evaluations of our stock, the price and trading volume of our stock could decline.</w:t>
      </w:r>
    </w:p>
    <w:p>
      <w:pPr>
        <w:spacing w:after="0" w:line="5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There can be no assurance that existing analysts will continue to cover us or that new analysts will begin to cover us. There is also no assurance that any covering analyst will provide favorable coverage. Although we have obtained analyst coverage, if one or more of the analysts covering our business downgrade their evaluations of our stock or publish inaccurate or unfavorable research about our business, or provides more favorable relative recommendations about our competitors, the price of our stock could decline. If one or more of these analysts cease to cover our stock, we could lose visibility in the market for our stock, which in turn could cause our stock price and trading volume to decline.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 which could result in substantial losses for our stockholders.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72" w:lineRule="exact"/>
        <w:rPr>
          <w:sz w:val="20"/>
          <w:szCs w:val="20"/>
          <w:color w:val="auto"/>
        </w:rPr>
      </w:pPr>
    </w:p>
    <w:p>
      <w:pPr>
        <w:ind w:left="900" w:right="820" w:hanging="368"/>
        <w:spacing w:after="0" w:line="282"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or developments in preclinical studies and clinical trials of our product candidates or those of our competitors or potential collaborators;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commercializing our products, if and when approved;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72" w:name="page73"/>
    <w:bookmarkEnd w:id="72"/>
    <w:p>
      <w:pPr>
        <w:ind w:left="900" w:hanging="368"/>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intellectual property or proprietary rights;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900" w:right="260" w:hanging="368"/>
        <w:spacing w:after="0" w:line="282"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products, product candidates, technologies or data referencing rights, the costs of commercializing any such products and the costs of development of any such product candidates or technologies;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the financial results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class-action litigation has often been instituted against that company.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Such litigation may also cause us to incur other substantial costs to defend such claims and divert management’s attention and resources. Furthermore, negative public announcements of the results of hearings, motions or other interim proceedings or developments could have a negative effect on the market price of our common stock.</w:t>
      </w:r>
    </w:p>
    <w:p>
      <w:pPr>
        <w:spacing w:after="0" w:line="29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5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in the market that the holders of a large number of shares intend to sell shares, could reduce the market price of our common stock. Persons who were our stockholders prior to our initial public offering continue to hold a substantial number of shares of our common stock. If such persons sell, or indicate an intention to sell, substantial amounts of our common stock in the public market, the trading price of our common stock could decline.</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we have filed or intend to file universal shelf registration statements (which allows us to offer and sell securities from time to time pursuant to one or more offerings at prices and terms to be determined at the time of sale) subject to an aggregate offering amount stated therein, as well as registration statements registering all shares of common stock that we may issue under our equity compensation plans or pursuant to equity awards made to newly hired employees outside of equity compensation plans. Such registered shares can be freely sold in the public market upon issuance, subject to volume limitations applicable to affiliates.</w:t>
      </w:r>
    </w:p>
    <w:p>
      <w:pPr>
        <w:spacing w:after="0" w:line="28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scaled disclosure requirements applicable to smaller reporting companies may make our common stock less attractive to investors.</w:t>
      </w:r>
    </w:p>
    <w:p>
      <w:pPr>
        <w:spacing w:after="0" w:line="5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or SRC. For so long as we remain an SRC, we are permitted and intend to rely on certain scaled disclosure requirements that are applicable to other public companies that are not SRCs. These scaled disclosure requirements include:</w:t>
      </w:r>
    </w:p>
    <w:p>
      <w:pPr>
        <w:spacing w:after="0" w:line="54" w:lineRule="exact"/>
        <w:rPr>
          <w:sz w:val="20"/>
          <w:szCs w:val="20"/>
          <w:color w:val="auto"/>
        </w:rPr>
      </w:pPr>
    </w:p>
    <w:p>
      <w:pPr>
        <w:ind w:left="900" w:hanging="368"/>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w:t>
      </w:r>
    </w:p>
    <w:p>
      <w:pPr>
        <w:spacing w:after="0" w:line="117" w:lineRule="exact"/>
        <w:rPr>
          <w:rFonts w:ascii="Times New Roman" w:cs="Times New Roman" w:eastAsia="Times New Roman" w:hAnsi="Times New Roman"/>
          <w:sz w:val="18"/>
          <w:szCs w:val="18"/>
          <w:color w:val="auto"/>
        </w:rPr>
      </w:pPr>
    </w:p>
    <w:p>
      <w:pPr>
        <w:ind w:left="900" w:right="540" w:hanging="368"/>
        <w:spacing w:after="0" w:line="266"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3" w:name="page74"/>
    <w:bookmarkEnd w:id="73"/>
    <w:p>
      <w:pPr>
        <w:ind w:left="900" w:hanging="368"/>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w:t>
      </w:r>
    </w:p>
    <w:p>
      <w:pPr>
        <w:spacing w:after="0" w:line="117"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We may choose to take advantage of some or all of the available exemptions.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7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as a result of operating as a public company, and our management will be required to devote substantial time to new compliance initiatives and corporate governance practices.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that we did not incur as a private company.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particularly as we hire additional financial and accounting employees to meet public company internal control and financial reporting requirements,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188"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0"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Pursuant to Section 404 of the Sarbanes-Oxley Act of 2002, or Section 404, we are required to furnish a report by our management on our internal control over financial reporting. However, while we remain an SRC, we will not be required to include an attestation report on internal control over financial reporting issued by our independent registered public accounting firm. To achieve compliance with Section 404 within the prescribed period, we conduct a process each year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spacing w:after="0" w:line="188"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our stockholders’ sole source of gain.</w:t>
      </w:r>
    </w:p>
    <w:p>
      <w:pPr>
        <w:spacing w:after="0" w:line="5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our stockholders’ sole source of gain for the foreseeable future.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4" w:name="page75"/>
    <w:bookmarkEnd w:id="74"/>
    <w:p>
      <w:pPr>
        <w:ind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certificate of incorporation designates the state courts in the State of Delaware as the sole and exclusive forum for certain types of actions and proceedings that may be initiated by our stockholders, which could discourage lawsuits against the company and our directors, officers and employees.</w:t>
      </w:r>
    </w:p>
    <w:p>
      <w:pPr>
        <w:spacing w:after="0" w:line="2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(1) any derivative action or proceeding brought on our behalf, (2) any action asserting a claim of breach of a fiduciary duty owed by any of our directors, officers,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or the Securities Exchange Act of 1934, as amended.</w:t>
      </w:r>
    </w:p>
    <w:p>
      <w:pPr>
        <w:spacing w:after="0" w:line="19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 Alternatively, if a court were to find the choice of forum provision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ind w:left="780" w:hanging="263"/>
        <w:spacing w:after="0"/>
        <w:tabs>
          <w:tab w:leader="none" w:pos="7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w:t>
      </w:r>
    </w:p>
    <w:p>
      <w:pPr>
        <w:spacing w:after="0" w:line="225"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w:t>
      </w:r>
    </w:p>
    <w:p>
      <w:pPr>
        <w:spacing w:after="0" w:line="225" w:lineRule="exact"/>
        <w:rPr>
          <w:rFonts w:ascii="Times New Roman" w:cs="Times New Roman" w:eastAsia="Times New Roman" w:hAnsi="Times New Roman"/>
          <w:sz w:val="18"/>
          <w:szCs w:val="18"/>
          <w:b w:val="1"/>
          <w:bCs w:val="1"/>
          <w:color w:val="auto"/>
        </w:rPr>
      </w:pPr>
    </w:p>
    <w:p>
      <w:pPr>
        <w:ind w:left="760" w:hanging="243"/>
        <w:spacing w:after="0"/>
        <w:tabs>
          <w:tab w:leader="none" w:pos="7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Director and Officer Trading Plans and Arrangements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On August 1, 2025, Robert J. Gould, a member of our board of directors, adopted a trading plan for the potential sale of up to 180,000 shares of our common stock. The trading plan is intended to satisfy the affirmative defense conditions of Rule 10b5-1(c) under the Exchange Act and is expected to remain in effect until December 15, 2026.</w:t>
      </w:r>
    </w:p>
    <w:p>
      <w:pPr>
        <w:spacing w:after="0" w:line="6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On August 8, 2025, Curtis Oltmans, our chief legal officer, adopted a trading plan for the potential sale of up to 12,186 shares of our common stock and for the potential exercise of vested stock options and the associated sale of up to 40,000 shares of our common stock. The trading plan is intended to satisfy the affirmative defense conditions of Rule 10b5-1(c) under the Exchange Act and is expected to remain in effect until June 30, 2026.</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gridSpan w:val="15"/>
            <w:vMerge w:val="restart"/>
          </w:tcPr>
          <w:p>
            <w:pPr>
              <w:ind w:left="37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220" w:type="dxa"/>
            <w:vAlign w:val="bottom"/>
            <w:tcBorders>
              <w:bottom w:val="single" w:sz="8" w:color="auto"/>
            </w:tcBorders>
            <w:gridSpan w:val="1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80" w:type="dxa"/>
            <w:vAlign w:val="bottom"/>
          </w:tcPr>
          <w:p>
            <w:pPr>
              <w:ind w:left="10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4"/>
                <w:szCs w:val="14"/>
                <w:color w:val="auto"/>
              </w:rPr>
            </w:pPr>
          </w:p>
        </w:tc>
        <w:tc>
          <w:tcPr>
            <w:tcW w:w="10080" w:type="dxa"/>
            <w:vAlign w:val="bottom"/>
            <w:tcBorders>
              <w:bottom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Restated Certificate of Incorporation of the Registrant (incorporated by reference to Exhibit 3.1 to the Registrant’s Current Report on Form</w:t>
              </w:r>
            </w:hyperlink>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2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85">
              <w:r>
                <w:rPr>
                  <w:rFonts w:ascii="Times New Roman" w:cs="Times New Roman" w:eastAsia="Times New Roman" w:hAnsi="Times New Roman"/>
                  <w:sz w:val="18"/>
                  <w:szCs w:val="18"/>
                  <w:color w:val="0000FF"/>
                  <w:w w:val="99"/>
                </w:rPr>
                <w:t>8-K filed with the Securities and Exchange Commission on July 22, 2019).</w:t>
              </w:r>
            </w:hyperlink>
          </w:p>
        </w:tc>
        <w:tc>
          <w:tcPr>
            <w:tcW w:w="20" w:type="dxa"/>
            <w:vAlign w:val="bottom"/>
            <w:tcBorders>
              <w:bottom w:val="single" w:sz="8" w:color="0000EE"/>
            </w:tcBorders>
          </w:tcPr>
          <w:p>
            <w:pPr>
              <w:spacing w:after="0"/>
              <w:rPr>
                <w:sz w:val="17"/>
                <w:szCs w:val="17"/>
                <w:color w:val="auto"/>
              </w:rPr>
            </w:pPr>
          </w:p>
        </w:tc>
        <w:tc>
          <w:tcPr>
            <w:tcW w:w="47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7"/>
                <w:szCs w:val="17"/>
                <w:color w:val="auto"/>
              </w:rPr>
            </w:pPr>
          </w:p>
        </w:tc>
        <w:tc>
          <w:tcPr>
            <w:tcW w:w="97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Certificate of Amendment of the Restated Certificate of Incorporation of the Registrant (incorporated by reference to Exhibit 3.1 to the</w:t>
              </w:r>
            </w:hyperlink>
          </w:p>
        </w:tc>
        <w:tc>
          <w:tcPr>
            <w:tcW w:w="4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6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86">
              <w:r>
                <w:rPr>
                  <w:rFonts w:ascii="Times New Roman" w:cs="Times New Roman" w:eastAsia="Times New Roman" w:hAnsi="Times New Roman"/>
                  <w:sz w:val="18"/>
                  <w:szCs w:val="18"/>
                  <w:color w:val="0000FF"/>
                  <w:w w:val="99"/>
                </w:rPr>
                <w:t>Registrant’s Current Report on Form 8-K filed with the Securities and Exchange Commission on June 9, 2023).</w:t>
              </w:r>
            </w:hyperlink>
          </w:p>
        </w:tc>
        <w:tc>
          <w:tcPr>
            <w:tcW w:w="20" w:type="dxa"/>
            <w:vAlign w:val="bottom"/>
            <w:tcBorders>
              <w:bottom w:val="single" w:sz="8" w:color="0000EE"/>
            </w:tcBorders>
          </w:tcPr>
          <w:p>
            <w:pPr>
              <w:spacing w:after="0"/>
              <w:rPr>
                <w:sz w:val="17"/>
                <w:szCs w:val="17"/>
                <w:color w:val="auto"/>
              </w:rPr>
            </w:pPr>
          </w:p>
        </w:tc>
        <w:tc>
          <w:tcPr>
            <w:tcW w:w="20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7"/>
                <w:szCs w:val="17"/>
                <w:color w:val="auto"/>
              </w:rPr>
            </w:pPr>
          </w:p>
        </w:tc>
        <w:tc>
          <w:tcPr>
            <w:tcW w:w="1002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Amended and Restated Bylaws of the Registrant (incorporated by reference to Exhibit 3.2 to the Registrant’s Current Report on Form 8-K</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filed with the Securities and Exchange Commission on July 22, 2019).</w:t>
              </w:r>
            </w:hyperlink>
          </w:p>
        </w:tc>
        <w:tc>
          <w:tcPr>
            <w:tcW w:w="50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7"/>
                <w:szCs w:val="17"/>
                <w:color w:val="auto"/>
              </w:rPr>
            </w:pPr>
          </w:p>
        </w:tc>
        <w:tc>
          <w:tcPr>
            <w:tcW w:w="968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4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1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7"/>
                <w:szCs w:val="17"/>
                <w:color w:val="auto"/>
              </w:rPr>
            </w:pPr>
          </w:p>
        </w:tc>
        <w:tc>
          <w:tcPr>
            <w:tcW w:w="962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5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1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7"/>
                <w:szCs w:val="17"/>
                <w:color w:val="auto"/>
              </w:rPr>
            </w:pPr>
          </w:p>
        </w:tc>
        <w:tc>
          <w:tcPr>
            <w:tcW w:w="1010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Act of 2002.</w:t>
            </w:r>
          </w:p>
        </w:tc>
        <w:tc>
          <w:tcPr>
            <w:tcW w:w="20" w:type="dxa"/>
            <w:vAlign w:val="bottom"/>
            <w:tcBorders>
              <w:bottom w:val="single" w:sz="8" w:color="0000EE"/>
            </w:tcBorders>
          </w:tcPr>
          <w:p>
            <w:pPr>
              <w:spacing w:after="0"/>
              <w:rPr>
                <w:sz w:val="17"/>
                <w:szCs w:val="17"/>
                <w:color w:val="auto"/>
              </w:rPr>
            </w:pPr>
          </w:p>
        </w:tc>
        <w:tc>
          <w:tcPr>
            <w:tcW w:w="92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7"/>
                <w:szCs w:val="17"/>
                <w:color w:val="auto"/>
              </w:rPr>
            </w:pPr>
          </w:p>
        </w:tc>
        <w:tc>
          <w:tcPr>
            <w:tcW w:w="1006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Act of 2002.</w:t>
            </w:r>
          </w:p>
        </w:tc>
        <w:tc>
          <w:tcPr>
            <w:tcW w:w="20" w:type="dxa"/>
            <w:vAlign w:val="bottom"/>
            <w:tcBorders>
              <w:bottom w:val="single" w:sz="8" w:color="0000EE"/>
            </w:tcBorders>
          </w:tcPr>
          <w:p>
            <w:pPr>
              <w:spacing w:after="0"/>
              <w:rPr>
                <w:sz w:val="17"/>
                <w:szCs w:val="17"/>
                <w:color w:val="auto"/>
              </w:rPr>
            </w:pPr>
          </w:p>
        </w:tc>
        <w:tc>
          <w:tcPr>
            <w:tcW w:w="92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18"/>
                <w:szCs w:val="18"/>
                <w:color w:val="auto"/>
              </w:rPr>
            </w:pPr>
          </w:p>
        </w:tc>
        <w:tc>
          <w:tcPr>
            <w:tcW w:w="101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0"/>
                <w:szCs w:val="20"/>
                <w:color w:val="auto"/>
              </w:rPr>
            </w:pPr>
          </w:p>
        </w:tc>
        <w:tc>
          <w:tcPr>
            <w:tcW w:w="101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ind w:right="260" w:firstLine="8"/>
        <w:spacing w:after="0" w:line="414" w:lineRule="auto"/>
        <w:tabs>
          <w:tab w:leader="none" w:pos="10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95123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3"/>
          </w:tcPr>
          <w:p>
            <w:pPr>
              <w:ind w:left="1800"/>
              <w:spacing w:after="0"/>
              <w:rPr>
                <w:sz w:val="20"/>
                <w:szCs w:val="20"/>
                <w:color w:val="auto"/>
              </w:rPr>
            </w:pPr>
            <w:r>
              <w:rPr>
                <w:rFonts w:ascii="Times New Roman" w:cs="Times New Roman" w:eastAsia="Times New Roman" w:hAnsi="Times New Roman"/>
                <w:sz w:val="18"/>
                <w:szCs w:val="18"/>
                <w:color w:val="auto"/>
              </w:rPr>
              <w:t>FULCRUM THERAPEUTICS,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2025</w:t>
            </w:r>
          </w:p>
        </w:tc>
        <w:tc>
          <w:tcPr>
            <w:tcW w:w="23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4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/s/ Alex C. Sapir</w:t>
            </w:r>
          </w:p>
        </w:tc>
      </w:tr>
      <w:tr>
        <w:trPr>
          <w:trHeight w:val="191"/>
        </w:trPr>
        <w:tc>
          <w:tcPr>
            <w:tcW w:w="35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400" w:type="dxa"/>
            <w:vAlign w:val="bottom"/>
            <w:tcBorders>
              <w:top w:val="single" w:sz="8" w:color="auto"/>
            </w:tcBorders>
          </w:tcPr>
          <w:p>
            <w:pPr>
              <w:jc w:val="center"/>
              <w:ind w:right="130"/>
              <w:spacing w:after="0" w:line="191" w:lineRule="exact"/>
              <w:rPr>
                <w:sz w:val="20"/>
                <w:szCs w:val="20"/>
                <w:color w:val="auto"/>
              </w:rPr>
            </w:pPr>
            <w:r>
              <w:rPr>
                <w:rFonts w:ascii="Times New Roman" w:cs="Times New Roman" w:eastAsia="Times New Roman" w:hAnsi="Times New Roman"/>
                <w:sz w:val="18"/>
                <w:szCs w:val="18"/>
                <w:color w:val="auto"/>
                <w:w w:val="99"/>
              </w:rPr>
              <w:t>Alex C. Sapir</w:t>
            </w:r>
          </w:p>
        </w:tc>
      </w:tr>
      <w:tr>
        <w:trPr>
          <w:trHeight w:val="234"/>
        </w:trPr>
        <w:tc>
          <w:tcPr>
            <w:tcW w:w="35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President and Chief Executive Officer (Principal Executive Officer)</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2025</w:t>
            </w:r>
          </w:p>
        </w:tc>
        <w:tc>
          <w:tcPr>
            <w:tcW w:w="23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4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 Alan Musso</w:t>
            </w:r>
          </w:p>
        </w:tc>
      </w:tr>
      <w:tr>
        <w:trPr>
          <w:trHeight w:val="191"/>
        </w:trPr>
        <w:tc>
          <w:tcPr>
            <w:tcW w:w="35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400" w:type="dxa"/>
            <w:vAlign w:val="bottom"/>
            <w:tcBorders>
              <w:top w:val="single" w:sz="8" w:color="auto"/>
            </w:tcBorders>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rPr>
              <w:t>Alan Musso</w:t>
            </w:r>
          </w:p>
        </w:tc>
      </w:tr>
      <w:tr>
        <w:trPr>
          <w:trHeight w:val="234"/>
        </w:trPr>
        <w:tc>
          <w:tcPr>
            <w:tcW w:w="35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r>
        <w:trPr>
          <w:trHeight w:val="864"/>
        </w:trPr>
        <w:tc>
          <w:tcPr>
            <w:tcW w:w="3500" w:type="dxa"/>
            <w:vAlign w:val="bottom"/>
          </w:tcPr>
          <w:p>
            <w:pPr>
              <w:spacing w:after="0"/>
              <w:rPr>
                <w:sz w:val="24"/>
                <w:szCs w:val="24"/>
                <w:color w:val="auto"/>
              </w:rPr>
            </w:pPr>
          </w:p>
        </w:tc>
        <w:tc>
          <w:tcPr>
            <w:tcW w:w="2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w:t>
            </w:r>
          </w:p>
        </w:tc>
        <w:tc>
          <w:tcPr>
            <w:tcW w:w="5400" w:type="dxa"/>
            <w:vAlign w:val="bottom"/>
          </w:tcPr>
          <w:p>
            <w:pPr>
              <w:spacing w:after="0"/>
              <w:rPr>
                <w:sz w:val="24"/>
                <w:szCs w:val="24"/>
                <w:color w:val="auto"/>
              </w:rPr>
            </w:pPr>
          </w:p>
        </w:tc>
      </w:tr>
      <w:tr>
        <w:trPr>
          <w:trHeight w:val="763"/>
        </w:trPr>
        <w:tc>
          <w:tcPr>
            <w:tcW w:w="35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7" w:name="page78"/>
    <w:bookmarkEnd w:id="77"/>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40" w:right="17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Alex C. Sapir, certify that:</w:t>
      </w:r>
    </w:p>
    <w:p>
      <w:pPr>
        <w:spacing w:after="0" w:line="117" w:lineRule="exact"/>
        <w:rPr>
          <w:sz w:val="20"/>
          <w:szCs w:val="20"/>
          <w:color w:val="auto"/>
        </w:rPr>
      </w:pPr>
    </w:p>
    <w:p>
      <w:pPr>
        <w:ind w:left="700" w:hanging="183"/>
        <w:spacing w:after="0"/>
        <w:tabs>
          <w:tab w:leader="none" w:pos="7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Fulcrum Therapeutics,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80" w:firstLine="517"/>
        <w:spacing w:after="0" w:line="266" w:lineRule="auto"/>
        <w:tabs>
          <w:tab w:leader="none" w:pos="68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420" w:firstLine="506"/>
        <w:spacing w:after="0" w:line="266" w:lineRule="auto"/>
        <w:tabs>
          <w:tab w:leader="none" w:pos="127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40" w:firstLine="506"/>
        <w:spacing w:after="0" w:line="266" w:lineRule="auto"/>
        <w:tabs>
          <w:tab w:leader="none" w:pos="128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60" w:firstLine="506"/>
        <w:spacing w:after="0" w:line="282" w:lineRule="auto"/>
        <w:tabs>
          <w:tab w:leader="none" w:pos="127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20" w:firstLine="506"/>
        <w:spacing w:after="0" w:line="266" w:lineRule="auto"/>
        <w:tabs>
          <w:tab w:leader="none" w:pos="128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60" w:firstLine="517"/>
        <w:spacing w:after="0" w:line="282" w:lineRule="auto"/>
        <w:tabs>
          <w:tab w:leader="none" w:pos="68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80" w:firstLine="506"/>
        <w:spacing w:after="0" w:line="282" w:lineRule="auto"/>
        <w:tabs>
          <w:tab w:leader="none" w:pos="127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60" w:firstLine="506"/>
        <w:spacing w:after="0" w:line="282" w:lineRule="auto"/>
        <w:tabs>
          <w:tab w:leader="none" w:pos="128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2025</w:t>
            </w:r>
          </w:p>
        </w:tc>
        <w:tc>
          <w:tcPr>
            <w:tcW w:w="724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By:  /s/ Alex C. Sapir</w:t>
            </w:r>
          </w:p>
        </w:tc>
      </w:tr>
      <w:tr>
        <w:trPr>
          <w:trHeight w:val="191"/>
        </w:trPr>
        <w:tc>
          <w:tcPr>
            <w:tcW w:w="40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Alex C. Sapir</w:t>
            </w:r>
          </w:p>
        </w:tc>
      </w:tr>
      <w:tr>
        <w:trPr>
          <w:trHeight w:val="216"/>
        </w:trPr>
        <w:tc>
          <w:tcPr>
            <w:tcW w:w="40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40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627"/>
        </w:trPr>
        <w:tc>
          <w:tcPr>
            <w:tcW w:w="400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8" w:name="page79"/>
    <w:bookmarkEnd w:id="78"/>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340" w:right="17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Alan Musso, certify that:</w:t>
      </w:r>
    </w:p>
    <w:p>
      <w:pPr>
        <w:spacing w:after="0" w:line="117" w:lineRule="exact"/>
        <w:rPr>
          <w:sz w:val="20"/>
          <w:szCs w:val="20"/>
          <w:color w:val="auto"/>
        </w:rPr>
      </w:pPr>
    </w:p>
    <w:p>
      <w:pPr>
        <w:ind w:left="700" w:hanging="183"/>
        <w:spacing w:after="0"/>
        <w:tabs>
          <w:tab w:leader="none" w:pos="7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Fulcrum Therapeutics,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60" w:firstLine="517"/>
        <w:spacing w:after="0" w:line="266" w:lineRule="auto"/>
        <w:tabs>
          <w:tab w:leader="none" w:pos="68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420" w:firstLine="506"/>
        <w:spacing w:after="0" w:line="266" w:lineRule="auto"/>
        <w:tabs>
          <w:tab w:leader="none" w:pos="127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40" w:firstLine="506"/>
        <w:spacing w:after="0" w:line="266" w:lineRule="auto"/>
        <w:tabs>
          <w:tab w:leader="none" w:pos="128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60" w:firstLine="506"/>
        <w:spacing w:after="0" w:line="282" w:lineRule="auto"/>
        <w:tabs>
          <w:tab w:leader="none" w:pos="127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20" w:firstLine="506"/>
        <w:spacing w:after="0" w:line="266" w:lineRule="auto"/>
        <w:tabs>
          <w:tab w:leader="none" w:pos="128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0" w:firstLine="517"/>
        <w:spacing w:after="0" w:line="282" w:lineRule="auto"/>
        <w:tabs>
          <w:tab w:leader="none" w:pos="68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80" w:firstLine="506"/>
        <w:spacing w:after="0" w:line="282" w:lineRule="auto"/>
        <w:tabs>
          <w:tab w:leader="none" w:pos="127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60" w:firstLine="506"/>
        <w:spacing w:after="0" w:line="282" w:lineRule="auto"/>
        <w:tabs>
          <w:tab w:leader="none" w:pos="128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2025</w:t>
            </w:r>
          </w:p>
        </w:tc>
        <w:tc>
          <w:tcPr>
            <w:tcW w:w="724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By:  /s/ Alan Musso</w:t>
            </w:r>
          </w:p>
        </w:tc>
      </w:tr>
      <w:tr>
        <w:trPr>
          <w:trHeight w:val="191"/>
        </w:trPr>
        <w:tc>
          <w:tcPr>
            <w:tcW w:w="40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Alan Musso</w:t>
            </w:r>
          </w:p>
        </w:tc>
      </w:tr>
      <w:tr>
        <w:trPr>
          <w:trHeight w:val="216"/>
        </w:trPr>
        <w:tc>
          <w:tcPr>
            <w:tcW w:w="40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0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627"/>
        </w:trPr>
        <w:tc>
          <w:tcPr>
            <w:tcW w:w="400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Fulcrum Therapeutics, Inc. (the “Company”) for the period ended September 30, 2025, as filed with the Securities and Exchange Commission on the date hereof (the “Report”), the undersigned, Alex C. Sapir, President and Chief Executive Officer of the Company, hereby certifies, pursuant to 18 U.S.C. Section 1350, as adopted pursuant to Section 906 of the Sarbanes-Oxley Act of 2002, that to his knowledge:</w:t>
      </w:r>
    </w:p>
    <w:p>
      <w:pPr>
        <w:spacing w:after="0" w:line="180" w:lineRule="exact"/>
        <w:rPr>
          <w:sz w:val="20"/>
          <w:szCs w:val="20"/>
          <w:color w:val="auto"/>
        </w:rPr>
      </w:pPr>
    </w:p>
    <w:p>
      <w:pPr>
        <w:ind w:left="780" w:hanging="263"/>
        <w:spacing w:after="0"/>
        <w:tabs>
          <w:tab w:leader="none" w:pos="7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5540" w:val="left"/>
          <w:tab w:leader="none" w:pos="5960" w:val="left"/>
        </w:tabs>
        <w:rPr>
          <w:sz w:val="20"/>
          <w:szCs w:val="20"/>
          <w:color w:val="auto"/>
        </w:rPr>
      </w:pPr>
      <w:r>
        <w:rPr>
          <w:rFonts w:ascii="Times New Roman" w:cs="Times New Roman" w:eastAsia="Times New Roman" w:hAnsi="Times New Roman"/>
          <w:sz w:val="18"/>
          <w:szCs w:val="18"/>
          <w:color w:val="auto"/>
        </w:rPr>
        <w:t>Date: October 29,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 C. Sapir</w:t>
      </w:r>
    </w:p>
    <w:p>
      <w:pPr>
        <w:spacing w:after="0" w:line="3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Alex C. Sapir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-127635</wp:posOffset>
            </wp:positionV>
            <wp:extent cx="333438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Fulcrum Therapeutics, Inc. (the “Company”) for the period ended September 30, 2025, as filed with the Securities and Exchange Commission on the date hereof (the “Report”), the undersigned, Alan Musso, Chief Financial Officer of the Company, hereby certifies, pursuant to 18 U.S.C. Section 1350, as adopted pursuant to Section 906 of the Sarbanes-Oxley Act of 2002, that to his knowledge:</w:t>
      </w:r>
    </w:p>
    <w:p>
      <w:pPr>
        <w:spacing w:after="0" w:line="180" w:lineRule="exact"/>
        <w:rPr>
          <w:sz w:val="20"/>
          <w:szCs w:val="20"/>
          <w:color w:val="auto"/>
        </w:rPr>
      </w:pPr>
    </w:p>
    <w:p>
      <w:pPr>
        <w:ind w:left="780" w:hanging="263"/>
        <w:spacing w:after="0"/>
        <w:tabs>
          <w:tab w:leader="none" w:pos="7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 October 29, 2025</w:t>
      </w:r>
      <w:r>
        <w:rPr>
          <w:sz w:val="20"/>
          <w:szCs w:val="20"/>
          <w:color w:val="auto"/>
        </w:rPr>
        <w:tab/>
      </w:r>
      <w:r>
        <w:rPr>
          <w:rFonts w:ascii="Times New Roman" w:cs="Times New Roman" w:eastAsia="Times New Roman" w:hAnsi="Times New Roman"/>
          <w:sz w:val="18"/>
          <w:szCs w:val="18"/>
          <w:color w:val="auto"/>
        </w:rPr>
        <w:t>By:</w:t>
        <w:tab/>
        <w:t>/s/ Alan Musso</w:t>
      </w:r>
    </w:p>
    <w:p>
      <w:pPr>
        <w:spacing w:after="0" w:line="3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Alan Musso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-127635</wp:posOffset>
            </wp:positionV>
            <wp:extent cx="327469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1" w:name="page82"/>
    <w:bookmarkEnd w:id="8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1)"/>
      <w:numFmt w:val="lowerRoman"/>
      <w:start w:val="1"/>
    </w:lvl>
  </w:abstractNum>
  <w:abstractNum w:abstractNumId="6">
    <w:nsid w:val="737B8DDC"/>
    <w:multiLevelType w:val="hybridMultilevel"/>
    <w:lvl w:ilvl="0">
      <w:lvlJc w:val="left"/>
      <w:lvlText w:val="(%1)"/>
      <w:numFmt w:val="lowerRoman"/>
      <w:start w:val="3"/>
    </w:lvl>
  </w:abstractNum>
  <w:abstractNum w:abstractNumId="7">
    <w:nsid w:val="6CEAF087"/>
    <w:multiLevelType w:val="hybridMultilevel"/>
    <w:lvl w:ilvl="0">
      <w:lvlJc w:val="left"/>
      <w:lvlText w:val="%1"/>
      <w:numFmt w:val="decimal"/>
      <w:start w:val="1"/>
    </w:lvl>
    <w:lvl w:ilvl="1">
      <w:lvlJc w:val="left"/>
      <w:lvlText w:val="(%2)"/>
      <w:numFmt w:val="decimal"/>
      <w:start w:val="1"/>
    </w:lvl>
  </w:abstractNum>
  <w:abstractNum w:abstractNumId="8">
    <w:nsid w:val="22221A70"/>
    <w:multiLevelType w:val="hybridMultilevel"/>
    <w:lvl w:ilvl="0">
      <w:lvlJc w:val="left"/>
      <w:lvlText w:val="%1."/>
      <w:numFmt w:val="decimal"/>
      <w:start w:val="12"/>
    </w:lvl>
    <w:lvl w:ilvl="1">
      <w:lvlJc w:val="left"/>
      <w:lvlText w:val="%2"/>
      <w:numFmt w:val="decimal"/>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1)"/>
      <w:numFmt w:val="lowerLetter"/>
      <w:start w:val="1"/>
    </w:lvl>
  </w:abstractNum>
  <w:abstractNum w:abstractNumId="51">
    <w:nsid w:val="374A3FE6"/>
    <w:multiLevelType w:val="hybridMultilevel"/>
    <w:lvl w:ilvl="0">
      <w:lvlJc w:val="left"/>
      <w:lvlText w:val="*"/>
      <w:numFmt w:val="bullet"/>
      <w:start w:val="1"/>
    </w:lvl>
    <w:lvl w:ilvl="1">
      <w:lvlJc w:val="left"/>
      <w:lvlText w:val="%2"/>
      <w:numFmt w:val="decimal"/>
      <w:start w:val="104"/>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8" Type="http://schemas.openxmlformats.org/officeDocument/2006/relationships/image" Target="media/image278.png"/><Relationship Id="rId289" Type="http://schemas.openxmlformats.org/officeDocument/2006/relationships/image" Target="media/image279.png"/><Relationship Id="rId290" Type="http://schemas.openxmlformats.org/officeDocument/2006/relationships/image" Target="media/image280.png"/><Relationship Id="rId291"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4" Type="http://schemas.openxmlformats.org/officeDocument/2006/relationships/image" Target="media/image284.png"/><Relationship Id="rId295" Type="http://schemas.openxmlformats.org/officeDocument/2006/relationships/image" Target="media/image285.png"/><Relationship Id="rId296" Type="http://schemas.openxmlformats.org/officeDocument/2006/relationships/image" Target="media/image286.png"/><Relationship Id="rId297" Type="http://schemas.openxmlformats.org/officeDocument/2006/relationships/image" Target="media/image287.png"/><Relationship Id="rId298" Type="http://schemas.openxmlformats.org/officeDocument/2006/relationships/image" Target="media/image288.png"/><Relationship Id="rId299" Type="http://schemas.openxmlformats.org/officeDocument/2006/relationships/image" Target="media/image289.png"/><Relationship Id="rId285" Type="http://schemas.openxmlformats.org/officeDocument/2006/relationships/hyperlink" Target="https://www.sec.gov/Archives/edgar/data/0001680581/000104746919004324/a2239321zex-3_1.htm" TargetMode="External"/><Relationship Id="rId286" Type="http://schemas.openxmlformats.org/officeDocument/2006/relationships/hyperlink" Target="https://www.sec.gov/Archives/edgar/data/1680581/000119312523164435/d463131dex31.htm" TargetMode="External"/><Relationship Id="rId287" Type="http://schemas.openxmlformats.org/officeDocument/2006/relationships/hyperlink" Target="https://www.sec.gov/Archives/edgar/data/0001680581/000104746919004324/a2239321zex-3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2025-10-29T06:20:58Z</dcterms:created>
  <dcterms:modified xsi:type="dcterms:W3CDTF">2025-10-29T06:20:58Z</dcterms:modified>
</cp:coreProperties>
</file>