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60776d8k.htm"/>
      <w:bookmarkStart w:id="1" w:name="ksd60776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August 11, 2021</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Fulcrum Therapeutics,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605" w:type="dxa"/>
        <w:jc w:val="left"/>
        <w:tblInd w:w="0" w:type="dxa"/>
        <w:tblCellMar>
          <w:top w:w="0" w:type="dxa"/>
          <w:left w:w="0" w:type="dxa"/>
          <w:bottom w:w="0" w:type="dxa"/>
          <w:right w:w="0" w:type="dxa"/>
        </w:tblCellMar>
      </w:tblPr>
      <w:tblGrid>
        <w:gridCol w:w="2060"/>
        <w:gridCol w:w="60"/>
        <w:gridCol w:w="1055"/>
        <w:gridCol w:w="60"/>
        <w:gridCol w:w="1370"/>
      </w:tblGrid>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001-38978</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47-4839948</w:t>
            </w:r>
          </w:p>
        </w:tc>
      </w:tr>
      <w:tr>
        <w:trPr/>
        <w:tc>
          <w:tcPr>
            <w:tcW w:w="206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275" w:type="dxa"/>
        <w:jc w:val="left"/>
        <w:tblInd w:w="0" w:type="dxa"/>
        <w:tblCellMar>
          <w:top w:w="0" w:type="dxa"/>
          <w:left w:w="0" w:type="dxa"/>
          <w:bottom w:w="0" w:type="dxa"/>
          <w:right w:w="0" w:type="dxa"/>
        </w:tblCellMar>
      </w:tblPr>
      <w:tblGrid>
        <w:gridCol w:w="4070"/>
        <w:gridCol w:w="60"/>
        <w:gridCol w:w="1145"/>
      </w:tblGrid>
      <w:tr>
        <w:trPr/>
        <w:tc>
          <w:tcPr>
            <w:tcW w:w="4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26 Landsdowne Street</w:t>
            </w:r>
          </w:p>
          <w:p>
            <w:pPr>
              <w:pStyle w:val="TableContents"/>
              <w:spacing w:before="0" w:after="20"/>
              <w:jc w:val="center"/>
              <w:rPr>
                <w:rFonts w:ascii="Times New Roman" w:hAnsi="Times New Roman"/>
                <w:b/>
                <w:sz w:val="20"/>
              </w:rPr>
            </w:pPr>
            <w:r>
              <w:rPr>
                <w:rFonts w:ascii="Times New Roman" w:hAnsi="Times New Roman"/>
                <w:b/>
                <w:sz w:val="20"/>
              </w:rPr>
              <w:t>Cambridge, Massachusetts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02139</w:t>
            </w:r>
          </w:p>
        </w:tc>
      </w:tr>
      <w:tr>
        <w:trPr/>
        <w:tc>
          <w:tcPr>
            <w:tcW w:w="4070"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Registrant’s telephone number, including area code: (617) 651-8851</w:t>
      </w:r>
    </w:p>
    <w:p>
      <w:pPr>
        <w:pStyle w:val="TextBody"/>
        <w:spacing w:before="20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025" w:type="dxa"/>
        <w:jc w:val="left"/>
        <w:tblInd w:w="0" w:type="dxa"/>
        <w:tblCellMar>
          <w:top w:w="0" w:type="dxa"/>
          <w:left w:w="0" w:type="dxa"/>
          <w:bottom w:w="0" w:type="dxa"/>
          <w:right w:w="0" w:type="dxa"/>
        </w:tblCellMar>
      </w:tblPr>
      <w:tblGrid>
        <w:gridCol w:w="4370"/>
        <w:gridCol w:w="60"/>
        <w:gridCol w:w="695"/>
        <w:gridCol w:w="60"/>
        <w:gridCol w:w="2840"/>
      </w:tblGrid>
      <w:tr>
        <w:trPr/>
        <w:tc>
          <w:tcPr>
            <w:tcW w:w="4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40" w:type="dxa"/>
            <w:tcBorders/>
            <w:shd w:fill="auto" w:val="clear"/>
            <w:vAlign w:val="center"/>
          </w:tcPr>
          <w:p>
            <w:pPr>
              <w:pStyle w:val="TableContents"/>
              <w:spacing w:before="0" w:after="283"/>
              <w:rPr>
                <w:sz w:val="4"/>
                <w:szCs w:val="4"/>
              </w:rPr>
            </w:pPr>
            <w:r>
              <w:rPr>
                <w:sz w:val="4"/>
                <w:szCs w:val="4"/>
              </w:rPr>
            </w:r>
          </w:p>
        </w:tc>
      </w:tr>
      <w:tr>
        <w:trPr/>
        <w:tc>
          <w:tcPr>
            <w:tcW w:w="437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69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w:t>
            </w:r>
          </w:p>
        </w:tc>
        <w:tc>
          <w:tcPr>
            <w:tcW w:w="60" w:type="dxa"/>
            <w:tcBorders/>
            <w:shd w:fill="auto" w:val="clear"/>
            <w:vAlign w:val="center"/>
          </w:tcPr>
          <w:p>
            <w:pPr>
              <w:pStyle w:val="TableContents"/>
              <w:spacing w:before="0" w:after="283"/>
              <w:rPr/>
            </w:pPr>
            <w:r>
              <w:rPr/>
              <w:t> </w:t>
            </w:r>
          </w:p>
        </w:tc>
        <w:tc>
          <w:tcPr>
            <w:tcW w:w="28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370" w:type="dxa"/>
            <w:tcBorders/>
            <w:shd w:fill="auto" w:val="clear"/>
            <w:vAlign w:val="center"/>
          </w:tcPr>
          <w:p>
            <w:pPr>
              <w:pStyle w:val="TableContents"/>
              <w:spacing w:before="0" w:after="283"/>
              <w:jc w:val="center"/>
              <w:rPr>
                <w:b/>
              </w:rPr>
            </w:pPr>
            <w:r>
              <w:rPr>
                <w:b/>
              </w:rPr>
              <w:t>Common Stock $0.001 par value per share</w:t>
            </w:r>
          </w:p>
        </w:tc>
        <w:tc>
          <w:tcPr>
            <w:tcW w:w="60"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center"/>
              <w:rPr>
                <w:b/>
              </w:rPr>
            </w:pPr>
            <w:r>
              <w:rPr>
                <w:b/>
              </w:rPr>
              <w:t>FULC</w:t>
            </w:r>
          </w:p>
        </w:tc>
        <w:tc>
          <w:tcPr>
            <w:tcW w:w="60" w:type="dxa"/>
            <w:tcBorders/>
            <w:shd w:fill="auto" w:val="clear"/>
            <w:vAlign w:val="center"/>
          </w:tcPr>
          <w:p>
            <w:pPr>
              <w:pStyle w:val="TableContents"/>
              <w:spacing w:before="0" w:after="283"/>
              <w:rPr/>
            </w:pPr>
            <w:r>
              <w:rPr/>
              <w:t> </w:t>
            </w:r>
          </w:p>
        </w:tc>
        <w:tc>
          <w:tcPr>
            <w:tcW w:w="2840" w:type="dxa"/>
            <w:tcBorders/>
            <w:shd w:fill="auto" w:val="clear"/>
            <w:vAlign w:val="center"/>
          </w:tcPr>
          <w:p>
            <w:pPr>
              <w:pStyle w:val="TableContents"/>
              <w:spacing w:before="0" w:after="283"/>
              <w:jc w:val="center"/>
              <w:rPr>
                <w:b/>
              </w:rPr>
            </w:pPr>
            <w:r>
              <w:rPr>
                <w:b/>
              </w:rPr>
              <w:t>The Nasdaq Global Market</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00" w:after="0"/>
        <w:jc w:val="left"/>
        <w:rPr>
          <w:rFonts w:ascii="Times New Roman" w:hAnsi="Times New Roman"/>
          <w:sz w:val="20"/>
        </w:rPr>
      </w:pPr>
      <w:r>
        <w:rPr>
          <w:rFonts w:ascii="Times New Roman" w:hAnsi="Times New Roman"/>
          <w:sz w:val="20"/>
        </w:rPr>
        <w:t>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spacing w:before="120" w:after="0"/>
        <w:jc w:val="left"/>
        <w:rPr>
          <w:rFonts w:ascii="Times New Roman" w:hAnsi="Times New Roman"/>
          <w:sz w:val="20"/>
        </w:rPr>
      </w:pPr>
      <w:r>
        <w:rPr>
          <w:rFonts w:ascii="Times New Roman" w:hAnsi="Times New Roman"/>
          <w:sz w:val="20"/>
        </w:rPr>
        <w:t xml:space="preserve">On August 11, 2021, Fulcrum Therapeutics, Inc. (the “Company”) entered into an underwriting agreement (the “Underwriting Agreement”) with SVB Leerink LLC, Piper Sandler &amp; Co. and Stifel, Nicolaus &amp; Company, Incorporated, as representatives of the several underwriters (the “Underwriters”), relating to an underwritten public offering of 6,600,000 shares (the “Shares”) of the Company’s common stock, par value $0.001 per share (the “Common Stock”). All of the Shares are being sold by the Company. The price to the public is $19.00 per share, and the Underwriters have agreed to purchase the Shares from the Company pursuant to the Underwriting Agreement at a price of $17.86 per share. Under the terms of the Underwriting Agreement, the Company granted the Underwriters an option, exercisable for 30 days, to purchase up to an additional 990,000 shares of Common Stock (the “Additional Shares”) at the same price per share as the Shares. </w:t>
      </w:r>
    </w:p>
    <w:p>
      <w:pPr>
        <w:pStyle w:val="TextBody"/>
        <w:spacing w:before="240" w:after="0"/>
        <w:jc w:val="left"/>
        <w:rPr>
          <w:rFonts w:ascii="Times New Roman" w:hAnsi="Times New Roman"/>
          <w:sz w:val="20"/>
        </w:rPr>
      </w:pPr>
      <w:r>
        <w:rPr>
          <w:rFonts w:ascii="Times New Roman" w:hAnsi="Times New Roman"/>
          <w:sz w:val="20"/>
        </w:rPr>
        <w:t xml:space="preserve">The Company estimates that the net proceeds from the offering will be approximately $117.7 million, or approximately $135.4 million if the Underwriters exercise in full their option to purchase the Additional Shares, in each case after deducting underwriting discounts and commissions and estimated offering expenses. </w:t>
      </w:r>
    </w:p>
    <w:p>
      <w:pPr>
        <w:pStyle w:val="TextBody"/>
        <w:spacing w:before="240" w:after="0"/>
        <w:jc w:val="left"/>
        <w:rPr>
          <w:rFonts w:ascii="Times New Roman" w:hAnsi="Times New Roman"/>
          <w:sz w:val="20"/>
        </w:rPr>
      </w:pPr>
      <w:r>
        <w:rPr>
          <w:rFonts w:ascii="Times New Roman" w:hAnsi="Times New Roman"/>
          <w:sz w:val="20"/>
        </w:rPr>
        <w:t xml:space="preserve">The Shares will be issued pursuant to a shelf registration statement on Form S-3 that was filed with the Securities and Exchange Commission (the “SEC”) on August 11, 2020 and declared effective by the SEC on August 17, 2020 (File No. 333-244136) and a related registration statement that was filed with the SEC pursuant to Rule 462(b) on August 11, 2021 (File No. 333-258740), which was automatically effective upon filing. A prospectus supplement relating to the offering has been filed with the SEC. The closing of the offering is expected to take place on or about August 16, 2021, subject to the satisfaction of customary closing conditions. </w:t>
      </w:r>
    </w:p>
    <w:p>
      <w:pPr>
        <w:pStyle w:val="TextBody"/>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covenants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A copy of the Underwriting Agreement is attached as Exhibit 1.1 hereto and is incorporated herein by reference. The foregoing description of the material terms of the Underwriting Agreement does not purport to be complete and is qualified in its entirety by reference to such exhibit. </w:t>
      </w:r>
    </w:p>
    <w:p>
      <w:pPr>
        <w:pStyle w:val="TextBody"/>
        <w:spacing w:before="240" w:after="0"/>
        <w:jc w:val="left"/>
        <w:rPr>
          <w:rFonts w:ascii="Times New Roman" w:hAnsi="Times New Roman"/>
          <w:sz w:val="20"/>
        </w:rPr>
      </w:pPr>
      <w:r>
        <w:rPr>
          <w:rFonts w:ascii="Times New Roman" w:hAnsi="Times New Roman"/>
          <w:sz w:val="20"/>
        </w:rPr>
        <w:t xml:space="preserve">A copy of the legal opinion and consent of Wilmer Cutler Pickering Hale and Dorr LLP relating to the Shares and the Additional Shares is attached as Exhibit 5.1 hereto. </w:t>
      </w:r>
    </w:p>
    <w:p>
      <w:pPr>
        <w:pStyle w:val="TextBody"/>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spacing w:before="120" w:after="0"/>
        <w:jc w:val="left"/>
        <w:rPr>
          <w:rFonts w:ascii="Times New Roman" w:hAnsi="Times New Roman"/>
          <w:sz w:val="20"/>
        </w:rPr>
      </w:pPr>
      <w:r>
        <w:rPr>
          <w:rFonts w:ascii="Times New Roman" w:hAnsi="Times New Roman"/>
          <w:sz w:val="20"/>
        </w:rPr>
        <w:t xml:space="preserve">On August 11, 2021, the Company issued a press release announcing the pricing of the offering. A copy of the press release has been filed as Exhibit 99.1 to this Current Report on Form 8-K and is incorporated herein by reference. </w:t>
      </w:r>
    </w:p>
    <w:p>
      <w:pPr>
        <w:pStyle w:val="TextBody"/>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05"/>
        <w:gridCol w:w="120"/>
        <w:gridCol w:w="8880"/>
      </w:tblGrid>
      <w:tr>
        <w:trPr/>
        <w:tc>
          <w:tcPr>
            <w:tcW w:w="12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80" w:type="dxa"/>
            <w:tcBorders/>
            <w:shd w:fill="auto" w:val="clear"/>
            <w:vAlign w:val="center"/>
          </w:tcPr>
          <w:p>
            <w:pPr>
              <w:pStyle w:val="TableContents"/>
              <w:spacing w:before="0" w:after="283"/>
              <w:rPr>
                <w:sz w:val="4"/>
                <w:szCs w:val="4"/>
              </w:rPr>
            </w:pPr>
            <w:r>
              <w:rPr>
                <w:sz w:val="4"/>
                <w:szCs w:val="4"/>
              </w:rPr>
            </w:r>
          </w:p>
        </w:tc>
      </w:tr>
      <w:tr>
        <w:trPr/>
        <w:tc>
          <w:tcPr>
            <w:tcW w:w="1205" w:type="dxa"/>
            <w:tcBorders>
              <w:bottom w:val="single" w:sz="8" w:space="0" w:color="000000"/>
            </w:tcBorders>
            <w:shd w:fill="auto" w:val="clear"/>
            <w:tcMar>
              <w:bottom w:w="28" w:type="dxa"/>
            </w:tcMar>
            <w:vAlign w:val="center"/>
          </w:tcPr>
          <w:p>
            <w:pPr>
              <w:pStyle w:val="TableContents"/>
              <w:spacing w:before="0" w:after="283"/>
              <w:jc w:val="center"/>
              <w:rPr>
                <w:b/>
              </w:rPr>
            </w:pPr>
            <w:r>
              <w:rPr>
                <w:b/>
              </w:rPr>
              <w:t>Exhibit No.</w:t>
            </w:r>
          </w:p>
        </w:tc>
        <w:tc>
          <w:tcPr>
            <w:tcW w:w="120" w:type="dxa"/>
            <w:tcBorders/>
            <w:shd w:fill="auto" w:val="clear"/>
            <w:vAlign w:val="center"/>
          </w:tcPr>
          <w:p>
            <w:pPr>
              <w:pStyle w:val="TableContents"/>
              <w:spacing w:before="0" w:after="283"/>
              <w:rPr/>
            </w:pPr>
            <w:r>
              <w:rPr/>
              <w:t>  </w:t>
            </w:r>
          </w:p>
        </w:tc>
        <w:tc>
          <w:tcPr>
            <w:tcW w:w="888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c>
          <w:tcPr>
            <w:tcW w:w="1205" w:type="dxa"/>
            <w:tcBorders/>
            <w:shd w:fill="auto" w:val="clear"/>
            <w:vAlign w:val="center"/>
          </w:tcPr>
          <w:p>
            <w:pPr>
              <w:pStyle w:val="TableContents"/>
              <w:spacing w:before="0" w:after="283"/>
              <w:rPr>
                <w:sz w:val="4"/>
                <w:szCs w:val="4"/>
              </w:rPr>
            </w:pPr>
            <w:r>
              <w:rPr>
                <w:sz w:val="4"/>
                <w:szCs w:val="4"/>
              </w:rPr>
            </w:r>
          </w:p>
        </w:tc>
        <w:tc>
          <w:tcPr>
            <w:tcW w:w="9000" w:type="dxa"/>
            <w:gridSpan w:val="2"/>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before="0" w:after="283"/>
              <w:rPr/>
            </w:pPr>
            <w:r>
              <w:rPr/>
              <w:t>1.1</w:t>
            </w:r>
          </w:p>
        </w:tc>
        <w:tc>
          <w:tcPr>
            <w:tcW w:w="120" w:type="dxa"/>
            <w:tcBorders/>
            <w:shd w:fill="auto" w:val="clear"/>
            <w:vAlign w:val="center"/>
          </w:tcPr>
          <w:p>
            <w:pPr>
              <w:pStyle w:val="TableContents"/>
              <w:spacing w:before="0" w:after="283"/>
              <w:rPr/>
            </w:pPr>
            <w:r>
              <w:rPr/>
              <w:t>  </w:t>
            </w:r>
          </w:p>
        </w:tc>
        <w:tc>
          <w:tcPr>
            <w:tcW w:w="8880" w:type="dxa"/>
            <w:tcBorders/>
            <w:shd w:fill="auto" w:val="clear"/>
            <w:vAlign w:val="center"/>
          </w:tcPr>
          <w:p>
            <w:pPr>
              <w:pStyle w:val="TableContents"/>
              <w:spacing w:before="0" w:after="283"/>
              <w:rPr/>
            </w:pPr>
            <w:hyperlink w:anchor="d60776dex11.htm">
              <w:r>
                <w:rPr>
                  <w:rStyle w:val="InternetLink"/>
                </w:rPr>
                <w:t xml:space="preserve">Underwriting Agreement, dated August 11, 2021, by and among the Company and SVB Leerink LLC, Piper Sandler &amp; Co. and Stifel, Nicolaus &amp; Company, Incorporated </w:t>
              </w:r>
            </w:hyperlink>
          </w:p>
        </w:tc>
      </w:tr>
      <w:tr>
        <w:trPr/>
        <w:tc>
          <w:tcPr>
            <w:tcW w:w="1205" w:type="dxa"/>
            <w:tcBorders/>
            <w:shd w:fill="auto" w:val="clear"/>
            <w:vAlign w:val="center"/>
          </w:tcPr>
          <w:p>
            <w:pPr>
              <w:pStyle w:val="TableContents"/>
              <w:spacing w:before="0" w:after="283"/>
              <w:rPr>
                <w:sz w:val="4"/>
                <w:szCs w:val="4"/>
              </w:rPr>
            </w:pPr>
            <w:r>
              <w:rPr>
                <w:sz w:val="4"/>
                <w:szCs w:val="4"/>
              </w:rPr>
            </w:r>
          </w:p>
        </w:tc>
        <w:tc>
          <w:tcPr>
            <w:tcW w:w="9000" w:type="dxa"/>
            <w:gridSpan w:val="2"/>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before="0" w:after="283"/>
              <w:rPr/>
            </w:pPr>
            <w:r>
              <w:rPr/>
              <w:t>5.1</w:t>
            </w:r>
          </w:p>
        </w:tc>
        <w:tc>
          <w:tcPr>
            <w:tcW w:w="120" w:type="dxa"/>
            <w:tcBorders/>
            <w:shd w:fill="auto" w:val="clear"/>
            <w:vAlign w:val="center"/>
          </w:tcPr>
          <w:p>
            <w:pPr>
              <w:pStyle w:val="TableContents"/>
              <w:spacing w:before="0" w:after="283"/>
              <w:rPr/>
            </w:pPr>
            <w:r>
              <w:rPr/>
              <w:t>  </w:t>
            </w:r>
          </w:p>
        </w:tc>
        <w:tc>
          <w:tcPr>
            <w:tcW w:w="8880" w:type="dxa"/>
            <w:tcBorders/>
            <w:shd w:fill="auto" w:val="clear"/>
            <w:vAlign w:val="center"/>
          </w:tcPr>
          <w:p>
            <w:pPr>
              <w:pStyle w:val="TableContents"/>
              <w:spacing w:before="0" w:after="283"/>
              <w:rPr/>
            </w:pPr>
            <w:hyperlink w:anchor="d60776dex51.htm">
              <w:r>
                <w:rPr>
                  <w:rStyle w:val="InternetLink"/>
                </w:rPr>
                <w:t xml:space="preserve">Opinion of Wilmer Cutler Pickering Hale and Dorr LLP </w:t>
              </w:r>
            </w:hyperlink>
          </w:p>
        </w:tc>
      </w:tr>
      <w:tr>
        <w:trPr/>
        <w:tc>
          <w:tcPr>
            <w:tcW w:w="1205" w:type="dxa"/>
            <w:tcBorders/>
            <w:shd w:fill="auto" w:val="clear"/>
            <w:vAlign w:val="center"/>
          </w:tcPr>
          <w:p>
            <w:pPr>
              <w:pStyle w:val="TableContents"/>
              <w:spacing w:before="0" w:after="283"/>
              <w:rPr>
                <w:sz w:val="4"/>
                <w:szCs w:val="4"/>
              </w:rPr>
            </w:pPr>
            <w:r>
              <w:rPr>
                <w:sz w:val="4"/>
                <w:szCs w:val="4"/>
              </w:rPr>
            </w:r>
          </w:p>
        </w:tc>
        <w:tc>
          <w:tcPr>
            <w:tcW w:w="9000" w:type="dxa"/>
            <w:gridSpan w:val="2"/>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before="0" w:after="283"/>
              <w:rPr/>
            </w:pPr>
            <w:r>
              <w:rPr/>
              <w:t>23.1</w:t>
            </w:r>
          </w:p>
        </w:tc>
        <w:tc>
          <w:tcPr>
            <w:tcW w:w="120" w:type="dxa"/>
            <w:tcBorders/>
            <w:shd w:fill="auto" w:val="clear"/>
            <w:vAlign w:val="center"/>
          </w:tcPr>
          <w:p>
            <w:pPr>
              <w:pStyle w:val="TableContents"/>
              <w:spacing w:before="0" w:after="283"/>
              <w:rPr/>
            </w:pPr>
            <w:r>
              <w:rPr/>
              <w:t>  </w:t>
            </w:r>
          </w:p>
        </w:tc>
        <w:tc>
          <w:tcPr>
            <w:tcW w:w="8880" w:type="dxa"/>
            <w:tcBorders/>
            <w:shd w:fill="auto" w:val="clear"/>
            <w:vAlign w:val="center"/>
          </w:tcPr>
          <w:p>
            <w:pPr>
              <w:pStyle w:val="TableContents"/>
              <w:spacing w:before="0" w:after="283"/>
              <w:rPr/>
            </w:pPr>
            <w:hyperlink w:anchor="d60776dex51.htm">
              <w:r>
                <w:rPr>
                  <w:rStyle w:val="InternetLink"/>
                </w:rPr>
                <w:t xml:space="preserve">Consent of Wilmer Cutler Pickering Hale and Dorr LLP (contained in Exhibit 5.1 above) </w:t>
              </w:r>
            </w:hyperlink>
          </w:p>
        </w:tc>
      </w:tr>
      <w:tr>
        <w:trPr/>
        <w:tc>
          <w:tcPr>
            <w:tcW w:w="1205" w:type="dxa"/>
            <w:tcBorders/>
            <w:shd w:fill="auto" w:val="clear"/>
            <w:vAlign w:val="center"/>
          </w:tcPr>
          <w:p>
            <w:pPr>
              <w:pStyle w:val="TableContents"/>
              <w:spacing w:before="0" w:after="283"/>
              <w:rPr>
                <w:sz w:val="4"/>
                <w:szCs w:val="4"/>
              </w:rPr>
            </w:pPr>
            <w:r>
              <w:rPr>
                <w:sz w:val="4"/>
                <w:szCs w:val="4"/>
              </w:rPr>
            </w:r>
          </w:p>
        </w:tc>
        <w:tc>
          <w:tcPr>
            <w:tcW w:w="9000" w:type="dxa"/>
            <w:gridSpan w:val="2"/>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8880" w:type="dxa"/>
            <w:tcBorders/>
            <w:shd w:fill="auto" w:val="clear"/>
            <w:vAlign w:val="center"/>
          </w:tcPr>
          <w:p>
            <w:pPr>
              <w:pStyle w:val="TableContents"/>
              <w:spacing w:before="0" w:after="283"/>
              <w:rPr/>
            </w:pPr>
            <w:hyperlink w:anchor="d60776dex991.htm">
              <w:r>
                <w:rPr>
                  <w:rStyle w:val="InternetLink"/>
                </w:rPr>
                <w:t xml:space="preserve">Press Release, dated August 11, 2021 </w:t>
              </w:r>
            </w:hyperlink>
          </w:p>
        </w:tc>
      </w:tr>
      <w:tr>
        <w:trPr/>
        <w:tc>
          <w:tcPr>
            <w:tcW w:w="1205" w:type="dxa"/>
            <w:tcBorders/>
            <w:shd w:fill="auto" w:val="clear"/>
            <w:vAlign w:val="center"/>
          </w:tcPr>
          <w:p>
            <w:pPr>
              <w:pStyle w:val="TableContents"/>
              <w:spacing w:before="0" w:after="283"/>
              <w:rPr>
                <w:sz w:val="4"/>
                <w:szCs w:val="4"/>
              </w:rPr>
            </w:pPr>
            <w:r>
              <w:rPr>
                <w:sz w:val="4"/>
                <w:szCs w:val="4"/>
              </w:rPr>
            </w:r>
          </w:p>
        </w:tc>
        <w:tc>
          <w:tcPr>
            <w:tcW w:w="9000" w:type="dxa"/>
            <w:gridSpan w:val="2"/>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8880"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6353" w:type="dxa"/>
        <w:jc w:val="left"/>
        <w:tblInd w:w="0" w:type="dxa"/>
        <w:tblCellMar>
          <w:top w:w="0" w:type="dxa"/>
          <w:left w:w="0" w:type="dxa"/>
          <w:bottom w:w="0" w:type="dxa"/>
          <w:right w:w="0" w:type="dxa"/>
        </w:tblCellMar>
      </w:tblPr>
      <w:tblGrid>
        <w:gridCol w:w="2195"/>
        <w:gridCol w:w="60"/>
        <w:gridCol w:w="23"/>
        <w:gridCol w:w="60"/>
        <w:gridCol w:w="365"/>
        <w:gridCol w:w="60"/>
        <w:gridCol w:w="3590"/>
      </w:tblGrid>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90" w:type="dxa"/>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015" w:type="dxa"/>
            <w:gridSpan w:val="3"/>
            <w:tcBorders/>
            <w:shd w:fill="auto" w:val="clear"/>
            <w:vAlign w:val="center"/>
          </w:tcPr>
          <w:p>
            <w:pPr>
              <w:pStyle w:val="TableContents"/>
              <w:spacing w:before="0" w:after="283"/>
              <w:rPr/>
            </w:pPr>
            <w:r>
              <w:rPr/>
              <w:t>FULCRUM THERAPEUTICS, INC.</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3650" w:type="dxa"/>
            <w:gridSpan w:val="2"/>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spacing w:before="0" w:after="283"/>
              <w:rPr/>
            </w:pPr>
            <w:r>
              <w:rPr/>
              <w:t>Date: August 12, 2021</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359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Bryan E. Stuart</w:t>
            </w:r>
          </w:p>
        </w:tc>
      </w:tr>
      <w:tr>
        <w:trPr/>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Name: Bryan E. Stuart</w:t>
            </w:r>
          </w:p>
          <w:p>
            <w:pPr>
              <w:pStyle w:val="TableContents"/>
              <w:spacing w:before="0" w:after="20"/>
              <w:rPr>
                <w:rFonts w:ascii="Times New Roman" w:hAnsi="Times New Roman"/>
                <w:sz w:val="20"/>
              </w:rPr>
            </w:pPr>
            <w:r>
              <w:rPr>
                <w:rFonts w:ascii="Times New Roman" w:hAnsi="Times New Roman"/>
                <w:sz w:val="20"/>
              </w:rPr>
              <w:t>Title: President and Chief Executive Officer</w:t>
            </w:r>
          </w:p>
        </w:tc>
      </w:tr>
    </w:tbl>
    <w:p>
      <w:pPr>
        <w:pStyle w:val="TextBody"/>
        <w:spacing w:before="0" w:after="0"/>
        <w:jc w:val="right"/>
        <w:rPr>
          <w:rFonts w:ascii="Times New Roman" w:hAnsi="Times New Roman"/>
          <w:b/>
          <w:sz w:val="20"/>
        </w:rPr>
      </w:pPr>
      <w:r>
        <w:br w:type="page"/>
      </w:r>
      <w:bookmarkStart w:id="2" w:name="d60776dex11.htm"/>
      <w:bookmarkStart w:id="3" w:name="ksd60776dex11"/>
      <w:bookmarkEnd w:id="2"/>
      <w:bookmarkEnd w:id="3"/>
      <w:r>
        <w:rPr>
          <w:rFonts w:ascii="Times New Roman" w:hAnsi="Times New Roman"/>
          <w:b/>
          <w:sz w:val="20"/>
        </w:rPr>
        <w:t xml:space="preserve">Exhibit 1.1 </w:t>
      </w:r>
    </w:p>
    <w:p>
      <w:pPr>
        <w:pStyle w:val="TextBody"/>
        <w:spacing w:before="480" w:after="0"/>
        <w:jc w:val="center"/>
        <w:rPr>
          <w:rFonts w:ascii="Times New Roman" w:hAnsi="Times New Roman"/>
          <w:b/>
          <w:sz w:val="20"/>
        </w:rPr>
      </w:pPr>
      <w:r>
        <w:rPr>
          <w:rFonts w:ascii="Times New Roman" w:hAnsi="Times New Roman"/>
          <w:b/>
          <w:sz w:val="20"/>
        </w:rPr>
        <w:t xml:space="preserve">6,600,000 Shares </w:t>
      </w:r>
    </w:p>
    <w:p>
      <w:pPr>
        <w:pStyle w:val="TextBody"/>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spacing w:before="240" w:after="0"/>
        <w:jc w:val="center"/>
        <w:rPr>
          <w:rFonts w:ascii="Times New Roman" w:hAnsi="Times New Roman"/>
          <w:b/>
          <w:sz w:val="20"/>
        </w:rPr>
      </w:pPr>
      <w:r>
        <w:rPr>
          <w:rFonts w:ascii="Times New Roman" w:hAnsi="Times New Roman"/>
          <w:b/>
          <w:sz w:val="20"/>
        </w:rPr>
        <w:t xml:space="preserve">COMMON STOCK, PAR VALUE $0.001 PER SHARE </w:t>
      </w:r>
    </w:p>
    <w:p>
      <w:pPr>
        <w:pStyle w:val="TextBody"/>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spacing w:before="360" w:after="0"/>
        <w:jc w:val="left"/>
        <w:rPr>
          <w:rFonts w:ascii="Times New Roman" w:hAnsi="Times New Roman"/>
          <w:sz w:val="20"/>
        </w:rPr>
      </w:pPr>
      <w:r>
        <w:rPr>
          <w:rFonts w:ascii="Times New Roman" w:hAnsi="Times New Roman"/>
          <w:sz w:val="20"/>
        </w:rPr>
        <w:t xml:space="preserve">August 11, 2021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rPr>
      </w:pPr>
      <w:r>
        <w:rPr>
          <w:rFonts w:ascii="Times New Roman" w:hAnsi="Times New Roman"/>
          <w:sz w:val="20"/>
        </w:rPr>
        <w:t xml:space="preserve">August 11, 2021 </w:t>
      </w:r>
    </w:p>
    <w:p>
      <w:pPr>
        <w:pStyle w:val="TextBody"/>
        <w:spacing w:before="480" w:after="0"/>
        <w:jc w:val="left"/>
        <w:rPr>
          <w:rFonts w:ascii="Times New Roman" w:hAnsi="Times New Roman"/>
          <w:sz w:val="20"/>
        </w:rPr>
      </w:pPr>
      <w:r>
        <w:rPr>
          <w:rFonts w:ascii="Times New Roman" w:hAnsi="Times New Roman"/>
          <w:sz w:val="20"/>
        </w:rPr>
        <w:t xml:space="preserve">SVB Leerink LLC </w:t>
      </w:r>
    </w:p>
    <w:p>
      <w:pPr>
        <w:pStyle w:val="TextBody"/>
        <w:spacing w:before="0" w:after="0"/>
        <w:jc w:val="left"/>
        <w:rPr>
          <w:rFonts w:ascii="Times New Roman" w:hAnsi="Times New Roman"/>
          <w:sz w:val="20"/>
        </w:rPr>
      </w:pPr>
      <w:r>
        <w:rPr>
          <w:rFonts w:ascii="Times New Roman" w:hAnsi="Times New Roman"/>
          <w:sz w:val="20"/>
        </w:rPr>
        <w:t xml:space="preserve">Piper Sandler &amp; Co. </w:t>
      </w:r>
    </w:p>
    <w:p>
      <w:pPr>
        <w:pStyle w:val="TextBody"/>
        <w:spacing w:before="0" w:after="0"/>
        <w:jc w:val="left"/>
        <w:rPr>
          <w:rFonts w:ascii="Times New Roman" w:hAnsi="Times New Roman"/>
          <w:sz w:val="20"/>
        </w:rPr>
      </w:pPr>
      <w:r>
        <w:rPr>
          <w:rFonts w:ascii="Times New Roman" w:hAnsi="Times New Roman"/>
          <w:sz w:val="20"/>
        </w:rPr>
        <w:t xml:space="preserve">Stifel, Nicolaus &amp; Company, Incorporated </w:t>
      </w:r>
    </w:p>
    <w:p>
      <w:pPr>
        <w:pStyle w:val="TextBody"/>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spacing w:before="240" w:after="0"/>
        <w:jc w:val="left"/>
        <w:rPr>
          <w:rFonts w:ascii="Times New Roman" w:hAnsi="Times New Roman"/>
          <w:sz w:val="20"/>
        </w:rPr>
      </w:pPr>
      <w:r>
        <w:rPr>
          <w:rFonts w:ascii="Times New Roman" w:hAnsi="Times New Roman"/>
          <w:sz w:val="20"/>
        </w:rPr>
        <w:t xml:space="preserve">c/o SVB Leerink LLC </w:t>
      </w:r>
    </w:p>
    <w:p>
      <w:pPr>
        <w:pStyle w:val="TextBody"/>
        <w:spacing w:before="0" w:after="0"/>
        <w:jc w:val="left"/>
        <w:rPr/>
      </w:pPr>
      <w:r>
        <w:rPr/>
        <w:t>    </w:t>
      </w:r>
      <w:r>
        <w:rPr>
          <w:rFonts w:ascii="Times New Roman" w:hAnsi="Times New Roman"/>
          <w:sz w:val="20"/>
        </w:rPr>
        <w:t xml:space="preserve">53 State Street, 40th Floor </w:t>
      </w:r>
    </w:p>
    <w:p>
      <w:pPr>
        <w:pStyle w:val="TextBody"/>
        <w:spacing w:before="0" w:after="0"/>
        <w:jc w:val="left"/>
        <w:rPr/>
      </w:pPr>
      <w:r>
        <w:rPr/>
        <w:t>    </w:t>
      </w:r>
      <w:r>
        <w:rPr>
          <w:rFonts w:ascii="Times New Roman" w:hAnsi="Times New Roman"/>
          <w:sz w:val="20"/>
        </w:rPr>
        <w:t xml:space="preserve">Boston, Massachusetts 02109 </w:t>
      </w:r>
    </w:p>
    <w:p>
      <w:pPr>
        <w:pStyle w:val="TextBody"/>
        <w:spacing w:before="240" w:after="0"/>
        <w:jc w:val="left"/>
        <w:rPr>
          <w:rFonts w:ascii="Times New Roman" w:hAnsi="Times New Roman"/>
          <w:sz w:val="20"/>
        </w:rPr>
      </w:pPr>
      <w:r>
        <w:rPr>
          <w:rFonts w:ascii="Times New Roman" w:hAnsi="Times New Roman"/>
          <w:sz w:val="20"/>
        </w:rPr>
        <w:t xml:space="preserve">c/o Piper Sandler &amp; Co. </w:t>
      </w:r>
    </w:p>
    <w:p>
      <w:pPr>
        <w:pStyle w:val="TextBody"/>
        <w:spacing w:before="0" w:after="0"/>
        <w:jc w:val="left"/>
        <w:rPr/>
      </w:pPr>
      <w:r>
        <w:rPr/>
        <w:t>    </w:t>
      </w:r>
      <w:r>
        <w:rPr>
          <w:rFonts w:ascii="Times New Roman" w:hAnsi="Times New Roman"/>
          <w:sz w:val="20"/>
        </w:rPr>
        <w:t xml:space="preserve">1251 Avenue of the Americas, 7th Floor </w:t>
      </w:r>
    </w:p>
    <w:p>
      <w:pPr>
        <w:pStyle w:val="TextBody"/>
        <w:spacing w:before="0" w:after="0"/>
        <w:jc w:val="left"/>
        <w:rPr/>
      </w:pPr>
      <w:r>
        <w:rPr/>
        <w:t>    </w:t>
      </w:r>
      <w:r>
        <w:rPr>
          <w:rFonts w:ascii="Times New Roman" w:hAnsi="Times New Roman"/>
          <w:sz w:val="20"/>
        </w:rPr>
        <w:t xml:space="preserve">New York, New York 10020 </w:t>
      </w:r>
    </w:p>
    <w:p>
      <w:pPr>
        <w:pStyle w:val="TextBody"/>
        <w:spacing w:before="240" w:after="0"/>
        <w:jc w:val="left"/>
        <w:rPr>
          <w:rFonts w:ascii="Times New Roman" w:hAnsi="Times New Roman"/>
          <w:sz w:val="20"/>
        </w:rPr>
      </w:pPr>
      <w:r>
        <w:rPr>
          <w:rFonts w:ascii="Times New Roman" w:hAnsi="Times New Roman"/>
          <w:sz w:val="20"/>
        </w:rPr>
        <w:t xml:space="preserve">c/o Stifel, Nicolaus &amp; Company, Incorporated </w:t>
      </w:r>
    </w:p>
    <w:p>
      <w:pPr>
        <w:pStyle w:val="TextBody"/>
        <w:spacing w:before="0" w:after="0"/>
        <w:jc w:val="left"/>
        <w:rPr/>
      </w:pPr>
      <w:r>
        <w:rPr/>
        <w:t>    </w:t>
      </w:r>
      <w:r>
        <w:rPr>
          <w:rFonts w:ascii="Times New Roman" w:hAnsi="Times New Roman"/>
          <w:sz w:val="20"/>
        </w:rPr>
        <w:t xml:space="preserve">787 Seventh Avenue, 11th Floor </w:t>
      </w:r>
    </w:p>
    <w:p>
      <w:pPr>
        <w:pStyle w:val="TextBody"/>
        <w:spacing w:before="0" w:after="0"/>
        <w:jc w:val="left"/>
        <w:rPr/>
      </w:pPr>
      <w:r>
        <w:rPr/>
        <w:t>    </w:t>
      </w:r>
      <w:r>
        <w:rPr>
          <w:rFonts w:ascii="Times New Roman" w:hAnsi="Times New Roman"/>
          <w:sz w:val="20"/>
        </w:rPr>
        <w:t xml:space="preserve">New York, New York 10019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Fulcrum Therapeutics, Inc., a Delaware corporation (the </w:t>
      </w:r>
      <w:r>
        <w:rPr>
          <w:rFonts w:ascii="Times New Roman" w:hAnsi="Times New Roman"/>
          <w:b/>
          <w:sz w:val="20"/>
        </w:rPr>
        <w:t>Company</w:t>
      </w:r>
      <w:r>
        <w:rPr>
          <w:rFonts w:ascii="Times New Roman" w:hAnsi="Times New Roman"/>
          <w:sz w:val="20"/>
        </w:rPr>
        <w:t>), proposes to issue and sell to the several Underwriters named in Schedule I hereto (the </w:t>
      </w:r>
      <w:r>
        <w:rPr>
          <w:rFonts w:ascii="Times New Roman" w:hAnsi="Times New Roman"/>
          <w:b/>
          <w:sz w:val="20"/>
        </w:rPr>
        <w:t>Underwriters</w:t>
      </w:r>
      <w:r>
        <w:rPr>
          <w:rFonts w:ascii="Times New Roman" w:hAnsi="Times New Roman"/>
          <w:sz w:val="20"/>
        </w:rPr>
        <w:t>), for whom SVB Leerink LLC, Piper Sandler &amp; Co. and Stifel, Nicolaus &amp; Company, Incorporated are acting as representatives (the </w:t>
      </w:r>
      <w:r>
        <w:rPr>
          <w:rFonts w:ascii="Times New Roman" w:hAnsi="Times New Roman"/>
          <w:b/>
          <w:sz w:val="20"/>
        </w:rPr>
        <w:t>Representatives</w:t>
      </w:r>
      <w:r>
        <w:rPr>
          <w:rFonts w:ascii="Times New Roman" w:hAnsi="Times New Roman"/>
          <w:sz w:val="20"/>
        </w:rPr>
        <w:t>), 6,600,000 shares of its common stock, par value $0.001 per share (the </w:t>
      </w:r>
      <w:r>
        <w:rPr>
          <w:rFonts w:ascii="Times New Roman" w:hAnsi="Times New Roman"/>
          <w:b/>
          <w:sz w:val="20"/>
        </w:rPr>
        <w:t>Firm Shares</w:t>
      </w:r>
      <w:r>
        <w:rPr>
          <w:rFonts w:ascii="Times New Roman" w:hAnsi="Times New Roman"/>
          <w:sz w:val="20"/>
        </w:rPr>
        <w:t>). The Company also proposes to issue and sell to the several Underwriters not more than an additional 990,000 shares of its common stock, par value $0.001 per share (the </w:t>
      </w:r>
      <w:r>
        <w:rPr>
          <w:rFonts w:ascii="Times New Roman" w:hAnsi="Times New Roman"/>
          <w:b/>
          <w:sz w:val="20"/>
        </w:rPr>
        <w:t>Additional Shares</w:t>
      </w:r>
      <w:r>
        <w:rPr>
          <w:rFonts w:ascii="Times New Roman" w:hAnsi="Times New Roman"/>
          <w:sz w:val="20"/>
        </w:rPr>
        <w:t>), if and to the extent that the Representatives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Times New Roman" w:hAnsi="Times New Roman"/>
          <w:b/>
          <w:sz w:val="20"/>
        </w:rPr>
        <w:t>Shares</w:t>
      </w:r>
      <w:r>
        <w:rPr>
          <w:rFonts w:ascii="Times New Roman" w:hAnsi="Times New Roman"/>
          <w:sz w:val="20"/>
        </w:rPr>
        <w:t>. The shares of common stock, par value $0.001 per share, of the Company to be outstanding after giving effect to the sales contemplated hereby are hereinafter referred to as the </w:t>
      </w:r>
      <w:r>
        <w:rPr>
          <w:rFonts w:ascii="Times New Roman" w:hAnsi="Times New Roman"/>
          <w:b/>
          <w:sz w:val="20"/>
        </w:rPr>
        <w:t>Common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 registration statement on Form S-3 (File No. 333-244136), including a prospectus, relating to certain securities of the Company (the </w:t>
      </w:r>
      <w:r>
        <w:rPr>
          <w:rFonts w:ascii="Times New Roman" w:hAnsi="Times New Roman"/>
          <w:b/>
          <w:sz w:val="20"/>
        </w:rPr>
        <w:t>Shelf Securities</w:t>
      </w:r>
      <w:r>
        <w:rPr>
          <w:rFonts w:ascii="Times New Roman" w:hAnsi="Times New Roman"/>
          <w:sz w:val="20"/>
        </w:rPr>
        <w:t>), including the Shares, to be issued from time to time by the Company. The registration statement as amended at the date of this Underwriting Agreement (the </w:t>
      </w:r>
      <w:r>
        <w:rPr>
          <w:rFonts w:ascii="Times New Roman" w:hAnsi="Times New Roman"/>
          <w:b/>
          <w:sz w:val="20"/>
        </w:rPr>
        <w:t>Agreement</w:t>
      </w:r>
      <w:r>
        <w:rPr>
          <w:rFonts w:ascii="Times New Roman" w:hAnsi="Times New Roman"/>
          <w:sz w:val="20"/>
        </w:rPr>
        <w:t>), including the information (if any) deemed to be part of the registration statement at the time of effectiveness pursuant to Rule 430A or Rule 430B under the Securities Act of 1933, as amended (the </w:t>
      </w:r>
      <w:r>
        <w:rPr>
          <w:rFonts w:ascii="Times New Roman" w:hAnsi="Times New Roman"/>
          <w:b/>
          <w:sz w:val="20"/>
        </w:rPr>
        <w:t>Securities Act</w:t>
      </w:r>
      <w:r>
        <w:rPr>
          <w:rFonts w:ascii="Times New Roman" w:hAnsi="Times New Roman"/>
          <w:sz w:val="20"/>
        </w:rPr>
        <w:t>), is hereinafter referred to as the </w:t>
      </w:r>
      <w:r>
        <w:rPr>
          <w:rFonts w:ascii="Times New Roman" w:hAnsi="Times New Roman"/>
          <w:b/>
          <w:sz w:val="20"/>
        </w:rPr>
        <w:t>Registration Statement</w:t>
      </w:r>
      <w:r>
        <w:rPr>
          <w:rFonts w:ascii="Times New Roman" w:hAnsi="Times New Roman"/>
          <w:sz w:val="20"/>
        </w:rPr>
        <w:t>, and the related prospectus covering the Shelf Securities is hereinafter referred to as the </w:t>
      </w:r>
      <w:r>
        <w:rPr>
          <w:rFonts w:ascii="Times New Roman" w:hAnsi="Times New Roman"/>
          <w:b/>
          <w:sz w:val="20"/>
        </w:rPr>
        <w:t>Base Prospectus</w:t>
      </w:r>
      <w:r>
        <w:rPr>
          <w:rFonts w:ascii="Times New Roman" w:hAnsi="Times New Roman"/>
          <w:sz w:val="20"/>
        </w:rPr>
        <w:t>. If the Company has filed an abbreviated registration statement to register additional shares of Common Stock pursuant to Rule 462(b) under the Securities Act (a </w:t>
      </w:r>
      <w:r>
        <w:rPr>
          <w:rFonts w:ascii="Times New Roman" w:hAnsi="Times New Roman"/>
          <w:b/>
          <w:sz w:val="20"/>
        </w:rPr>
        <w:t>Rule</w:t>
      </w:r>
      <w:r>
        <w:rPr>
          <w:rFonts w:ascii="Times New Roman" w:hAnsi="Times New Roman"/>
          <w:sz w:val="20"/>
        </w:rPr>
        <w:t> </w:t>
      </w:r>
      <w:r>
        <w:rPr>
          <w:rFonts w:ascii="Times New Roman" w:hAnsi="Times New Roman"/>
          <w:b/>
          <w:sz w:val="20"/>
        </w:rPr>
        <w:t>462</w:t>
      </w:r>
      <w:r>
        <w:rPr>
          <w:rFonts w:ascii="Times New Roman" w:hAnsi="Times New Roman"/>
          <w:sz w:val="20"/>
        </w:rPr>
        <w:t> </w:t>
      </w:r>
      <w:r>
        <w:rPr>
          <w:rFonts w:ascii="Times New Roman" w:hAnsi="Times New Roman"/>
          <w:b/>
          <w:sz w:val="20"/>
        </w:rPr>
        <w:t>Registration Statement</w:t>
      </w:r>
      <w:r>
        <w:rPr>
          <w:rFonts w:ascii="Times New Roman" w:hAnsi="Times New Roman"/>
          <w:sz w:val="20"/>
        </w:rPr>
        <w:t>), then any reference herein to the term Registration Statement shall be deemed to include such Rule 462 Registration Statement. The Base Prospectus, as amended and supplemented by the prospectus supplement specifically related to the Shares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 w:hAnsi="Times New Roman"/>
          <w:b/>
          <w:sz w:val="20"/>
        </w:rPr>
        <w:t>Prospectus</w:t>
      </w:r>
      <w:r>
        <w:rPr>
          <w:rFonts w:ascii="Times New Roman" w:hAnsi="Times New Roman"/>
          <w:sz w:val="20"/>
        </w:rPr>
        <w:t>, and the term </w:t>
      </w:r>
      <w:r>
        <w:rPr>
          <w:rFonts w:ascii="Times New Roman" w:hAnsi="Times New Roman"/>
          <w:b/>
          <w:sz w:val="20"/>
        </w:rPr>
        <w:t>preliminary prospectus</w:t>
      </w:r>
      <w:r>
        <w:rPr>
          <w:rFonts w:ascii="Times New Roman" w:hAnsi="Times New Roman"/>
          <w:sz w:val="20"/>
        </w:rPr>
        <w:t xml:space="preserve"> means any preliminary form of the Prospectus. </w:t>
      </w:r>
    </w:p>
    <w:p>
      <w:pPr>
        <w:pStyle w:val="TextBody"/>
        <w:spacing w:before="0" w:after="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For purposes of this Agreement, </w:t>
      </w:r>
      <w:r>
        <w:rPr>
          <w:rFonts w:ascii="Times New Roman" w:hAnsi="Times New Roman"/>
          <w:b/>
          <w:sz w:val="20"/>
        </w:rPr>
        <w:t>free writing prospectus</w:t>
      </w:r>
      <w:r>
        <w:rPr>
          <w:rFonts w:ascii="Times New Roman" w:hAnsi="Times New Roman"/>
          <w:sz w:val="20"/>
        </w:rPr>
        <w:t> has the meaning set forth in Rule 405 under the Securities Act, </w:t>
      </w:r>
      <w:r>
        <w:rPr>
          <w:rFonts w:ascii="Times New Roman" w:hAnsi="Times New Roman"/>
          <w:b/>
          <w:sz w:val="20"/>
        </w:rPr>
        <w:t>Time of Sale Prospectus</w:t>
      </w:r>
      <w:r>
        <w:rPr>
          <w:rFonts w:ascii="Times New Roman" w:hAnsi="Times New Roman"/>
          <w:sz w:val="20"/>
        </w:rPr>
        <w:t> means the documents and pricing information each as set forth in Schedule II hereto, and </w:t>
      </w:r>
      <w:r>
        <w:rPr>
          <w:rFonts w:ascii="Times New Roman" w:hAnsi="Times New Roman"/>
          <w:b/>
          <w:sz w:val="20"/>
        </w:rPr>
        <w:t>broadly available road show</w:t>
      </w:r>
      <w:r>
        <w:rPr>
          <w:rFonts w:ascii="Times New Roman" w:hAnsi="Times New Roman"/>
          <w:sz w:val="20"/>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w:t>
      </w:r>
      <w:r>
        <w:rPr>
          <w:rFonts w:ascii="Times New Roman" w:hAnsi="Times New Roman"/>
          <w:b/>
          <w:sz w:val="20"/>
        </w:rPr>
        <w:t>supplement</w:t>
      </w:r>
      <w:r>
        <w:rPr>
          <w:rFonts w:ascii="Times New Roman" w:hAnsi="Times New Roman"/>
          <w:sz w:val="20"/>
        </w:rPr>
        <w:t>, </w:t>
      </w:r>
      <w:r>
        <w:rPr>
          <w:rFonts w:ascii="Times New Roman" w:hAnsi="Times New Roman"/>
          <w:b/>
          <w:sz w:val="20"/>
        </w:rPr>
        <w:t>amendment</w:t>
      </w:r>
      <w:r>
        <w:rPr>
          <w:rFonts w:ascii="Times New Roman" w:hAnsi="Times New Roman"/>
          <w:sz w:val="20"/>
        </w:rPr>
        <w:t> and </w:t>
      </w:r>
      <w:r>
        <w:rPr>
          <w:rFonts w:ascii="Times New Roman" w:hAnsi="Times New Roman"/>
          <w:b/>
          <w:sz w:val="20"/>
        </w:rPr>
        <w:t>amend</w:t>
      </w:r>
      <w:r>
        <w:rPr>
          <w:rFonts w:ascii="Times New Roman" w:hAnsi="Times New Roman"/>
          <w:sz w:val="20"/>
        </w:rPr>
        <w:t> as used herein with respect to the Registration Statement, the Prospectus or the Time of Sale Prospectus shall include all documents subsequently filed by the Company with the Commission pursuant to the Securities Exchange Act of 1934, as amended (the </w:t>
      </w:r>
      <w:r>
        <w:rPr>
          <w:rFonts w:ascii="Times New Roman" w:hAnsi="Times New Roman"/>
          <w:b/>
          <w:sz w:val="20"/>
        </w:rPr>
        <w:t>Exchange Act</w:t>
      </w:r>
      <w:r>
        <w:rPr>
          <w:rFonts w:ascii="Times New Roman" w:hAnsi="Times New Roman"/>
          <w:sz w:val="20"/>
        </w:rPr>
        <w:t xml:space="preserve">), that are deemed to be incorporated by reference therein. </w:t>
      </w:r>
    </w:p>
    <w:p>
      <w:pPr>
        <w:pStyle w:val="TextBody"/>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w:t>
      </w:r>
      <w:r>
        <w:rPr>
          <w:rFonts w:ascii="Times New Roman" w:hAnsi="Times New Roman"/>
          <w:sz w:val="20"/>
        </w:rPr>
        <w:t xml:space="preserve">. The Company represents and warrants to and agrees with each of the Underwriters that: </w:t>
      </w:r>
    </w:p>
    <w:p>
      <w:pPr>
        <w:pStyle w:val="TextBody"/>
        <w:spacing w:before="120" w:after="0"/>
        <w:jc w:val="left"/>
        <w:rPr>
          <w:rFonts w:ascii="Times New Roman" w:hAnsi="Times New Roman"/>
          <w:sz w:val="20"/>
        </w:rPr>
      </w:pPr>
      <w:r>
        <w:rPr>
          <w:rFonts w:ascii="Times New Roman" w:hAnsi="Times New Roman"/>
          <w:sz w:val="20"/>
        </w:rPr>
        <w:t xml:space="preserve">(a) The Registration Statement has become effective; the Company meets the requirements for use of Form S-3 under the Securities Act; no stop order suspending the effectiveness of the Registration Statement is in effect, and no proceedings for such purpose or pursuant to Section 8A under the Securities Act are pending before or, to the Companys knowledge, threatened by the Commission. </w:t>
      </w:r>
    </w:p>
    <w:p>
      <w:pPr>
        <w:pStyle w:val="TextBody"/>
        <w:spacing w:before="120" w:after="0"/>
        <w:jc w:val="left"/>
        <w:rPr>
          <w:rFonts w:ascii="Times New Roman" w:hAnsi="Times New Roman"/>
          <w:sz w:val="20"/>
        </w:rPr>
      </w:pPr>
      <w:r>
        <w:rPr>
          <w:rFonts w:ascii="Times New Roman" w:hAnsi="Times New Roman"/>
          <w:sz w:val="20"/>
        </w:rPr>
        <w:t xml:space="preserve">(b)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as of the date of such amendment or supplement, will comply in all material respects with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of such amendment or supplement, and as of the Closing Date, does not contain and, as amended or supplemented, if applicable, as of the date of such amendment or supplement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 it being understood and agreed upon that the only such information furnished by any Underwriter consists of the following information in the Prospectus furnished on behalf of each Underwriter: the first paragraph under the heading UnderwritingDiscounts and Commissions, the information in the second, third, and fourth paragraphs under the heading UnderwritingPrice Stabilization, Short Positions and Penalty Bids and the information under the heading UnderwritingElectronic Distribution. </w:t>
      </w:r>
    </w:p>
    <w:p>
      <w:pPr>
        <w:pStyle w:val="TextBody"/>
        <w:spacing w:before="120" w:after="0"/>
        <w:jc w:val="left"/>
        <w:rPr>
          <w:rFonts w:ascii="Times New Roman" w:hAnsi="Times New Roman"/>
          <w:sz w:val="20"/>
        </w:rPr>
      </w:pPr>
      <w:r>
        <w:rPr>
          <w:rFonts w:ascii="Times New Roman" w:hAnsi="Times New Roman"/>
          <w:sz w:val="20"/>
        </w:rPr>
        <w:t xml:space="preserve">(c)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prior consent of each of the Representatives, prepare, use or refer to, any free writing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The Company has been duly incorporated, is validly existing as a corporation in good standing under the laws of the State of Delaware,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Subsidiary (as defined in Section 1(e)), taken as a whole. </w:t>
      </w:r>
    </w:p>
    <w:p>
      <w:pPr>
        <w:pStyle w:val="TextBody"/>
        <w:spacing w:before="120" w:after="0"/>
        <w:jc w:val="left"/>
        <w:rPr>
          <w:rFonts w:ascii="Times New Roman" w:hAnsi="Times New Roman"/>
          <w:sz w:val="20"/>
        </w:rPr>
      </w:pPr>
      <w:r>
        <w:rPr>
          <w:rFonts w:ascii="Times New Roman" w:hAnsi="Times New Roman"/>
          <w:sz w:val="20"/>
        </w:rPr>
        <w:t>(e) Fulcrum Therapeutics Securities Corp. (the </w:t>
      </w:r>
      <w:r>
        <w:rPr>
          <w:rFonts w:ascii="Times New Roman" w:hAnsi="Times New Roman"/>
          <w:b/>
          <w:sz w:val="20"/>
        </w:rPr>
        <w:t>Subsidiary</w:t>
      </w:r>
      <w:r>
        <w:rPr>
          <w:rFonts w:ascii="Times New Roman" w:hAnsi="Times New Roman"/>
          <w:sz w:val="20"/>
        </w:rPr>
        <w:t xml:space="preserve">) is the only subsidiary of the Company. The Subsidiary has been duly incorporated, is validly existing as a corporation in good standing under the laws of the Commonwealth of Massachusetts,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have a material adverse effect on the Company and its Subsidiary, taken as a whole; all of the issued shares of capital stock of the Subsidiary have been duly and validly authorized and issued, are fully paid and non-assessable and are owned directly by the Company, free and clear of all liens, encumbrances, equities or claims. </w:t>
      </w:r>
    </w:p>
    <w:p>
      <w:pPr>
        <w:pStyle w:val="TextBody"/>
        <w:spacing w:before="120" w:after="0"/>
        <w:jc w:val="left"/>
        <w:rPr>
          <w:rFonts w:ascii="Times New Roman" w:hAnsi="Times New Roman"/>
          <w:sz w:val="20"/>
        </w:rPr>
      </w:pPr>
      <w:r>
        <w:rPr>
          <w:rFonts w:ascii="Times New Roman" w:hAnsi="Times New Roman"/>
          <w:sz w:val="20"/>
        </w:rPr>
        <w:t xml:space="preserve">(f) This Agreement has been duly authorized, executed and delivered by the Company. </w:t>
      </w:r>
    </w:p>
    <w:p>
      <w:pPr>
        <w:pStyle w:val="TextBody"/>
        <w:spacing w:before="120" w:after="0"/>
        <w:jc w:val="left"/>
        <w:rPr>
          <w:rFonts w:ascii="Times New Roman" w:hAnsi="Times New Roman"/>
          <w:sz w:val="20"/>
        </w:rPr>
      </w:pPr>
      <w:r>
        <w:rPr>
          <w:rFonts w:ascii="Times New Roman" w:hAnsi="Times New Roman"/>
          <w:sz w:val="20"/>
        </w:rPr>
        <w:t xml:space="preserve">(g) The authorized capital stock of the Company conforms in all material respects as to legal matters to the description thereof contained under the headings Capitalization and Description of Capital Stock in the Time of Sale Prospectus and the Prospectus. </w:t>
      </w:r>
    </w:p>
    <w:p>
      <w:pPr>
        <w:pStyle w:val="TextBody"/>
        <w:spacing w:before="120" w:after="0"/>
        <w:jc w:val="left"/>
        <w:rPr>
          <w:rFonts w:ascii="Times New Roman" w:hAnsi="Times New Roman"/>
          <w:sz w:val="20"/>
        </w:rPr>
      </w:pPr>
      <w:r>
        <w:rPr>
          <w:rFonts w:ascii="Times New Roman" w:hAnsi="Times New Roman"/>
          <w:sz w:val="20"/>
        </w:rPr>
        <w:t xml:space="preserve">(h) The shares of Common Stock outstanding prior to the issuance of the Shares have been duly authorized and are validly issued, fully paid and non-assessable. </w:t>
      </w:r>
    </w:p>
    <w:p>
      <w:pPr>
        <w:pStyle w:val="TextBody"/>
        <w:spacing w:before="120" w:after="0"/>
        <w:jc w:val="left"/>
        <w:rPr>
          <w:rFonts w:ascii="Times New Roman" w:hAnsi="Times New Roman"/>
          <w:sz w:val="20"/>
        </w:rPr>
      </w:pPr>
      <w:r>
        <w:rPr>
          <w:rFonts w:ascii="Times New Roman" w:hAnsi="Times New Roman"/>
          <w:sz w:val="20"/>
        </w:rPr>
        <w:t xml:space="preserve">(i) The Shares have been duly authorized and, when issued and delivered in accordance with the terms of this Agreement, will be validly issued, fully paid and non-assessable, and the issuance of such Shares will not be subject to any preemptive or similar rights that have not been validly waived. </w:t>
      </w:r>
    </w:p>
    <w:p>
      <w:pPr>
        <w:pStyle w:val="TextBody"/>
        <w:spacing w:before="120" w:after="0"/>
        <w:jc w:val="left"/>
        <w:rPr>
          <w:rFonts w:ascii="Times New Roman" w:hAnsi="Times New Roman"/>
          <w:sz w:val="20"/>
        </w:rPr>
      </w:pPr>
      <w:r>
        <w:rPr>
          <w:rFonts w:ascii="Times New Roman" w:hAnsi="Times New Roman"/>
          <w:sz w:val="20"/>
        </w:rPr>
        <w:t xml:space="preserve">(j) Neither the execution and delivery by the Company of, and the performance by the Company of its obligations under, this Agreement, nor the issuance and sale of the Shares, will (i) contravene any provision of applicable law, (ii) contravene any provision of the certificate of incorporation or by-laws of the Company, (iii) conflict with or result in a breach or violation of any of the terms or provisions of, or constitute a default under, any agreement or other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instrument binding upon the Company or its Subsidiary that is material to the Company and its Subsidiary, taken as a whole, or (iv) result in any violation of any judgment, order or decree of any governmental body, agency or court having jurisdiction over the Company or its Subsidiary, except, in the case of clause (i) and (iii), as would not, individually or in the aggregate, reasonably be expected to have a material adverse effect on the Company and its Subsidiary, taken as a whole, or on the power and ability of the Company to perform its obligations under this Agreement. No consent, approval, authorization or order of, or qualification with, any governmental body or agency is required for the performance by the Company of its obligations under this Agreement, except such as have already been obtained or made or as may be required by the securities or Blue Sky laws of the various states or the rules and regulations of the Financial Industry Regulatory Authority (</w:t>
      </w:r>
      <w:r>
        <w:rPr>
          <w:rFonts w:ascii="Times New Roman" w:hAnsi="Times New Roman"/>
          <w:b/>
          <w:sz w:val="20"/>
        </w:rPr>
        <w:t>FINRA</w:t>
      </w:r>
      <w:r>
        <w:rPr>
          <w:rFonts w:ascii="Times New Roman" w:hAnsi="Times New Roman"/>
          <w:sz w:val="20"/>
        </w:rPr>
        <w:t xml:space="preserve">) or the or the Nasdaq Global Market in connection with the offer and sale of the Shares. </w:t>
      </w:r>
    </w:p>
    <w:p>
      <w:pPr>
        <w:pStyle w:val="TextBody"/>
        <w:spacing w:before="120" w:after="0"/>
        <w:jc w:val="left"/>
        <w:rPr>
          <w:rFonts w:ascii="Times New Roman" w:hAnsi="Times New Roman"/>
          <w:sz w:val="20"/>
        </w:rPr>
      </w:pPr>
      <w:r>
        <w:rPr>
          <w:rFonts w:ascii="Times New Roman" w:hAnsi="Times New Roman"/>
          <w:sz w:val="20"/>
        </w:rPr>
        <w:t xml:space="preserve">(k) There has not occurred any material adverse change, or any development that would reasonably be expected to result in a prospective material adverse change, in the condition, financial or otherwise, or in the earnings, business or operations of the Company and its Subsidiary, taken as a whole, from that set forth in the Time of Sale Prospectus. </w:t>
      </w:r>
    </w:p>
    <w:p>
      <w:pPr>
        <w:pStyle w:val="TextBody"/>
        <w:spacing w:before="120" w:after="0"/>
        <w:jc w:val="left"/>
        <w:rPr>
          <w:rFonts w:ascii="Times New Roman" w:hAnsi="Times New Roman"/>
          <w:sz w:val="20"/>
        </w:rPr>
      </w:pPr>
      <w:r>
        <w:rPr>
          <w:rFonts w:ascii="Times New Roman" w:hAnsi="Times New Roman"/>
          <w:sz w:val="20"/>
        </w:rPr>
        <w:t xml:space="preserve">(l) There are no legal or governmental proceedings pending or, to Companys knowledge, threatened to which the Company or its Subsidiary is a party or to which any of the properties of the Company or its Subsidiary is subject (i) other than proceedings described in the Time of Sale Prospectus and proceedings that, singly or in the aggregate, would not have a material adverse effect on the Company and its Subsidiary,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 </w:t>
      </w:r>
    </w:p>
    <w:p>
      <w:pPr>
        <w:pStyle w:val="TextBody"/>
        <w:spacing w:before="120" w:after="0"/>
        <w:jc w:val="left"/>
        <w:rPr>
          <w:rFonts w:ascii="Times New Roman" w:hAnsi="Times New Roman"/>
          <w:sz w:val="20"/>
        </w:rPr>
      </w:pPr>
      <w:r>
        <w:rPr>
          <w:rFonts w:ascii="Times New Roman" w:hAnsi="Times New Roman"/>
          <w:sz w:val="20"/>
        </w:rPr>
        <w:t xml:space="preserve">(m) Each preliminary prospectus complied, when so filed, in all material respects with the Securities Act and the applicable rules and regulations of the Commission thereunder. </w:t>
      </w:r>
    </w:p>
    <w:p>
      <w:pPr>
        <w:pStyle w:val="TextBody"/>
        <w:spacing w:before="120" w:after="0"/>
        <w:jc w:val="left"/>
        <w:rPr>
          <w:rFonts w:ascii="Times New Roman" w:hAnsi="Times New Roman"/>
          <w:sz w:val="20"/>
        </w:rPr>
      </w:pPr>
      <w:r>
        <w:rPr>
          <w:rFonts w:ascii="Times New Roman" w:hAnsi="Times New Roman"/>
          <w:sz w:val="20"/>
        </w:rPr>
        <w:t xml:space="preserve">(n) 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(o) The Company and its Subsidiary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Subsidiary, taken as a whole. </w:t>
      </w:r>
    </w:p>
    <w:p>
      <w:pPr>
        <w:pStyle w:val="TextBody"/>
        <w:spacing w:before="120" w:after="0"/>
        <w:jc w:val="left"/>
        <w:rPr>
          <w:rFonts w:ascii="Times New Roman" w:hAnsi="Times New Roman"/>
          <w:sz w:val="20"/>
        </w:rPr>
      </w:pPr>
      <w:r>
        <w:rPr>
          <w:rFonts w:ascii="Times New Roman" w:hAnsi="Times New Roman"/>
          <w:sz w:val="20"/>
        </w:rPr>
        <w:t xml:space="preserve">(p)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have a material adverse effect on the Company and its Subsidiary, taken as a whole. </w:t>
      </w:r>
    </w:p>
    <w:p>
      <w:pPr>
        <w:pStyle w:val="TextBody"/>
        <w:spacing w:before="120" w:after="0"/>
        <w:jc w:val="left"/>
        <w:rPr>
          <w:rFonts w:ascii="Times New Roman" w:hAnsi="Times New Roman"/>
          <w:sz w:val="20"/>
        </w:rPr>
      </w:pPr>
      <w:r>
        <w:rPr>
          <w:rFonts w:ascii="Times New Roman" w:hAnsi="Times New Roman"/>
          <w:sz w:val="20"/>
        </w:rPr>
        <w:t xml:space="preserve">(q) Except as described in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all such rights have been validly waived or complied with in connection with the issuance and sales of the Shares contemplated hereby. </w:t>
      </w:r>
    </w:p>
    <w:p>
      <w:pPr>
        <w:pStyle w:val="TextBody"/>
        <w:spacing w:before="120" w:after="0"/>
        <w:jc w:val="left"/>
        <w:rPr>
          <w:rFonts w:ascii="Times New Roman" w:hAnsi="Times New Roman"/>
          <w:sz w:val="20"/>
        </w:rPr>
      </w:pPr>
      <w:r>
        <w:rPr>
          <w:rFonts w:ascii="Times New Roman" w:hAnsi="Times New Roman"/>
          <w:sz w:val="20"/>
        </w:rPr>
        <w:t>(r) (i) None of the Company, the Subsidiary or the Companys controlled affiliates, or any director, officer or, to the Companys knowledge, any agent, representative or employee of the Company, the Subsidiary or the Companys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hAnsi="Times New Roman"/>
          <w:b/>
          <w:sz w:val="20"/>
        </w:rPr>
        <w:t>Government Official</w:t>
      </w:r>
      <w:r>
        <w:rPr>
          <w:rFonts w:ascii="Times New Roman" w:hAnsi="Times New Roman"/>
          <w:sz w:val="20"/>
        </w:rPr>
        <w:t xml:space="preserve">) in order to improperly influence official action, or to any person in violation of any applicable anti-corruption laws; (ii) the Company, the Subsidiary and the Companys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Subsidiary will use, directly or indirectly, the proceeds of the offering in furtherance of an offer, payment, promise to pay, or authorization of the payment or giving of money, or anything else of value, to any person in violation of any applicable anti-corruption laws.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(s) The operations of the Company and its Subsidiary are and have been conducted at all times, in all material respects,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or its Subsidiary conduct business, the rules and regulations thereunder and any related or similar rules, regulations or guidelines, issued, administered or enforced by any governmental agency having jurisdiction over the Company or its Subsidiary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or governmental agency, authority or body or any arbitrator involving the Company or its Subsidiary with respect to the Anti-Money Laundering Laws is pending or, to the knowledge of the Company, threatened. </w:t>
      </w:r>
    </w:p>
    <w:p>
      <w:pPr>
        <w:pStyle w:val="TextBody"/>
        <w:spacing w:before="120" w:after="0"/>
        <w:jc w:val="left"/>
        <w:rPr>
          <w:rFonts w:ascii="Times New Roman" w:hAnsi="Times New Roman"/>
          <w:sz w:val="20"/>
        </w:rPr>
      </w:pPr>
      <w:r>
        <w:rPr>
          <w:rFonts w:ascii="Times New Roman" w:hAnsi="Times New Roman"/>
          <w:sz w:val="20"/>
        </w:rPr>
        <w:t>(t) (i) None of the Company, its Subsidiary, or any director, officer, or employee thereof, or, to the Companys knowledge, any agent, affiliate or representative of the Company or its Subsidiary, is an individual or entity (</w:t>
      </w:r>
      <w:r>
        <w:rPr>
          <w:rFonts w:ascii="Times New Roman" w:hAnsi="Times New Roman"/>
          <w:b/>
          <w:sz w:val="20"/>
        </w:rPr>
        <w:t>Person</w:t>
      </w:r>
      <w:r>
        <w:rPr>
          <w:rFonts w:ascii="Times New Roman" w:hAnsi="Times New Roman"/>
          <w:sz w:val="20"/>
        </w:rPr>
        <w:t xml:space="preserve">) that is, or is owned or controlled by one or more Persons that are: </w:t>
      </w:r>
    </w:p>
    <w:p>
      <w:pPr>
        <w:pStyle w:val="TextBody"/>
        <w:spacing w:before="120" w:after="0"/>
        <w:jc w:val="left"/>
        <w:rPr>
          <w:rFonts w:ascii="Times New Roman" w:hAnsi="Times New Roman"/>
          <w:sz w:val="20"/>
        </w:rPr>
      </w:pPr>
      <w:r>
        <w:rPr>
          <w:rFonts w:ascii="Times New Roman" w:hAnsi="Times New Roman"/>
          <w:sz w:val="20"/>
        </w:rPr>
        <w:t>(A) the subject of any sanctions administered or enforced by the U.S. Department of Treasurys Office of Foreign Assets Control (</w:t>
      </w:r>
      <w:r>
        <w:rPr>
          <w:rFonts w:ascii="Times New Roman" w:hAnsi="Times New Roman"/>
          <w:b/>
          <w:sz w:val="20"/>
        </w:rPr>
        <w:t>OFAC</w:t>
      </w:r>
      <w:r>
        <w:rPr>
          <w:rFonts w:ascii="Times New Roman" w:hAnsi="Times New Roman"/>
          <w:sz w:val="20"/>
        </w:rPr>
        <w:t>), the United Nations Security Council (</w:t>
      </w:r>
      <w:r>
        <w:rPr>
          <w:rFonts w:ascii="Times New Roman" w:hAnsi="Times New Roman"/>
          <w:b/>
          <w:sz w:val="20"/>
        </w:rPr>
        <w:t>UNSC</w:t>
      </w:r>
      <w:r>
        <w:rPr>
          <w:rFonts w:ascii="Times New Roman" w:hAnsi="Times New Roman"/>
          <w:sz w:val="20"/>
        </w:rPr>
        <w:t>), the European Union (</w:t>
      </w:r>
      <w:r>
        <w:rPr>
          <w:rFonts w:ascii="Times New Roman" w:hAnsi="Times New Roman"/>
          <w:b/>
          <w:sz w:val="20"/>
        </w:rPr>
        <w:t>EU</w:t>
      </w:r>
      <w:r>
        <w:rPr>
          <w:rFonts w:ascii="Times New Roman" w:hAnsi="Times New Roman"/>
          <w:sz w:val="20"/>
        </w:rPr>
        <w:t>), Her Majestys Treasury (</w:t>
      </w:r>
      <w:r>
        <w:rPr>
          <w:rFonts w:ascii="Times New Roman" w:hAnsi="Times New Roman"/>
          <w:b/>
          <w:sz w:val="20"/>
        </w:rPr>
        <w:t>HMT</w:t>
      </w:r>
      <w:r>
        <w:rPr>
          <w:rFonts w:ascii="Times New Roman" w:hAnsi="Times New Roman"/>
          <w:sz w:val="20"/>
        </w:rPr>
        <w:t>), or other relevant sanctions authority (collectively, </w:t>
      </w:r>
      <w:r>
        <w:rPr>
          <w:rFonts w:ascii="Times New Roman" w:hAnsi="Times New Roman"/>
          <w:b/>
          <w:sz w:val="20"/>
        </w:rPr>
        <w:t>Sanctions</w:t>
      </w:r>
      <w:r>
        <w:rPr>
          <w:rFonts w:ascii="Times New Roman" w:hAnsi="Times New Roman"/>
          <w:sz w:val="20"/>
        </w:rPr>
        <w:t xml:space="preserve">), or </w:t>
      </w:r>
    </w:p>
    <w:p>
      <w:pPr>
        <w:pStyle w:val="TextBody"/>
        <w:spacing w:before="120" w:after="0"/>
        <w:jc w:val="left"/>
        <w:rPr>
          <w:rFonts w:ascii="Times New Roman" w:hAnsi="Times New Roman"/>
          <w:sz w:val="20"/>
        </w:rPr>
      </w:pPr>
      <w:r>
        <w:rPr>
          <w:rFonts w:ascii="Times New Roman" w:hAnsi="Times New Roman"/>
          <w:sz w:val="20"/>
        </w:rPr>
        <w:t xml:space="preserve">(B) located, organized or resident in a country or territory that is the subject of Sanctions (including, without limitation, Crimea, Cuba, Iran, North Korea and Syria). </w:t>
      </w:r>
    </w:p>
    <w:p>
      <w:pPr>
        <w:pStyle w:val="TextBody"/>
        <w:spacing w:before="120" w:after="0"/>
        <w:jc w:val="left"/>
        <w:rPr>
          <w:rFonts w:ascii="Times New Roman" w:hAnsi="Times New Roman"/>
          <w:sz w:val="20"/>
        </w:rPr>
      </w:pPr>
      <w:r>
        <w:rPr>
          <w:rFonts w:ascii="Times New Roman" w:hAnsi="Times New Roman"/>
          <w:sz w:val="20"/>
        </w:rPr>
        <w:t xml:space="preserve">(ii) The Company will not, directly or indirectly, use the proceeds of the offering, or lend, contribute or otherwise make available such proceeds to any subsidiary, joint venture partner or other Person: </w:t>
      </w:r>
    </w:p>
    <w:p>
      <w:pPr>
        <w:pStyle w:val="TextBody"/>
        <w:spacing w:before="120" w:after="0"/>
        <w:jc w:val="left"/>
        <w:rPr>
          <w:rFonts w:ascii="Times New Roman" w:hAnsi="Times New Roman"/>
          <w:sz w:val="20"/>
        </w:rPr>
      </w:pPr>
      <w:r>
        <w:rPr>
          <w:rFonts w:ascii="Times New Roman" w:hAnsi="Times New Roman"/>
          <w:sz w:val="20"/>
        </w:rPr>
        <w:t xml:space="preserve">(A) to fund or facilitate any activities or business of or with any Person or in any country or territory that, at the time of such funding or facilitation, is the subject of Sanctions; or </w:t>
      </w:r>
    </w:p>
    <w:p>
      <w:pPr>
        <w:pStyle w:val="TextBody"/>
        <w:spacing w:before="120" w:after="0"/>
        <w:jc w:val="left"/>
        <w:rPr>
          <w:rFonts w:ascii="Times New Roman" w:hAnsi="Times New Roman"/>
          <w:sz w:val="20"/>
        </w:rPr>
      </w:pPr>
      <w:r>
        <w:rPr>
          <w:rFonts w:ascii="Times New Roman" w:hAnsi="Times New Roman"/>
          <w:sz w:val="20"/>
        </w:rPr>
        <w:t xml:space="preserve">(B) in any other manner that will result in a violation of Sanctions by any Person (including any Person participating in the offering, whether as underwriter, advisor, investor or otherwise).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The Company and its Subsidiary have not knowingly engaged in, are not now knowingly engaged in, and will not engage in, any dealings or transactions with any Person, or in any country or territory, that at the time of the dealing or transaction is or was the subject of Sanctions. </w:t>
      </w:r>
    </w:p>
    <w:p>
      <w:pPr>
        <w:pStyle w:val="TextBody"/>
        <w:spacing w:before="120" w:after="0"/>
        <w:jc w:val="left"/>
        <w:rPr>
          <w:rFonts w:ascii="Times New Roman" w:hAnsi="Times New Roman"/>
          <w:sz w:val="20"/>
        </w:rPr>
      </w:pPr>
      <w:r>
        <w:rPr>
          <w:rFonts w:ascii="Times New Roman" w:hAnsi="Times New Roman"/>
          <w:sz w:val="20"/>
        </w:rPr>
        <w:t xml:space="preserve">(u) Subsequent to the respective dates as of which information is given in each of the Registration Statement, the Time of Sale Prospectus and the Prospectus, (i) the Company and its Subsidiary have not incurred any material liability or obligation, direct or contingent, nor entered into any material transaction; (ii) the Company has not purchased any of its outstanding capital stock (other than from its employees or other service providers in connection with termination of such individuals service to the Company pursuant to plans or agreements, as applicable), nor declared, paid or otherwise made any dividend or distribution of any kind on its capital stock other than ordinary and customary dividends; and (iii) there has not been any material change in the capital stock, short-term debt or long-term debt of the Company and its Subsidiary, except in each case as described in each of the Registration Statement, the Time of Sale Prospectus and the Prospectus, respectively. </w:t>
      </w:r>
    </w:p>
    <w:p>
      <w:pPr>
        <w:pStyle w:val="TextBody"/>
        <w:spacing w:before="120" w:after="0"/>
        <w:jc w:val="left"/>
        <w:rPr>
          <w:rFonts w:ascii="Times New Roman" w:hAnsi="Times New Roman"/>
          <w:sz w:val="20"/>
        </w:rPr>
      </w:pPr>
      <w:r>
        <w:rPr>
          <w:rFonts w:ascii="Times New Roman" w:hAnsi="Times New Roman"/>
          <w:sz w:val="20"/>
        </w:rPr>
        <w:t xml:space="preserve">(v) The Company and its Subsidiary do not own any real property and have good and marketable title to all personal property owned by them which is material to the business of the Company and its Subsidiary, in each case free and clear of all liens, encumbrances and defects except such as are described in the Time of Sale Prospectus or such as do not materially affect the value of such property and do not interfere in any material respect with the use made and proposed to be made of such property by the Company and its Subsidiary; and any real property and buildings held under lease by the Company and its Subsidiary are held by them, as applicable, under valid, subsisting and, to the Companys knowledge, enforceable leases with such exceptions as are not material and do not interfere in any material respect with the use made and proposed to be made of such property and buildings by the Company and its Subsidiary, in each case except as described in the Time of Sale Prospectus. </w:t>
      </w:r>
    </w:p>
    <w:p>
      <w:pPr>
        <w:pStyle w:val="TextBody"/>
        <w:spacing w:before="120" w:after="0"/>
        <w:jc w:val="left"/>
        <w:rPr>
          <w:rFonts w:ascii="Times New Roman" w:hAnsi="Times New Roman"/>
          <w:sz w:val="20"/>
        </w:rPr>
      </w:pPr>
      <w:r>
        <w:rPr>
          <w:rFonts w:ascii="Times New Roman" w:hAnsi="Times New Roman"/>
          <w:sz w:val="20"/>
        </w:rPr>
        <w:t>(w) (i) The Company and its Subsidiary own or have a valid license to all patents and patent applications, inventions, copyrights, know how (including trade secrets and other unpatented and/or unpatentable proprietary or confidential information, systems or procedures), trademarks, service marks and trade names (collectively, </w:t>
      </w:r>
      <w:r>
        <w:rPr>
          <w:rFonts w:ascii="Times New Roman" w:hAnsi="Times New Roman"/>
          <w:b/>
          <w:sz w:val="20"/>
        </w:rPr>
        <w:t>Intellectual Property Rights</w:t>
      </w:r>
      <w:r>
        <w:rPr>
          <w:rFonts w:ascii="Times New Roman" w:hAnsi="Times New Roman"/>
          <w:sz w:val="20"/>
        </w:rPr>
        <w:t xml:space="preserve">) used in or reasonably necessary to the conduct of their businesses in the manner described in the Time of Sale Prospectus and the Prospectus; (ii) the Intellectual Property Rights owned by the Company and its Subsidiary and, to the Companys knowledge, the Intellectual Property Rights licensed to the Company and its Subsidiary, are valid, subsisting and enforceable, and there is no pending or, to the Companys knowledge, threatened action, suit, proceeding or claim by others challenging the validity, scope, inventorship, ownership or enforceability of any such Intellectual Property Rights; (iii) neither the Company nor its Subsidiary has received any notice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alleging any infringement, misappropriation or other violation of Intellectual Property Rights; (iv) to the Companys knowledge, no third party is infringing, misappropriating or otherwise violating, or has infringed, misappropriated or otherwise violated, any Intellectual Property Rights owned by the Company that would materially adversely affect the Company and its Subsidiary, taken as a whole; (v) neither the Company nor its Subsidiary infringes, misappropriates or otherwise violates (including, if the Companys product candidates described in the Time of Sale Prospectus were manufactured, marketed, used or sold as of the date hereof) in any material respect, or has infringed, misappropriated or otherwise violated, any right or valid patent claim of any third party in any material respect; (vi) all employees, consultants or contractors engaged in the development of Intellectual Property Rights on behalf of the Company or its Subsidiary have executed an invention assignment agreement whereby such employees, consultants or contractors presently assign all of their right, title and interest in and to such Intellectual Property Rights to the Company or its Subsidiary, and to the Companys knowledge no such agreement has been breached or violated in any material respect; (vii) the Company and its Subsidiary use, and have used, commercially reasonable efforts to appropriately maintain all information intended to be maintained as a trade secret; (viii) to the knowledge of the Company, none of the Intellectual Property Rights of the Company have been obtained or are being used by the Company in material violation of any contractual obligation binding on the Company or, to the knowledge of the Company, upon any of its officers, consultants, directors or employees; (ix) the Intellectual Property Rights owned or purported to be owned by the Company are free and clear of all material liens or encumbrances; (x) no third party, including any academic or governmental organization, possesses rights to the Intellectual Property Rights of the Company which, if exercised, could enable such party to develop, market or sell products competitive with those of the Company or to license a third party to so develop, market or sell products competitive with those of the Company; (xi) except as described in the Time of Sale Prospectus, the Company is not obligated to pay a material royalty, grant a license to, obtain a license from or provide other material consideration to any third party in connection with the Intellectual Property Rights of the Company; and (xii) all patents and patent applications owned by or licensed to the Company and included within the Intellectual Property Rights, to the knowledge of the Company, have been duly and properly filed, prosecuted and maintained. </w:t>
      </w:r>
    </w:p>
    <w:p>
      <w:pPr>
        <w:pStyle w:val="TextBody"/>
        <w:spacing w:before="120" w:after="0"/>
        <w:jc w:val="left"/>
        <w:rPr>
          <w:rFonts w:ascii="Times New Roman" w:hAnsi="Times New Roman"/>
          <w:sz w:val="20"/>
        </w:rPr>
      </w:pPr>
      <w:r>
        <w:rPr>
          <w:rFonts w:ascii="Times New Roman" w:hAnsi="Times New Roman"/>
          <w:sz w:val="20"/>
        </w:rPr>
        <w:t>(x) (i) The Company and its Subsidiary have complied and are presently in compliance with all internal and external privacy policies, contractual obligations, industry standards, applicable laws, statutes, judgments, orders, rules and regulations of any court or arbitrator or other governmental or regulatory authority with jurisdiction over the Company, in each case, relating to the collection, use, transfer, import, export, storage, protection, disposal and disclosure by the Company or its Subsidiary of personal, personally identifiable, household, sensitive, confidential or regulated data (</w:t>
      </w:r>
      <w:r>
        <w:rPr>
          <w:rFonts w:ascii="Times New Roman" w:hAnsi="Times New Roman"/>
          <w:b/>
          <w:sz w:val="20"/>
        </w:rPr>
        <w:t>Data Security Obligations</w:t>
      </w:r>
      <w:r>
        <w:rPr>
          <w:rFonts w:ascii="Times New Roman" w:hAnsi="Times New Roman"/>
          <w:sz w:val="20"/>
        </w:rPr>
        <w:t>, and such data, </w:t>
      </w:r>
      <w:r>
        <w:rPr>
          <w:rFonts w:ascii="Times New Roman" w:hAnsi="Times New Roman"/>
          <w:b/>
          <w:sz w:val="20"/>
        </w:rPr>
        <w:t>Confidential</w:t>
      </w:r>
      <w:r>
        <w:rPr>
          <w:rFonts w:ascii="Times New Roman" w:hAnsi="Times New Roman"/>
          <w:sz w:val="20"/>
        </w:rPr>
        <w:t xml:space="preserve"> </w:t>
      </w:r>
      <w:r>
        <w:rPr>
          <w:rFonts w:ascii="Times New Roman" w:hAnsi="Times New Roman"/>
          <w:b/>
          <w:sz w:val="20"/>
        </w:rPr>
        <w:t>Data</w:t>
      </w:r>
      <w:r>
        <w:rPr>
          <w:rFonts w:ascii="Times New Roman" w:hAnsi="Times New Roman"/>
          <w:sz w:val="20"/>
        </w:rPr>
        <w:t xml:space="preserve">); (ii) the Company has not received any notification of or complaint regarding and is unaware of any other facts that, individually or in the aggregate, would reasonably indicate material non-compliance with any Data Security Obligation; and (iii) there is no action, suit or proceeding by or before any court or governmental agency, authority or body pending or, to the Companys knowledge, threatened alleging material non-compliance with any Data Security Obligation.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(y) The Company and its Subsidiarys information technology assets and equipment, computers, systems, networks, hardware, software, websites, applications and databases used to process, store, maintain and operate data, information and functions are adequate for, and operate and perform in all material respects as required in connection with, the operation of the business of the Company and the Subsidiary as currently conducted. The Company and its Subsidiary have taken all reasonable technical and organizational measures to protect the information technology systems and Confidential Data used in connection with the operation of the Companys and its Subsidiarys businesses. Without limiting the foregoing, the Company and its Subsidiary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Confidential Data used in connection with the operation of the Companys and its Subsidiarys businesses (</w:t>
      </w:r>
      <w:r>
        <w:rPr>
          <w:rFonts w:ascii="Times New Roman" w:hAnsi="Times New Roman"/>
          <w:b/>
          <w:sz w:val="20"/>
        </w:rPr>
        <w:t>Breach</w:t>
      </w:r>
      <w:r>
        <w:rPr>
          <w:rFonts w:ascii="Times New Roman" w:hAnsi="Times New Roman"/>
          <w:sz w:val="20"/>
        </w:rPr>
        <w:t xml:space="preserve">). Except as disclosed in the Time of Sale Prospectus and the Prospectus, there has been no material Breach, and the Company and its Subsidiary have not been notified of, and have no knowledge of any event or condition that would reasonably be expected to result in, any material Breach. </w:t>
      </w:r>
    </w:p>
    <w:p>
      <w:pPr>
        <w:pStyle w:val="TextBody"/>
        <w:spacing w:before="120" w:after="0"/>
        <w:jc w:val="left"/>
        <w:rPr>
          <w:rFonts w:ascii="Times New Roman" w:hAnsi="Times New Roman"/>
          <w:sz w:val="20"/>
        </w:rPr>
      </w:pPr>
      <w:r>
        <w:rPr>
          <w:rFonts w:ascii="Times New Roman" w:hAnsi="Times New Roman"/>
          <w:sz w:val="20"/>
        </w:rPr>
        <w:t xml:space="preserve">(z) No material labor dispute with the employees of the Company or its Subsidiary exists, except as described in the Time of Sale Prospectus, or, to the knowledge of the Company, is imminent; and the Company is not aware of any existing, threatened or imminent labor disturbance by the employees of any of its principal suppliers, manufacturers or contractors that could have a material adverse effect on the Company and its Subsidiary, taken as a whole. </w:t>
      </w:r>
    </w:p>
    <w:p>
      <w:pPr>
        <w:pStyle w:val="TextBody"/>
        <w:spacing w:before="120" w:after="0"/>
        <w:jc w:val="left"/>
        <w:rPr>
          <w:rFonts w:ascii="Times New Roman" w:hAnsi="Times New Roman"/>
          <w:sz w:val="20"/>
        </w:rPr>
      </w:pPr>
      <w:r>
        <w:rPr>
          <w:rFonts w:ascii="Times New Roman" w:hAnsi="Times New Roman"/>
          <w:sz w:val="20"/>
        </w:rPr>
        <w:t>(aa) Except (i) as described in the Time of Sale Prospectus or (ii) as would not, singly or in the aggregate, reasonably be expected to have a material adverse effect on the Company and its Subsidiary, taken as a whole, each employee benefit plan, within the meaning of Section 3(3) of the Employee Retirement Income Security Act of 1974, as amended (</w:t>
      </w:r>
      <w:r>
        <w:rPr>
          <w:rFonts w:ascii="Times New Roman" w:hAnsi="Times New Roman"/>
          <w:b/>
          <w:sz w:val="20"/>
        </w:rPr>
        <w:t>ERISA</w:t>
      </w:r>
      <w:r>
        <w:rPr>
          <w:rFonts w:ascii="Times New Roman" w:hAnsi="Times New Roman"/>
          <w:sz w:val="20"/>
        </w:rPr>
        <w:t>), that the Company or any member of its Controlled Group (defined as any organization which is under common control with the Company within the meaning of Section 414 of the Internal Revenue Code of 1986, as amended (the </w:t>
      </w:r>
      <w:r>
        <w:rPr>
          <w:rFonts w:ascii="Times New Roman" w:hAnsi="Times New Roman"/>
          <w:b/>
          <w:sz w:val="20"/>
        </w:rPr>
        <w:t>Code</w:t>
      </w:r>
      <w:r>
        <w:rPr>
          <w:rFonts w:ascii="Times New Roman" w:hAnsi="Times New Roman"/>
          <w:sz w:val="20"/>
        </w:rPr>
        <w:t xml:space="preserve">)) sponsors or maintains has been maintained, in all material respects, in compliance with its terms and the requirements of any applicable statutes, orders, rules and regulations, including but not limited to ERISA and the Code.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(bb) The Company and its Subsidiary are insured by insurers of recognized financial responsibility against such losses and risks and in such amounts as, in the Companys judgment, are prudent and customary in the businesses in which they are engaged; neither the Company nor its Subsidiary has been refused any insurance coverage sought or applied for; and neither the Company nor its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its Subsidiary, taken as a whole, except as described in the Time of Sale Prospectus. </w:t>
      </w:r>
    </w:p>
    <w:p>
      <w:pPr>
        <w:pStyle w:val="TextBody"/>
        <w:spacing w:before="120" w:after="0"/>
        <w:jc w:val="left"/>
        <w:rPr>
          <w:rFonts w:ascii="Times New Roman" w:hAnsi="Times New Roman"/>
          <w:sz w:val="20"/>
        </w:rPr>
      </w:pPr>
      <w:r>
        <w:rPr>
          <w:rFonts w:ascii="Times New Roman" w:hAnsi="Times New Roman"/>
          <w:sz w:val="20"/>
        </w:rPr>
        <w:t xml:space="preserve">(cc) The Company and its Subsidiary possess all certificates, authorizations and permits issued by the appropriate federal, state or foreign regulatory authorities necessary to conduct their respective businesses, and neither the Company nor its Subsidiary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Subsidiary, taken as a whole, except as described in the Time of Sale Prospectus. </w:t>
      </w:r>
    </w:p>
    <w:p>
      <w:pPr>
        <w:pStyle w:val="TextBody"/>
        <w:spacing w:before="120" w:after="0"/>
        <w:jc w:val="left"/>
        <w:rPr>
          <w:rFonts w:ascii="Times New Roman" w:hAnsi="Times New Roman"/>
          <w:sz w:val="20"/>
        </w:rPr>
      </w:pPr>
      <w:r>
        <w:rPr>
          <w:rFonts w:ascii="Times New Roman" w:hAnsi="Times New Roman"/>
          <w:sz w:val="20"/>
        </w:rPr>
        <w:t>(dd) The Company and its Subsidiary (i) are and at all times have been, in all material respects, in compliance with all statutes, rules, and regulations applicable to the ownership, research, testing, development, manufacture, packaging, processing, use, storage, import, export or disposal of any product candidates of the Company or its Subsidiary, including, without limitation, the Federal Food, Drug and Cosmetic Act (21 U.S.C.§ 301 et seq.), the regulations promulgated pursuant to such laws, and any successor government programs, and comparable state laws, and all other local, state, federal, and foreign laws, rules, regulations, policies and final administrative guidance relating to the regulation of the Company (collectively, the </w:t>
      </w:r>
      <w:r>
        <w:rPr>
          <w:rFonts w:ascii="Times New Roman" w:hAnsi="Times New Roman"/>
          <w:b/>
          <w:sz w:val="20"/>
        </w:rPr>
        <w:t>Applicable Regulatory Laws</w:t>
      </w:r>
      <w:r>
        <w:rPr>
          <w:rFonts w:ascii="Times New Roman" w:hAnsi="Times New Roman"/>
          <w:sz w:val="20"/>
        </w:rPr>
        <w:t>); (ii) possess all licenses, exemptions, certificates, approvals, consents, clearances, authorizations, permits, registrations and supplements or amendments thereto required by any such Applicable Regulatory Laws (</w:t>
      </w:r>
      <w:r>
        <w:rPr>
          <w:rFonts w:ascii="Times New Roman" w:hAnsi="Times New Roman"/>
          <w:b/>
          <w:sz w:val="20"/>
        </w:rPr>
        <w:t>Regulatory Authorizations</w:t>
      </w:r>
      <w:r>
        <w:rPr>
          <w:rFonts w:ascii="Times New Roman" w:hAnsi="Times New Roman"/>
          <w:sz w:val="20"/>
        </w:rPr>
        <w:t xml:space="preserve">) and such Regulatory Authorizations are valid and in full force and effect; (iii) are in compliance, in all material respects, with and are not in violation of, or in default under, any such Regulatory Authorization, and to the Companys knowledge, no event has occurred which allows, or after notice or lapse of time would allow, revocation, termination or modification of any Regulatory Authorization or result in any other material impairment of the rights of the holder of any Regulatory Authorization, and the Company does not have any reason to believe that any Regulatory Authorization will not be renewed in the ordinary course; (iv) have not received written notice that any court or arbitrator or governmental or regulatory authority has taken, is taking, or intends to take action to limit,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suspend, modify or revoke any Regulatory Authorizations nor, to the Companys knowledge, is any such limitation, suspension, modification or revocation threatened; (v) have not received any notice of any claim, action, suit, proceeding, hearing, enforcement, investigation, arbitration or other action, or any U.S. Food and Drug Administration (</w:t>
      </w:r>
      <w:r>
        <w:rPr>
          <w:rFonts w:ascii="Times New Roman" w:hAnsi="Times New Roman"/>
          <w:b/>
          <w:sz w:val="20"/>
        </w:rPr>
        <w:t>FDA</w:t>
      </w:r>
      <w:r>
        <w:rPr>
          <w:rFonts w:ascii="Times New Roman" w:hAnsi="Times New Roman"/>
          <w:sz w:val="20"/>
        </w:rPr>
        <w:t xml:space="preserve">) Form 483, notice of adverse finding, warning letter, untitled letter or other communication from any court or arbitrator or governmental or regulatory authority alleging or asserting non-compliance with any Applicable Regulatory Laws or Regulatory Authorizations, nor, to the Companys knowledge, is any such claim, action, suit, proceeding, hearing, enforcement, investigation, arbitration or other action or communication threatened; (vi) have filed, obtained, maintained or submitted all material reports, documents, forms, notices, applications, records, claims, submissions and supplements or amendments as required by any Applicable Regulatory Laws or Regulatory Authorizations, and all such reports, documents, forms, notices, applications, records, claims, submissions and supplements or amendments were complete and accurate on the date filed in all material respects (or were corrected or supplemented by a subsequent submission); and (vii) are not a party to any corporate integrity agreements, monitoring agreements, consent decrees, settlement orders, or similar agreements with or imposed by any governmental or regulatory authority. </w:t>
      </w:r>
    </w:p>
    <w:p>
      <w:pPr>
        <w:pStyle w:val="TextBody"/>
        <w:spacing w:before="120" w:after="0"/>
        <w:jc w:val="left"/>
        <w:rPr>
          <w:rFonts w:ascii="Times New Roman" w:hAnsi="Times New Roman"/>
          <w:sz w:val="20"/>
        </w:rPr>
      </w:pPr>
      <w:r>
        <w:rPr>
          <w:rFonts w:ascii="Times New Roman" w:hAnsi="Times New Roman"/>
          <w:sz w:val="20"/>
        </w:rPr>
        <w:t>(ee) All clinical and pre-clinical trials conducted by or on behalf of, or sponsored by, the Company or its Subsidiary, or in which the Company or its Subsidiary have participated, that are described or referred to in the Registration Statement and the Time of Sale Prospectus were and, if still pending, are being conducted, in all material respects, in compliance with the experimental protocols established for such trials, with accepted medical and scientific standards, and with all Applicable Regulatory Laws, including regulations relating to Good Clinical Practices and Good Laboratory Practices, and all Regulatory Authorizations. The descriptions of the clinical and pre-clinical trials, including the results thereof, included in the Registration Statement and the Time of Sale Prospectus are accurate and complete in all material respects and fairly present the data derived from such trials in all material respects; and neither the Company nor its Subsidiary is aware of any other clinical or pre-clinical trials, the results of which reasonably call into question the results described in the Registration Statement and the Time of Sale Prospectus. Neither the Company nor its Subsidiary have received any notices or correspondence from FDA or similar foreign, state, and local governmental or regulatory authorities (collectively, the </w:t>
      </w:r>
      <w:r>
        <w:rPr>
          <w:rFonts w:ascii="Times New Roman" w:hAnsi="Times New Roman"/>
          <w:b/>
          <w:sz w:val="20"/>
        </w:rPr>
        <w:t>Regulatory Authorities</w:t>
      </w:r>
      <w:r>
        <w:rPr>
          <w:rFonts w:ascii="Times New Roman" w:hAnsi="Times New Roman"/>
          <w:sz w:val="20"/>
        </w:rPr>
        <w:t xml:space="preserve">) or institutional review boards or comparable authorities requiring the termination, suspension, material modification or clinical hold of any clinical or pre-clinical trials conducted by or on behalf of the Company, and to the Companys knowledge, there are no reasonable grounds for the same. </w:t>
      </w:r>
    </w:p>
    <w:p>
      <w:pPr>
        <w:pStyle w:val="TextBody"/>
        <w:spacing w:before="120" w:after="0"/>
        <w:jc w:val="left"/>
        <w:rPr>
          <w:rFonts w:ascii="Times New Roman" w:hAnsi="Times New Roman"/>
          <w:sz w:val="20"/>
        </w:rPr>
      </w:pPr>
      <w:r>
        <w:rPr>
          <w:rFonts w:ascii="Times New Roman" w:hAnsi="Times New Roman"/>
          <w:sz w:val="20"/>
        </w:rPr>
        <w:t xml:space="preserve">(ff) Neither the Company nor the Subsidiary, or any of their respective directors, officers, employees or, to the Companys knowledge, agents, is or has been debarred, suspended or excluded, or has been convicted of any crime or engaged in any conduct that would result in debarment, suspension or exclusion by FDA or from any federal or state government health care program.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(gg) None of the Companys or its Subsidiarys product candidates has received marketing approval from any Regulatory Authority. </w:t>
      </w:r>
    </w:p>
    <w:p>
      <w:pPr>
        <w:pStyle w:val="TextBody"/>
        <w:spacing w:before="120" w:after="0"/>
        <w:jc w:val="left"/>
        <w:rPr>
          <w:rFonts w:ascii="Times New Roman" w:hAnsi="Times New Roman"/>
          <w:sz w:val="20"/>
        </w:rPr>
      </w:pPr>
      <w:r>
        <w:rPr>
          <w:rFonts w:ascii="Times New Roman" w:hAnsi="Times New Roman"/>
          <w:sz w:val="20"/>
        </w:rPr>
        <w:t xml:space="preserve">(hh) Ernst &amp; Young LLP, which has certified certain financial statements of the Company and its Subsidiary, is an independent registered public accounting firm as required by the Securities Act and the rules and regulations of the Commission thereunder and the rules and regulations of the Public Company Accounting Oversight Board (United States). </w:t>
      </w:r>
    </w:p>
    <w:p>
      <w:pPr>
        <w:pStyle w:val="TextBody"/>
        <w:spacing w:before="120" w:after="0"/>
        <w:jc w:val="left"/>
        <w:rPr>
          <w:rFonts w:ascii="Times New Roman" w:hAnsi="Times New Roman"/>
          <w:sz w:val="20"/>
        </w:rPr>
      </w:pPr>
      <w:r>
        <w:rPr>
          <w:rFonts w:ascii="Times New Roman" w:hAnsi="Times New Roman"/>
          <w:sz w:val="20"/>
        </w:rPr>
        <w:t>(ii) The consolidated financial statements of the Company included or incorporated by reference in the Registration Statement, the Time of Sale Prospectus and the Prospectus, together with the related notes, present fairly in all material respects the financial position of the Company and its consolidated Subsidiary at the dates indicated and, in the case of the statements of operations, stockholders equity and cash flows of the Company and its consolidated Subsidiary, for the periods specified. The consolidated financial statements of the Company included in the Registration Statement, the Time of Sale Prospectus and the Prospectus comply in all material respects with the applicable requirements of the Securities Act and have been prepared in conformity with U.S. generally accepted accounting principles (</w:t>
      </w:r>
      <w:r>
        <w:rPr>
          <w:rFonts w:ascii="Times New Roman" w:hAnsi="Times New Roman"/>
          <w:b/>
          <w:sz w:val="20"/>
        </w:rPr>
        <w:t>GAAP</w:t>
      </w:r>
      <w:r>
        <w:rPr>
          <w:rFonts w:ascii="Times New Roman" w:hAnsi="Times New Roman"/>
          <w:sz w:val="20"/>
        </w:rPr>
        <w:t xml:space="preserve">) applied on a consistent basis throughout the periods involved except (i) the unaudited, interim financial statements, which are subject to normal year-end adjustments and do not contain certain footnotes as permitted by the applicable rules of the Commission and (ii) as otherwise disclosed therein. Except as included therein, no supporting schedules are required to be included or incorporated by reference in the Registration Statement, the Time of Sale Prospectus or the Prospectus under the Securities Act and the rules and regulations of the Commission thereunder. All other financial information included in the Registration Statement, the Time of Sale Prospectus and the Prospectus has been derived from the accounting records of the Company and its consolidated Subsidiary and presents fairly in all material respects the information shown thereby. </w:t>
      </w:r>
    </w:p>
    <w:p>
      <w:pPr>
        <w:pStyle w:val="TextBody"/>
        <w:spacing w:before="120" w:after="0"/>
        <w:jc w:val="left"/>
        <w:rPr>
          <w:rFonts w:ascii="Times New Roman" w:hAnsi="Times New Roman"/>
          <w:sz w:val="20"/>
        </w:rPr>
      </w:pPr>
      <w:r>
        <w:rPr>
          <w:rFonts w:ascii="Times New Roman" w:hAnsi="Times New Roman"/>
          <w:sz w:val="20"/>
        </w:rPr>
        <w:t xml:space="preserve">(jj) The Company and its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(kk) The Company maintains disclosure controls and procedures (as such term is defined in Rule 13a-15(e) under the Exchange Act) designed to comply with the requirements of the Exchange Act applicable to the Company. Such disclosure controls and procedures have been designed to ensure that material information relating to the Company is made known to the Companys principal executive officer and principal financial officer by others within the Company. </w:t>
      </w:r>
    </w:p>
    <w:p>
      <w:pPr>
        <w:pStyle w:val="TextBody"/>
        <w:spacing w:before="120" w:after="0"/>
        <w:jc w:val="left"/>
        <w:rPr>
          <w:rFonts w:ascii="Times New Roman" w:hAnsi="Times New Roman"/>
          <w:sz w:val="20"/>
        </w:rPr>
      </w:pPr>
      <w:r>
        <w:rPr>
          <w:rFonts w:ascii="Times New Roman" w:hAnsi="Times New Roman"/>
          <w:sz w:val="20"/>
        </w:rPr>
        <w:t xml:space="preserve">(ll)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spacing w:before="120" w:after="0"/>
        <w:jc w:val="left"/>
        <w:rPr>
          <w:rFonts w:ascii="Times New Roman" w:hAnsi="Times New Roman"/>
          <w:sz w:val="20"/>
        </w:rPr>
      </w:pPr>
      <w:r>
        <w:rPr>
          <w:rFonts w:ascii="Times New Roman" w:hAnsi="Times New Roman"/>
          <w:sz w:val="20"/>
        </w:rPr>
        <w:t xml:space="preserve">(mm) 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 </w:t>
      </w:r>
    </w:p>
    <w:p>
      <w:pPr>
        <w:pStyle w:val="TextBody"/>
        <w:spacing w:before="120" w:after="0"/>
        <w:jc w:val="left"/>
        <w:rPr>
          <w:rFonts w:ascii="Times New Roman" w:hAnsi="Times New Roman"/>
          <w:sz w:val="20"/>
        </w:rPr>
      </w:pPr>
      <w:r>
        <w:rPr>
          <w:rFonts w:ascii="Times New Roman" w:hAnsi="Times New Roman"/>
          <w:sz w:val="20"/>
        </w:rPr>
        <w:t xml:space="preserve">(nn) The Company and its Subsidiary have filed all federal, state, local and foreign tax returns required to be filed through the date of this Agreement or have requested extensions thereof (except where the failure to file would not, individually or in the aggregate, reasonably be expected to have a material adverse effect) and have paid all taxes required to be paid thereon (except for cases in which the failure to file or pay would not reasonably be expected to have a material adverse effect, or, except as currently being contested in good faith and for which reserves required by GAAP have been created in the financial statements of the Company), and no tax deficiency has been determined adversely to the Company or its Subsidiary which has had (nor does the Company nor its Subsidiary have any notice or knowledge of any tax deficiency which would reasonably be expected to be determined adversely to the Company or its Subsidiary and which would reasonably be expected to have) a material adverse effect. </w:t>
      </w:r>
    </w:p>
    <w:p>
      <w:pPr>
        <w:pStyle w:val="TextBody"/>
        <w:spacing w:before="120" w:after="0"/>
        <w:jc w:val="left"/>
        <w:rPr>
          <w:rFonts w:ascii="Times New Roman" w:hAnsi="Times New Roman"/>
          <w:sz w:val="20"/>
        </w:rPr>
      </w:pPr>
      <w:r>
        <w:rPr>
          <w:rFonts w:ascii="Times New Roman" w:hAnsi="Times New Roman"/>
          <w:sz w:val="20"/>
        </w:rPr>
        <w:t xml:space="preserve">(oo) Other than its ownership of all of the equity interests of the Subsidiary, the Company does not, directly or indirectly, own capital stock or other equity or ownership or proprietary interests in any corporation, partnership, association, trust or other entity.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(pp) From the first date on which the Company engaged directly or through any person authorized to act on its behalf in any Testing-the-Waters Communication in connection with the offering of the Shares through the date hereof, the Company has been and is an emerging growth company, as defined in Section 2(a) of the Securities Act (an </w:t>
      </w:r>
      <w:r>
        <w:rPr>
          <w:rFonts w:ascii="Times New Roman" w:hAnsi="Times New Roman"/>
          <w:b/>
          <w:sz w:val="20"/>
        </w:rPr>
        <w:t>Emerging Growth Company</w:t>
      </w:r>
      <w:r>
        <w:rPr>
          <w:rFonts w:ascii="Times New Roman" w:hAnsi="Times New Roman"/>
          <w:sz w:val="20"/>
        </w:rPr>
        <w:t>). </w:t>
      </w:r>
      <w:r>
        <w:rPr>
          <w:rFonts w:ascii="Times New Roman" w:hAnsi="Times New Roman"/>
          <w:b/>
          <w:sz w:val="20"/>
        </w:rPr>
        <w:t>Testing-the-Waters Communication</w:t>
      </w:r>
      <w:r>
        <w:rPr>
          <w:rFonts w:ascii="Times New Roman" w:hAnsi="Times New Roman"/>
          <w:sz w:val="20"/>
        </w:rPr>
        <w:t xml:space="preserve"> means any oral or written communication with potential investors undertaken in reliance on Section 5(d) of the Securities Act. </w:t>
      </w:r>
    </w:p>
    <w:p>
      <w:pPr>
        <w:pStyle w:val="TextBody"/>
        <w:spacing w:before="120" w:after="0"/>
        <w:jc w:val="left"/>
        <w:rPr>
          <w:rFonts w:ascii="Times New Roman" w:hAnsi="Times New Roman"/>
          <w:sz w:val="20"/>
        </w:rPr>
      </w:pPr>
      <w:r>
        <w:rPr>
          <w:rFonts w:ascii="Times New Roman" w:hAnsi="Times New Roman"/>
          <w:sz w:val="20"/>
        </w:rPr>
        <w:t>(qq) The Company (i) has not alone engaged in any Testing-the-Waters Communication in connection with the offering of the Shares other than Testing-the-Waters Communications with the consent of SVB Leerink LLC, Piper Sandler &amp; Co. and Stifel, Nicolaus &amp; Company, Incorporated with entities that are qualified institutional buyers within the meaning of Rule 144A under the Securities Act or institutions that are accredited investors within the meaning of Rule 501 under the Securities Act and (ii) has not authorized anyone other than SVB Leerink LLC, Piper Sandler &amp; Co. and Stifel, Nicolaus &amp; Company, Incorporated to engage in Testing-the-Waters Communications in connection with the offering of the Shares. The Company has not distributed any Written Testing-the-Waters Communications other than those listed on Schedule III hereto. </w:t>
      </w:r>
      <w:r>
        <w:rPr>
          <w:rFonts w:ascii="Times New Roman" w:hAnsi="Times New Roman"/>
          <w:b/>
          <w:sz w:val="20"/>
        </w:rPr>
        <w:t>Written Testing-the-Waters Communication</w:t>
      </w:r>
      <w:r>
        <w:rPr>
          <w:rFonts w:ascii="Times New Roman" w:hAnsi="Times New Roman"/>
          <w:sz w:val="20"/>
        </w:rPr>
        <w:t xml:space="preserve"> means any Testing-the-Waters Communication in connection with the offering of the Shares that is a written communication within the meaning of Rule 405 under the Securities Act. </w:t>
      </w:r>
    </w:p>
    <w:p>
      <w:pPr>
        <w:pStyle w:val="TextBody"/>
        <w:spacing w:before="120" w:after="0"/>
        <w:jc w:val="left"/>
        <w:rPr>
          <w:rFonts w:ascii="Times New Roman" w:hAnsi="Times New Roman"/>
          <w:sz w:val="20"/>
        </w:rPr>
      </w:pPr>
      <w:r>
        <w:rPr>
          <w:rFonts w:ascii="Times New Roman" w:hAnsi="Times New Roman"/>
          <w:sz w:val="20"/>
        </w:rPr>
        <w:t xml:space="preserve">(rr) As of the time of each sale of the Shares in connection with the offering when the Prospectus is not yet available to prospective purchasers, none of (i) the Time of Sale Prospectus, (ii) any free writing prospectus, when considered together with the Time of Sale Prospectus, and (iii)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(ss) Neither the Company nor its Subsidiary has any securities rated by any nationally recognized statistical rating organization, as such term is defined in Section 3(a)(62) of the Exchange Act. </w:t>
      </w:r>
    </w:p>
    <w:p>
      <w:pPr>
        <w:pStyle w:val="TextBody"/>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 xml:space="preserve">Agreements to Sell and Purchase. </w:t>
      </w:r>
      <w:r>
        <w:rPr>
          <w:rFonts w:ascii="Times New Roman" w:hAnsi="Times New Roman"/>
          <w:sz w:val="20"/>
        </w:rPr>
        <w:t>The Company hereby agrees to sell to the several Underwriters, and each Underwriter, upon the basis of the representations and warranties herein contained, but subject to the conditions hereinafter stated, agrees, severally and not jointly, to purchase from the Company the respective numbers of Firm Shares set forth in Schedule I hereto opposite its name at $17.86 a share (the </w:t>
      </w:r>
      <w:r>
        <w:rPr>
          <w:rFonts w:ascii="Times New Roman" w:hAnsi="Times New Roman"/>
          <w:b/>
          <w:sz w:val="20"/>
        </w:rPr>
        <w:t>Purchase Price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990,000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to the Company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On each day, if any, that Additional Shares are to be purchased (an </w:t>
      </w:r>
      <w:r>
        <w:rPr>
          <w:rFonts w:ascii="Times New Roman" w:hAnsi="Times New Roman"/>
          <w:b/>
          <w:sz w:val="20"/>
        </w:rPr>
        <w:t>Option Closing Date</w:t>
      </w:r>
      <w:r>
        <w:rPr>
          <w:rFonts w:ascii="Times New Roman" w:hAnsi="Times New Roman"/>
          <w:sz w:val="20"/>
        </w:rPr>
        <w:t xml:space="preserve">),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 </w:t>
      </w:r>
    </w:p>
    <w:p>
      <w:pPr>
        <w:pStyle w:val="TextBody"/>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Terms of Public Offering</w:t>
      </w:r>
      <w:r>
        <w:rPr>
          <w:rFonts w:ascii="Times New Roman" w:hAnsi="Times New Roman"/>
          <w:sz w:val="20"/>
        </w:rPr>
        <w:t>. The Company is advised by the Representatives that the Underwriters propose to make a public offering of their respective portions of the Shares as soon after the Registration Statement and this Agreement have become effective as in the Representatives judgment is advisable. The Company is further advised by the Representatives that the Shares are to be offered to the public initially at $19.00 a share (the </w:t>
      </w:r>
      <w:r>
        <w:rPr>
          <w:rFonts w:ascii="Times New Roman" w:hAnsi="Times New Roman"/>
          <w:b/>
          <w:sz w:val="20"/>
        </w:rPr>
        <w:t>Public Offering Price</w:t>
      </w:r>
      <w:r>
        <w:rPr>
          <w:rFonts w:ascii="Times New Roman" w:hAnsi="Times New Roman"/>
          <w:sz w:val="20"/>
        </w:rPr>
        <w:t xml:space="preserve">) and to certain dealers selected by the Representatives at a price that represents a concession not in excess of $0.6840 a share under the Public Offering Price. </w:t>
      </w:r>
    </w:p>
    <w:p>
      <w:pPr>
        <w:pStyle w:val="TextBody"/>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 xml:space="preserve">Payment and Delivery. </w:t>
      </w:r>
      <w:r>
        <w:rPr>
          <w:rFonts w:ascii="Times New Roman" w:hAnsi="Times New Roman"/>
          <w:sz w:val="20"/>
        </w:rPr>
        <w:t>Payment for the Firm Shares shall be made to the Company in Federal or other funds immediately available in New York City against delivery of such Firm Shares for the respective accounts of the several Underwriters at 10:00 a.m., New York City time, on August 16, 2021, or at such other time on the same or such other date, not later than August 23, 2021, as shall be designated in writing by the Representatives.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September 24, 2021, as shall be designated in writing by the Representatives. </w:t>
      </w:r>
    </w:p>
    <w:p>
      <w:pPr>
        <w:pStyle w:val="TextBody"/>
        <w:spacing w:before="240" w:after="0"/>
        <w:jc w:val="left"/>
        <w:rPr>
          <w:rFonts w:ascii="Times New Roman" w:hAnsi="Times New Roman"/>
          <w:sz w:val="20"/>
        </w:rPr>
      </w:pPr>
      <w:r>
        <w:rPr>
          <w:rFonts w:ascii="Times New Roman" w:hAnsi="Times New Roman"/>
          <w:sz w:val="20"/>
        </w:rPr>
        <w:t xml:space="preserve">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therefor.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Conditions to the Underwriters</w:t>
      </w:r>
      <w:r>
        <w:rPr>
          <w:rFonts w:ascii="Times New Roman" w:hAnsi="Times New Roman"/>
          <w:sz w:val="20"/>
        </w:rPr>
        <w:t xml:space="preserve"> </w:t>
      </w:r>
      <w:r>
        <w:rPr>
          <w:rFonts w:ascii="Times New Roman" w:hAnsi="Times New Roman"/>
          <w:i/>
          <w:sz w:val="20"/>
        </w:rPr>
        <w:t>Obligations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several obligations of the Underwriters are subject to the following conditions: </w:t>
      </w:r>
    </w:p>
    <w:p>
      <w:pPr>
        <w:pStyle w:val="TextBody"/>
        <w:spacing w:before="120" w:after="0"/>
        <w:jc w:val="left"/>
        <w:rPr>
          <w:rFonts w:ascii="Times New Roman" w:hAnsi="Times New Roman"/>
          <w:sz w:val="20"/>
        </w:rPr>
      </w:pPr>
      <w:r>
        <w:rPr>
          <w:rFonts w:ascii="Times New Roman" w:hAnsi="Times New Roman"/>
          <w:sz w:val="20"/>
        </w:rPr>
        <w:t xml:space="preserve">(a) No order suspending the effectivenss of the Registration Statement shall be in effect, and no proceeding for such purpose pursuant to Section 8A under the Securities Act shall be pending before or threatended by the Commission. </w:t>
      </w:r>
    </w:p>
    <w:p>
      <w:pPr>
        <w:pStyle w:val="TextBody"/>
        <w:spacing w:before="120" w:after="0"/>
        <w:jc w:val="left"/>
        <w:rPr>
          <w:rFonts w:ascii="Times New Roman" w:hAnsi="Times New Roman"/>
          <w:sz w:val="20"/>
        </w:rPr>
      </w:pPr>
      <w:r>
        <w:rPr>
          <w:rFonts w:ascii="Times New Roman" w:hAnsi="Times New Roman"/>
          <w:sz w:val="20"/>
        </w:rPr>
        <w:t xml:space="preserve">(b) Subsequent to the execution and delivery of this Agreement and prior to the Closing Date there shall not have occurred any change, or any development involving a prospective change, in the condition, financial or otherwise, or in the earnings, business or operations of the Company and its Subsidiary,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 </w:t>
      </w:r>
    </w:p>
    <w:p>
      <w:pPr>
        <w:pStyle w:val="TextBody"/>
        <w:spacing w:before="120" w:after="0"/>
        <w:jc w:val="left"/>
        <w:rPr>
          <w:rFonts w:ascii="Times New Roman" w:hAnsi="Times New Roman"/>
          <w:sz w:val="20"/>
        </w:rPr>
      </w:pPr>
      <w:r>
        <w:rPr>
          <w:rFonts w:ascii="Times New Roman" w:hAnsi="Times New Roman"/>
          <w:sz w:val="20"/>
        </w:rPr>
        <w:t xml:space="preserve">(c) The Underwriters shall have received on the Closing Date a certificate, dated the Closing Date and signed by an executive officer of the Company on behalf of the Company, to the effect set forth in Section 5(b)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The officer signing and delivering such certificate may rely upon the best of his or her knowledge as to the proceedings threatened. </w:t>
      </w:r>
    </w:p>
    <w:p>
      <w:pPr>
        <w:pStyle w:val="TextBody"/>
        <w:spacing w:before="120" w:after="0"/>
        <w:jc w:val="left"/>
        <w:rPr>
          <w:rFonts w:ascii="Times New Roman" w:hAnsi="Times New Roman"/>
          <w:sz w:val="20"/>
        </w:rPr>
      </w:pPr>
      <w:r>
        <w:rPr>
          <w:rFonts w:ascii="Times New Roman" w:hAnsi="Times New Roman"/>
          <w:sz w:val="20"/>
        </w:rPr>
        <w:t xml:space="preserve">(d) The Underwriters shall have received on the Closing Date an opinion and negative assurance letter from Wilmer Cutler Pickering Hale and Dorr LLP, outside counsel for the Company, dated the Closing Date, in form and substance reasonably satisfactory to the Underwriters. </w:t>
      </w:r>
    </w:p>
    <w:p>
      <w:pPr>
        <w:pStyle w:val="TextBody"/>
        <w:spacing w:before="120" w:after="0"/>
        <w:jc w:val="left"/>
        <w:rPr>
          <w:rFonts w:ascii="Times New Roman" w:hAnsi="Times New Roman"/>
          <w:sz w:val="20"/>
        </w:rPr>
      </w:pPr>
      <w:r>
        <w:rPr>
          <w:rFonts w:ascii="Times New Roman" w:hAnsi="Times New Roman"/>
          <w:sz w:val="20"/>
        </w:rPr>
        <w:t xml:space="preserve">(e) The Underwriters shall have received on the Closing Date an opinion of Goodwin Procter LLP, special counsel to the Company with respect to certain intellectual property matters, dated the Closing Date, in form and substance reasonably satisfactory to the Underwriters. </w:t>
      </w:r>
    </w:p>
    <w:p>
      <w:pPr>
        <w:pStyle w:val="TextBody"/>
        <w:spacing w:before="120" w:after="0"/>
        <w:jc w:val="left"/>
        <w:rPr>
          <w:rFonts w:ascii="Times New Roman" w:hAnsi="Times New Roman"/>
          <w:sz w:val="20"/>
        </w:rPr>
      </w:pPr>
      <w:r>
        <w:rPr>
          <w:rFonts w:ascii="Times New Roman" w:hAnsi="Times New Roman"/>
          <w:sz w:val="20"/>
        </w:rPr>
        <w:t xml:space="preserve">(f) The Underwriters shall have received on the Closing Date an opinion and negative assurance letter from Ropes &amp; Gray LLP, counsel for the Underwriters, dated the Closing Date, in form and substance reasonably satisfactory to the Underwriters.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With respect to Sections 5(d) and 5(f) above, Wilmer Cutler Pickering Hale and Dorr LLP and Ropes &amp; Gray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w:t>
      </w:r>
    </w:p>
    <w:p>
      <w:pPr>
        <w:pStyle w:val="TextBody"/>
        <w:spacing w:before="240" w:after="0"/>
        <w:jc w:val="left"/>
        <w:rPr>
          <w:rFonts w:ascii="Times New Roman" w:hAnsi="Times New Roman"/>
          <w:sz w:val="20"/>
        </w:rPr>
      </w:pPr>
      <w:r>
        <w:rPr>
          <w:rFonts w:ascii="Times New Roman" w:hAnsi="Times New Roman"/>
          <w:sz w:val="20"/>
        </w:rPr>
        <w:t xml:space="preserve">The opinions of Wilmer Cutler Pickering Hale and Dorr LLP and Goodwin Procter LLP described in Sections 5(d) and 5(e) above, respectively, shall be rendered to the Underwriters at the request of the Company and shall so state therein. </w:t>
      </w:r>
    </w:p>
    <w:p>
      <w:pPr>
        <w:pStyle w:val="TextBody"/>
        <w:spacing w:before="120" w:after="0"/>
        <w:jc w:val="left"/>
        <w:rPr>
          <w:rFonts w:ascii="Times New Roman" w:hAnsi="Times New Roman"/>
          <w:sz w:val="20"/>
        </w:rPr>
      </w:pPr>
      <w:r>
        <w:rPr>
          <w:rFonts w:ascii="Times New Roman" w:hAnsi="Times New Roman"/>
          <w:sz w:val="20"/>
        </w:rPr>
        <w:t xml:space="preserve">(g) 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included in the Registration Statement, the Time of Sale Prospectus and the Prospectus; </w:t>
      </w:r>
      <w:r>
        <w:rPr>
          <w:rFonts w:ascii="Times New Roman" w:hAnsi="Times New Roman"/>
          <w:i/>
          <w:sz w:val="20"/>
        </w:rPr>
        <w:t>provided</w:t>
      </w:r>
      <w:r>
        <w:rPr>
          <w:rFonts w:ascii="Times New Roman" w:hAnsi="Times New Roman"/>
          <w:sz w:val="20"/>
        </w:rPr>
        <w:t xml:space="preserve"> that the letter delivered on the Closing Date shall use a cut-off date not earlier than the date hereof. </w:t>
      </w:r>
    </w:p>
    <w:p>
      <w:pPr>
        <w:pStyle w:val="TextBody"/>
        <w:spacing w:before="120" w:after="0"/>
        <w:jc w:val="left"/>
        <w:rPr>
          <w:rFonts w:ascii="Times New Roman" w:hAnsi="Times New Roman"/>
          <w:sz w:val="20"/>
        </w:rPr>
      </w:pPr>
      <w:r>
        <w:rPr>
          <w:rFonts w:ascii="Times New Roman" w:hAnsi="Times New Roman"/>
          <w:sz w:val="20"/>
        </w:rPr>
        <w:t>(h) The lock-up agreements, each substantially in the form of Exhibit A hereto, among SVB Leerink LLC, Piper Sandler &amp; Co. and Stifel, Nicolaus &amp; Company, Incorporated and each of the executive officers and directors and certain security holders of the Company, respectively, relating to sales and certain other dispositions of shares of Common Stock or certain other securities, delivered to the Representatives on or before the date hereof (the </w:t>
      </w:r>
      <w:r>
        <w:rPr>
          <w:rFonts w:ascii="Times New Roman" w:hAnsi="Times New Roman"/>
          <w:b/>
          <w:sz w:val="20"/>
        </w:rPr>
        <w:t>Lock-up Agreements</w:t>
      </w:r>
      <w:r>
        <w:rPr>
          <w:rFonts w:ascii="Times New Roman" w:hAnsi="Times New Roman"/>
          <w:sz w:val="20"/>
        </w:rPr>
        <w:t xml:space="preserve">), shall be in full force and effect on the Closing Date. </w:t>
      </w:r>
    </w:p>
    <w:p>
      <w:pPr>
        <w:pStyle w:val="TextBody"/>
        <w:spacing w:before="120" w:after="0"/>
        <w:jc w:val="left"/>
        <w:rPr>
          <w:rFonts w:ascii="Times New Roman" w:hAnsi="Times New Roman"/>
          <w:sz w:val="20"/>
        </w:rPr>
      </w:pPr>
      <w:r>
        <w:rPr>
          <w:rFonts w:ascii="Times New Roman" w:hAnsi="Times New Roman"/>
          <w:sz w:val="20"/>
        </w:rPr>
        <w:t xml:space="preserve">(i) Delivery to the Underwriters on the Closing Date of such other documents as the Representatives may reasonably request with respect to the good standing of the Company and the Subsidiary, the due authorization and issuance of the Firm Shares to be sold on the Closing Date and other matters related to the issuance of the Firm Shares. </w:t>
      </w:r>
    </w:p>
    <w:p>
      <w:pPr>
        <w:pStyle w:val="TextBody"/>
        <w:spacing w:before="120" w:after="0"/>
        <w:jc w:val="left"/>
        <w:rPr>
          <w:rFonts w:ascii="Times New Roman" w:hAnsi="Times New Roman"/>
          <w:sz w:val="20"/>
        </w:rPr>
      </w:pPr>
      <w:r>
        <w:rPr>
          <w:rFonts w:ascii="Times New Roman" w:hAnsi="Times New Roman"/>
          <w:sz w:val="20"/>
        </w:rPr>
        <w:t xml:space="preserve">(j) The several obligations of the Underwriters to purchase Additional Shares hereunder are subject to the delivery to the Underwriters on the applicable Option Closing Date of the following: </w:t>
      </w:r>
    </w:p>
    <w:p>
      <w:pPr>
        <w:pStyle w:val="TextBody"/>
        <w:spacing w:before="120" w:after="0"/>
        <w:jc w:val="left"/>
        <w:rPr>
          <w:rFonts w:ascii="Times New Roman" w:hAnsi="Times New Roman"/>
          <w:sz w:val="20"/>
        </w:rPr>
      </w:pPr>
      <w:r>
        <w:rPr>
          <w:rFonts w:ascii="Times New Roman" w:hAnsi="Times New Roman"/>
          <w:sz w:val="20"/>
        </w:rPr>
        <w:t xml:space="preserve">(i) a certificate, dated the Option Closing Date and signed by an executive officer of the Company on behalf of the Company, confirming that the certificate delivered on the Closing Date pursuant to Section 5(c) hereof remains true and correct as of such Option Closing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an opinion and negative assurance letter from Wilmer Cutler Pickering Hale and Dorr LLP , outside counsel for the Company, dated the Option Closing Date, relating to the Additional Shares to be purchased on such Option Closing Date and otherwise to the same effect as the opinion required by Section 5(d) hereof; </w:t>
      </w:r>
    </w:p>
    <w:p>
      <w:pPr>
        <w:pStyle w:val="TextBody"/>
        <w:spacing w:before="120" w:after="0"/>
        <w:jc w:val="left"/>
        <w:rPr>
          <w:rFonts w:ascii="Times New Roman" w:hAnsi="Times New Roman"/>
          <w:sz w:val="20"/>
        </w:rPr>
      </w:pPr>
      <w:r>
        <w:rPr>
          <w:rFonts w:ascii="Times New Roman" w:hAnsi="Times New Roman"/>
          <w:sz w:val="20"/>
        </w:rPr>
        <w:t xml:space="preserve">(iii) an opinion of Goodwin Procter LLP, special counsel to the Company with respect to certain intellectual property matters, dated the Option Closing Date and otherwise to the same effect as the opinion required by Section 5(e) hereof; </w:t>
      </w:r>
    </w:p>
    <w:p>
      <w:pPr>
        <w:pStyle w:val="TextBody"/>
        <w:spacing w:before="120" w:after="0"/>
        <w:jc w:val="left"/>
        <w:rPr>
          <w:rFonts w:ascii="Times New Roman" w:hAnsi="Times New Roman"/>
          <w:sz w:val="20"/>
        </w:rPr>
      </w:pPr>
      <w:r>
        <w:rPr>
          <w:rFonts w:ascii="Times New Roman" w:hAnsi="Times New Roman"/>
          <w:sz w:val="20"/>
        </w:rPr>
        <w:t xml:space="preserve">(iv) an opinion and negative assurance letter from Ropes &amp; Gray LLP, counsel for the Underwriters, dated the Option Closing Date, relating to the Additional Shares to be purchased on such Option Closing Date and otherwise to the same effect as the opinion required by Section 5(f) hereof; </w:t>
      </w:r>
    </w:p>
    <w:p>
      <w:pPr>
        <w:pStyle w:val="TextBody"/>
        <w:spacing w:before="120" w:after="0"/>
        <w:jc w:val="left"/>
        <w:rPr>
          <w:rFonts w:ascii="Times New Roman" w:hAnsi="Times New Roman"/>
          <w:sz w:val="20"/>
        </w:rPr>
      </w:pPr>
      <w:r>
        <w:rPr>
          <w:rFonts w:ascii="Times New Roman" w:hAnsi="Times New Roman"/>
          <w:sz w:val="20"/>
        </w:rPr>
        <w:t xml:space="preserve">(v) a letter dated the Option Closing Date, in form and substance satisfactory to the Underwriters, from Ernst &amp; Young LLP, independent public accountants, substantially in the same form and substance as the letter furnished to the Underwriters pursuant to Section 5(g) hereof; </w:t>
      </w:r>
      <w:r>
        <w:rPr>
          <w:rFonts w:ascii="Times New Roman" w:hAnsi="Times New Roman"/>
          <w:i/>
          <w:sz w:val="20"/>
        </w:rPr>
        <w:t>provided</w:t>
      </w:r>
      <w:r>
        <w:rPr>
          <w:rFonts w:ascii="Times New Roman" w:hAnsi="Times New Roman"/>
          <w:sz w:val="20"/>
        </w:rPr>
        <w:t xml:space="preserve"> that the letter delivered on the Option Closing Date shall use a cut-off date not earlier than two business days prior to such Option Closing Date; and </w:t>
      </w:r>
    </w:p>
    <w:p>
      <w:pPr>
        <w:pStyle w:val="TextBody"/>
        <w:spacing w:before="120" w:after="0"/>
        <w:jc w:val="left"/>
        <w:rPr>
          <w:rFonts w:ascii="Times New Roman" w:hAnsi="Times New Roman"/>
          <w:sz w:val="20"/>
        </w:rPr>
      </w:pPr>
      <w:r>
        <w:rPr>
          <w:rFonts w:ascii="Times New Roman" w:hAnsi="Times New Roman"/>
          <w:sz w:val="20"/>
        </w:rPr>
        <w:t xml:space="preserve">(vi) such other documents as the Representatives may reasonably request with respect to the good standing of the Company and its Subsidiary, the due authorization and issuance of the Additional Shares to be sold on such Option Closing Date and other matters related to the issuance of such Additional Shares. </w:t>
      </w:r>
    </w:p>
    <w:p>
      <w:pPr>
        <w:pStyle w:val="TextBody"/>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Covenants of the Company</w:t>
      </w:r>
      <w:r>
        <w:rPr>
          <w:rFonts w:ascii="Times New Roman" w:hAnsi="Times New Roman"/>
          <w:sz w:val="20"/>
        </w:rPr>
        <w:t xml:space="preserve">. The Company covenants with each Underwriter as follows: </w:t>
      </w:r>
    </w:p>
    <w:p>
      <w:pPr>
        <w:pStyle w:val="TextBody"/>
        <w:spacing w:before="120" w:after="0"/>
        <w:jc w:val="left"/>
        <w:rPr>
          <w:rFonts w:ascii="Times New Roman" w:hAnsi="Times New Roman"/>
          <w:sz w:val="20"/>
        </w:rPr>
      </w:pPr>
      <w:r>
        <w:rPr>
          <w:rFonts w:ascii="Times New Roman" w:hAnsi="Times New Roman"/>
          <w:sz w:val="20"/>
        </w:rPr>
        <w:t xml:space="preserve">(a) Upon request of the Representatives, to furnish to the Representatives, without charge, five signed copies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the Representatives in New York City, without charge, prior to 10:00 a.m. New York City time on the second business day succeeding the date of this Agreement and during the periods mentioned in Section 6(e) and 6(f) below, as many copies of the Time of Sale Prospectus, the Prospectus, any documents incorporated by reference therein, and any supplements and amendments thereto or to the Registration Statement as the Representatives may reasonably request.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(b) Before amending or supplementing the Registration Statement, the Time of Sale Prospectus or the Prospectus, during such period as in the opinion of counsel for the Underwriters the Prospectus (or in lieu thereof the notice referred to in Rule 173(a) of the Securities Act) is required by law to be delivered in connection with sales by an Underwriter or dealer (including in circumstances where such requirement may be satisfied pursuant to Rule 172 of the Securities Act) (the </w:t>
      </w:r>
      <w:r>
        <w:rPr>
          <w:rFonts w:ascii="Times New Roman" w:hAnsi="Times New Roman"/>
          <w:b/>
          <w:sz w:val="20"/>
        </w:rPr>
        <w:t>Prospectus Delivery Period</w:t>
      </w:r>
      <w:r>
        <w:rPr>
          <w:rFonts w:ascii="Times New Roman" w:hAnsi="Times New Roman"/>
          <w:sz w:val="20"/>
        </w:rPr>
        <w:t xml:space="preserve">), to furnish to the Representatives a copy of each such proposed amendment or supplement and not to file any such proposed amendment or supplement to which the Representatives reasonably object in a timely manner, and to file with the Commission within the applicable period specified in Rule 424(b) under the Securities Act any prospectus required to be filed pursuant to such Rule. </w:t>
      </w:r>
    </w:p>
    <w:p>
      <w:pPr>
        <w:pStyle w:val="TextBody"/>
        <w:spacing w:before="120" w:after="0"/>
        <w:jc w:val="left"/>
        <w:rPr>
          <w:rFonts w:ascii="Times New Roman" w:hAnsi="Times New Roman"/>
          <w:sz w:val="20"/>
        </w:rPr>
      </w:pPr>
      <w:r>
        <w:rPr>
          <w:rFonts w:ascii="Times New Roman" w:hAnsi="Times New Roman"/>
          <w:sz w:val="20"/>
        </w:rPr>
        <w:t xml:space="preserve">(c) To furnish to the Representatives a copy of each proposed free writing prospectus to be prepared by or on behalf of, used by, or referred to by the Company and not to use or refer to any proposed free writing prospectus to which the Representatives reasonably object. </w:t>
      </w:r>
    </w:p>
    <w:p>
      <w:pPr>
        <w:pStyle w:val="TextBody"/>
        <w:spacing w:before="120" w:after="0"/>
        <w:jc w:val="left"/>
        <w:rPr>
          <w:rFonts w:ascii="Times New Roman" w:hAnsi="Times New Roman"/>
          <w:sz w:val="20"/>
        </w:rPr>
      </w:pPr>
      <w:r>
        <w:rPr>
          <w:rFonts w:ascii="Times New Roman" w:hAnsi="Times New Roman"/>
          <w:sz w:val="20"/>
        </w:rPr>
        <w:t xml:space="preserve">(d)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t>
      </w:r>
    </w:p>
    <w:p>
      <w:pPr>
        <w:pStyle w:val="TextBody"/>
        <w:spacing w:before="120" w:after="0"/>
        <w:jc w:val="left"/>
        <w:rPr>
          <w:rFonts w:ascii="Times New Roman" w:hAnsi="Times New Roman"/>
          <w:sz w:val="20"/>
        </w:rPr>
      </w:pPr>
      <w:r>
        <w:rPr>
          <w:rFonts w:ascii="Times New Roman" w:hAnsi="Times New Roman"/>
          <w:sz w:val="20"/>
        </w:rPr>
        <w:t xml:space="preserve">(e)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 If, during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p>
    <w:p>
      <w:pPr>
        <w:pStyle w:val="TextBody"/>
        <w:spacing w:before="120" w:after="0"/>
        <w:jc w:val="left"/>
        <w:rPr>
          <w:rFonts w:ascii="Times New Roman" w:hAnsi="Times New Roman"/>
          <w:sz w:val="20"/>
        </w:rPr>
      </w:pPr>
      <w:r>
        <w:rPr>
          <w:rFonts w:ascii="Times New Roman" w:hAnsi="Times New Roman"/>
          <w:sz w:val="20"/>
        </w:rPr>
        <w:t xml:space="preserve">(g) If required by applicable law, to endeavor to qualify the Shares for offer and sale under the securities or Blue Sky laws of such jurisdictions as the Representatives shall reasonably request; provided, however, that nothing contained herein shall require the Company to qualify to do business in any jurisdiction, to execute a general consent of service of process in any jurisdiction or to subject itself to taxation in any jurisdiction in which it is not otherwise subject. </w:t>
      </w:r>
    </w:p>
    <w:p>
      <w:pPr>
        <w:pStyle w:val="TextBody"/>
        <w:spacing w:before="120" w:after="0"/>
        <w:jc w:val="left"/>
        <w:rPr>
          <w:rFonts w:ascii="Times New Roman" w:hAnsi="Times New Roman"/>
          <w:sz w:val="20"/>
        </w:rPr>
      </w:pPr>
      <w:r>
        <w:rPr>
          <w:rFonts w:ascii="Times New Roman" w:hAnsi="Times New Roman"/>
          <w:sz w:val="20"/>
        </w:rPr>
        <w:t xml:space="preserve">(h) To make generally available to the Companys security holders and to the Representatives as soon as reasonably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provided that the Company will be deemed to have furnished such statement to its security holders to the extent it is filed on the Commissions Electronic Data Gathering, Analysis and Retrieval System. </w:t>
      </w:r>
    </w:p>
    <w:p>
      <w:pPr>
        <w:pStyle w:val="TextBody"/>
        <w:spacing w:before="120" w:after="0"/>
        <w:jc w:val="left"/>
        <w:rPr>
          <w:rFonts w:ascii="Times New Roman" w:hAnsi="Times New Roman"/>
          <w:sz w:val="20"/>
        </w:rPr>
      </w:pPr>
      <w:r>
        <w:rPr>
          <w:rFonts w:ascii="Times New Roman" w:hAnsi="Times New Roman"/>
          <w:sz w:val="20"/>
        </w:rPr>
        <w:t xml:space="preserve">(i)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securities laws as provided in Section 6(g) hereof, including filing fees and the reasonable and documented fees and disbursements of counsel for the Underwriters in connection with such qualification and in connection with the Blue Sky or Legal Investment memorandum (provided that the amount payable by the Company with respect to the fees and disbursements of counsel for the Underwriters pursuant to clause (iii) shall not exceed $2,500), (iv) all filing fees and the reasonable fees and disbursements of counsel to the Underwriters incurred in connection with the review and qualification of the offering of the Shares by FINRA (provided that the amount payable by the Company with respect to the fees and disbursements of counsel for the Underwriters pursuant to clause (iv) shall not exceed $10,000), (v) all costs and expenses incident to listing the Shares on the Nasdaq Global Market, (vi) the cost of printing certificates, if any,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and travel and lodging expenses of the representatives and officers of the Company and any such consultants,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 </w:t>
      </w:r>
    </w:p>
    <w:p>
      <w:pPr>
        <w:pStyle w:val="TextBody"/>
        <w:spacing w:before="120" w:after="0"/>
        <w:jc w:val="left"/>
        <w:rPr>
          <w:rFonts w:ascii="Times New Roman" w:hAnsi="Times New Roman"/>
          <w:sz w:val="20"/>
        </w:rPr>
      </w:pPr>
      <w:r>
        <w:rPr>
          <w:rFonts w:ascii="Times New Roman" w:hAnsi="Times New Roman"/>
          <w:sz w:val="20"/>
        </w:rPr>
        <w:t xml:space="preserve">(j) 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 </w:t>
      </w:r>
    </w:p>
    <w:p>
      <w:pPr>
        <w:pStyle w:val="TextBody"/>
        <w:spacing w:before="120" w:after="0"/>
        <w:jc w:val="left"/>
        <w:rPr>
          <w:rFonts w:ascii="Times New Roman" w:hAnsi="Times New Roman"/>
          <w:sz w:val="20"/>
        </w:rPr>
      </w:pPr>
      <w:r>
        <w:rPr>
          <w:rFonts w:ascii="Times New Roman" w:hAnsi="Times New Roman"/>
          <w:sz w:val="20"/>
        </w:rPr>
        <w:t xml:space="preserve">(k)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(l) 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 </w:t>
      </w:r>
    </w:p>
    <w:p>
      <w:pPr>
        <w:pStyle w:val="TextBody"/>
        <w:spacing w:before="240" w:after="0"/>
        <w:jc w:val="left"/>
        <w:rPr>
          <w:rFonts w:ascii="Times New Roman" w:hAnsi="Times New Roman"/>
          <w:sz w:val="20"/>
        </w:rPr>
      </w:pPr>
      <w:r>
        <w:rPr>
          <w:rFonts w:ascii="Times New Roman" w:hAnsi="Times New Roman"/>
          <w:sz w:val="20"/>
        </w:rPr>
        <w:t>The Company also covenants with each Underwriter that, without the prior written consent of SVB Leerink LLC, Piper Sandler &amp; Co. and Stifel, Nicolaus &amp; Company, Incorporated on behalf of the Underwriters, it will not, and will not publicly disclose an intention to, during the period ending 60 days after the date of the Prospectus (the </w:t>
      </w:r>
      <w:r>
        <w:rPr>
          <w:rFonts w:ascii="Times New Roman" w:hAnsi="Times New Roman"/>
          <w:b/>
          <w:sz w:val="20"/>
        </w:rPr>
        <w:t>Restricted Period</w:t>
      </w:r>
      <w:r>
        <w:rPr>
          <w:rFonts w:ascii="Times New Roman" w:hAnsi="Times New Roman"/>
          <w:sz w:val="20"/>
        </w:rPr>
        <w:t xml:space="preserve">),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restrictions contained in this paragraph shall not apply to (a) the Shares to be sold hereunder, (b) the issuance by the Company of shares of Common Stock upon the exercise of an option or warrant or the conversion of a security outstanding on the date hereof and described in the Prospectus, (c) the grant by the Company of any options to purchase shares of Common Stock or other awards granted under a stock incentive plan or stock purchase plan described in the Prospectus, and the issuance by the Company of shares of Common Stock upon the exercise thereof, (d) the filing by the Company of any registration statement on Form S-8 or a successor form thereto relating to the shares of Common Stock granted pursuant to or reserved for issuance under a stock incentive plan or stock purchase plan described in the Prospectus or (e) shares of Common Stock or other securities issued in connection with a joint venture, equipment leasing arrangement, licensing or collaboration transaction or other strategic transaction with an unaffiliated third party, provided that (x) the aggregate number of shares issued pursuant to this clause (e) shall not exceed 5% of the total number of outstanding shares of Common Stock immediately following the issuance and sale of the Shares to be sold hereunder and (y) the recipient of any such shares of Common Stock and securities issued pursuant to this clause (e) during the Restricted Period shall enter into an agreement substantially in the form of Exhibit A hereto. </w:t>
      </w:r>
    </w:p>
    <w:p>
      <w:pPr>
        <w:pStyle w:val="TextBody"/>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Covenants of the Underwriters</w:t>
      </w:r>
      <w:r>
        <w:rPr>
          <w:rFonts w:ascii="Times New Roman" w:hAnsi="Times New Roman"/>
          <w:sz w:val="20"/>
        </w:rPr>
        <w:t xml:space="preserve">.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Indemnity and Contribution.</w:t>
      </w:r>
      <w:r>
        <w:rPr>
          <w:rFonts w:ascii="Times New Roman" w:hAnsi="Times New Roman"/>
          <w:sz w:val="20"/>
        </w:rPr>
        <w:t xml:space="preserve">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documented legal or other expenses reasonably incurred in connection with defending or investigating any such action or claim) that arise out of, relate to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Written Testing-the-Waters Communication, or arising out of, related to or based upon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 </w:t>
      </w:r>
    </w:p>
    <w:p>
      <w:pPr>
        <w:pStyle w:val="TextBody"/>
        <w:spacing w:before="120" w:after="0"/>
        <w:jc w:val="left"/>
        <w:rPr>
          <w:rFonts w:ascii="Times New Roman" w:hAnsi="Times New Roman"/>
          <w:sz w:val="20"/>
        </w:rPr>
      </w:pPr>
      <w:r>
        <w:rPr>
          <w:rFonts w:ascii="Times New Roman" w:hAnsi="Times New Roman"/>
          <w:sz w:val="20"/>
        </w:rPr>
        <w:t xml:space="preserve">(b)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w:t>
      </w:r>
    </w:p>
    <w:p>
      <w:pPr>
        <w:pStyle w:val="TextBody"/>
        <w:spacing w:before="120" w:after="0"/>
        <w:jc w:val="left"/>
        <w:rPr>
          <w:rFonts w:ascii="Times New Roman" w:hAnsi="Times New Roman"/>
          <w:sz w:val="20"/>
        </w:rPr>
      </w:pPr>
      <w:r>
        <w:rPr>
          <w:rFonts w:ascii="Times New Roman" w:hAnsi="Times New Roman"/>
          <w:sz w:val="20"/>
        </w:rPr>
        <w:t>(c) In case any proceeding (including any governmental investigation) shall be instituted involving any person in respect of which indemnity may be sought pursuant to Section 8(a) or 8(b),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upon receipt from the indemnified party of a written request for payment thereof.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 statement admitting fault, culpability or a failure to act, by or on behalf of any indemnified party. </w:t>
      </w:r>
    </w:p>
    <w:p>
      <w:pPr>
        <w:pStyle w:val="TextBody"/>
        <w:spacing w:before="120" w:after="0"/>
        <w:jc w:val="left"/>
        <w:rPr>
          <w:rFonts w:ascii="Times New Roman" w:hAnsi="Times New Roman"/>
          <w:sz w:val="20"/>
        </w:rPr>
      </w:pPr>
      <w:r>
        <w:rPr>
          <w:rFonts w:ascii="Times New Roman" w:hAnsi="Times New Roman"/>
          <w:sz w:val="20"/>
        </w:rPr>
        <w:t xml:space="preserve">(d) 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 </w:t>
      </w:r>
    </w:p>
    <w:p>
      <w:pPr>
        <w:pStyle w:val="TextBody"/>
        <w:spacing w:before="120" w:after="0"/>
        <w:jc w:val="left"/>
        <w:rPr>
          <w:rFonts w:ascii="Times New Roman" w:hAnsi="Times New Roman"/>
          <w:sz w:val="20"/>
        </w:rPr>
      </w:pPr>
      <w:r>
        <w:rPr>
          <w:rFonts w:ascii="Times New Roman" w:hAnsi="Times New Roman"/>
          <w:sz w:val="20"/>
        </w:rPr>
        <w:t xml:space="preserve">(e) The Company and the Underwriters agree that it would not be just or equitable if contribution pursuant to this Section 8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underwriting discounts and commissions received by such Underwriter with respect to the Shares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 </w:t>
      </w:r>
    </w:p>
    <w:p>
      <w:pPr>
        <w:pStyle w:val="TextBody"/>
        <w:spacing w:before="120" w:after="0"/>
        <w:jc w:val="left"/>
        <w:rPr>
          <w:rFonts w:ascii="Times New Roman" w:hAnsi="Times New Roman"/>
          <w:sz w:val="20"/>
        </w:rPr>
      </w:pPr>
      <w:r>
        <w:rPr>
          <w:rFonts w:ascii="Times New Roman" w:hAnsi="Times New Roman"/>
          <w:sz w:val="20"/>
        </w:rPr>
        <w:t xml:space="preserve">(f) 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 </w:t>
      </w:r>
    </w:p>
    <w:p>
      <w:pPr>
        <w:pStyle w:val="TextBody"/>
        <w:spacing w:before="120" w:after="0"/>
        <w:jc w:val="left"/>
        <w:rPr>
          <w:rFonts w:ascii="Times New Roman" w:hAnsi="Times New Roman"/>
          <w:sz w:val="20"/>
        </w:rPr>
      </w:pPr>
      <w:r>
        <w:rPr>
          <w:rFonts w:ascii="Times New Roman" w:hAnsi="Times New Roman"/>
          <w:sz w:val="20"/>
        </w:rPr>
        <w:t>9. [</w:t>
      </w:r>
      <w:r>
        <w:rPr>
          <w:rFonts w:ascii="Times New Roman" w:hAnsi="Times New Roman"/>
          <w:i/>
          <w:sz w:val="20"/>
        </w:rPr>
        <w:t>Reserved.</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Termination</w:t>
      </w:r>
      <w:r>
        <w:rPr>
          <w:rFonts w:ascii="Times New Roman" w:hAnsi="Times New Roman"/>
          <w:sz w:val="20"/>
        </w:rPr>
        <w:t xml:space="preserve">. The Underwriters may terminate this Agreement by notice given by the Representatives to the Company, if after the execution and delivery of this Agreement and prior to the Closing Date, or any Option Closing Date, as the case may be, (i) trading generally shall have been suspended or materially limited on, or by, as the case may be, either the New York Stock Exchange or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 </w:t>
      </w:r>
    </w:p>
    <w:p>
      <w:pPr>
        <w:pStyle w:val="TextBody"/>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Effectiveness; Defaulting Underwriters</w:t>
      </w:r>
      <w:r>
        <w:rPr>
          <w:rFonts w:ascii="Times New Roman" w:hAnsi="Times New Roman"/>
          <w:sz w:val="20"/>
        </w:rPr>
        <w:t xml:space="preserve">. This Agreement shall become effective upon the execution and delivery hereof by the parties hereto. </w:t>
      </w:r>
    </w:p>
    <w:p>
      <w:pPr>
        <w:pStyle w:val="TextBody"/>
        <w:spacing w:before="240" w:after="0"/>
        <w:jc w:val="left"/>
        <w:rPr>
          <w:rFonts w:ascii="Times New Roman" w:hAnsi="Times New Roman"/>
          <w:sz w:val="20"/>
        </w:rPr>
      </w:pPr>
      <w:r>
        <w:rPr>
          <w:rFonts w:ascii="Times New Roman" w:hAnsi="Times New Roman"/>
          <w:sz w:val="20"/>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hAnsi="Times New Roman"/>
          <w:i/>
          <w:sz w:val="20"/>
        </w:rPr>
        <w:t>provided</w:t>
      </w:r>
      <w:r>
        <w:rPr>
          <w:rFonts w:ascii="Times New Roman" w:hAnsi="Times New Roman"/>
          <w:sz w:val="20"/>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 </w:t>
      </w:r>
    </w:p>
    <w:p>
      <w:pPr>
        <w:pStyle w:val="TextBody"/>
        <w:spacing w:before="240" w:after="0"/>
        <w:jc w:val="left"/>
        <w:rPr>
          <w:rFonts w:ascii="Times New Roman" w:hAnsi="Times New Roman"/>
          <w:sz w:val="20"/>
        </w:rPr>
      </w:pPr>
      <w:r>
        <w:rPr>
          <w:rFonts w:ascii="Times New Roman" w:hAnsi="Times New Roman"/>
          <w:sz w:val="20"/>
        </w:rPr>
        <w:t xml:space="preserve">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following termination of this Agreement pursuant to clauses (i), (iii), (iv) or (v) of Section 10,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 </w:t>
      </w:r>
    </w:p>
    <w:p>
      <w:pPr>
        <w:pStyle w:val="TextBody"/>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Entire Agreement</w:t>
      </w:r>
      <w:r>
        <w:rPr>
          <w:rFonts w:ascii="Times New Roman" w:hAnsi="Times New Roman"/>
          <w:sz w:val="20"/>
        </w:rPr>
        <w:t xml:space="preserve">. (a) This Agreement, together with any contemporaneous written agreements and any prior 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 </w:t>
      </w:r>
    </w:p>
    <w:p>
      <w:pPr>
        <w:pStyle w:val="TextBody"/>
        <w:spacing w:before="120" w:after="0"/>
        <w:jc w:val="left"/>
        <w:rPr>
          <w:rFonts w:ascii="Times New Roman" w:hAnsi="Times New Roman"/>
          <w:sz w:val="20"/>
        </w:rPr>
      </w:pPr>
      <w:r>
        <w:rPr>
          <w:rFonts w:ascii="Times New Roman" w:hAnsi="Times New Roman"/>
          <w:sz w:val="20"/>
        </w:rPr>
        <w:t xml:space="preserve">(b) 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(iii) the Underwriters may have interests that differ from those of the Company and (iv) the Underwriters are not advising the Company or any other person as to any legal, tax, investment, accounting or regulatory matters in any jurisdiction. The Company waives to the full extent permitted by applicable law any claims it may have against the Underwriters arising from an alleged breach of fiduciary duty in connection with the offering of the Shares. </w:t>
      </w:r>
    </w:p>
    <w:p>
      <w:pPr>
        <w:pStyle w:val="TextBody"/>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Recognition of the U.S. Special Resolution Regimes</w:t>
      </w:r>
      <w:r>
        <w:rPr>
          <w:rFonts w:ascii="Times New Roman" w:hAnsi="Times New Roman"/>
          <w:sz w:val="20"/>
        </w:rPr>
        <w:t xml:space="preserve">.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spacing w:before="240" w:after="0"/>
        <w:jc w:val="left"/>
        <w:rPr>
          <w:rFonts w:ascii="Times New Roman" w:hAnsi="Times New Roman"/>
          <w:sz w:val="20"/>
        </w:rPr>
      </w:pPr>
      <w:r>
        <w:rPr>
          <w:rFonts w:ascii="Times New Roman" w:hAnsi="Times New Roman"/>
          <w:sz w:val="20"/>
        </w:rPr>
        <w:t>For purposes of this Section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Counterparts</w:t>
      </w:r>
      <w:r>
        <w:rPr>
          <w:rFonts w:ascii="Times New Roman" w:hAnsi="Times New Roman"/>
          <w:sz w:val="20"/>
        </w:rPr>
        <w:t xml:space="preserve">.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Applicable Law</w:t>
      </w:r>
      <w:r>
        <w:rPr>
          <w:rFonts w:ascii="Times New Roman" w:hAnsi="Times New Roman"/>
          <w:sz w:val="20"/>
        </w:rPr>
        <w:t xml:space="preserve">. This Agreement shall be governed by and construed in accordance with the internal laws of the State of New York. </w:t>
      </w:r>
    </w:p>
    <w:p>
      <w:pPr>
        <w:pStyle w:val="TextBody"/>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Notices</w:t>
      </w:r>
      <w:r>
        <w:rPr>
          <w:rFonts w:ascii="Times New Roman" w:hAnsi="Times New Roman"/>
          <w:sz w:val="20"/>
        </w:rPr>
        <w:t xml:space="preserve">. All communications hereunder shall be in writing and effective only upon receipt and if to the Underwriters shall be delivered, mailed or sent to the Representatives in care of SVB Leerink LLC, 1301 Avenue of the Americas, 12th Floor, New York, New York 10019, Attention Stuart Nayman; and in care of Piper Sandler &amp; Co. Attention: General Counsel at 800 Nicollet Mall, Minneapolis, MN 55402 and LegalCapMarkets@psc.com; in care of Stifel, Nicolaus &amp; Company, Incorporated, One Montgomery Street, Suite 3700, San Francisco, CA 94104, and in each case, with a copy (which copy shall not constitute notice) to Ropes &amp; Gray LLP, Prudential Tower, 800 Boylston Street, Boston, Massachusetts, 02199, Attention: Patrick OBrien; and if to the Company shall be delivered, mailed or sent to Fulcrum Therapeutics, Inc., 26 Landsdowne Street, Cambridge, Massachusetts 02139, Attention: Chief Executive Officer, with a copy (which copy shall not constitute notice) to Wilmer Cutler Pickering Hale and Dorr LLP, 60 State Street, Boston, Massachusetts 02109, Attention: Lia Der Marderosian.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78"/>
        <w:gridCol w:w="61"/>
        <w:gridCol w:w="3643"/>
      </w:tblGrid>
      <w:tr>
        <w:trPr/>
        <w:tc>
          <w:tcPr>
            <w:tcW w:w="378"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4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Very truly yours,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Fulcrum Therapeutics, Inc.</w:t>
            </w:r>
          </w:p>
        </w:tc>
      </w:tr>
      <w:tr>
        <w:trPr>
          <w:trHeight w:val="240" w:hRule="atLeast"/>
        </w:trPr>
        <w:tc>
          <w:tcPr>
            <w:tcW w:w="378" w:type="dxa"/>
            <w:tcBorders/>
            <w:shd w:fill="auto" w:val="clear"/>
            <w:vAlign w:val="center"/>
          </w:tcPr>
          <w:p>
            <w:pPr>
              <w:pStyle w:val="TableContents"/>
              <w:spacing w:before="0" w:after="283"/>
              <w:rPr>
                <w:sz w:val="4"/>
                <w:szCs w:val="4"/>
              </w:rPr>
            </w:pPr>
            <w:r>
              <w:rPr>
                <w:sz w:val="4"/>
                <w:szCs w:val="4"/>
              </w:rPr>
            </w:r>
          </w:p>
        </w:tc>
        <w:tc>
          <w:tcPr>
            <w:tcW w:w="3704" w:type="dxa"/>
            <w:gridSpan w:val="2"/>
            <w:tcBorders/>
            <w:shd w:fill="auto" w:val="clear"/>
            <w:vAlign w:val="center"/>
          </w:tcPr>
          <w:p>
            <w:pPr>
              <w:pStyle w:val="TableContents"/>
              <w:spacing w:before="0" w:after="283"/>
              <w:rPr>
                <w:sz w:val="4"/>
                <w:szCs w:val="4"/>
              </w:rPr>
            </w:pPr>
            <w:r>
              <w:rPr>
                <w:sz w:val="4"/>
                <w:szCs w:val="4"/>
              </w:rPr>
            </w:r>
          </w:p>
        </w:tc>
      </w:tr>
      <w:tr>
        <w:trPr/>
        <w:tc>
          <w:tcPr>
            <w:tcW w:w="378"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3"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Bryan Stuart</w:t>
            </w:r>
          </w:p>
        </w:tc>
      </w:tr>
      <w:tr>
        <w:trPr/>
        <w:tc>
          <w:tcPr>
            <w:tcW w:w="37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3" w:type="dxa"/>
            <w:tcBorders/>
            <w:shd w:fill="auto" w:val="clear"/>
          </w:tcPr>
          <w:p>
            <w:pPr>
              <w:pStyle w:val="TableContents"/>
              <w:spacing w:before="0" w:after="283"/>
              <w:rPr/>
            </w:pPr>
            <w:r>
              <w:rPr/>
              <w:t>Name: Bryan Stuart</w:t>
            </w:r>
          </w:p>
        </w:tc>
      </w:tr>
      <w:tr>
        <w:trPr/>
        <w:tc>
          <w:tcPr>
            <w:tcW w:w="37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3" w:type="dxa"/>
            <w:tcBorders/>
            <w:shd w:fill="auto" w:val="clear"/>
          </w:tcPr>
          <w:p>
            <w:pPr>
              <w:pStyle w:val="TableContents"/>
              <w:spacing w:before="0" w:after="283"/>
              <w:rPr/>
            </w:pPr>
            <w:r>
              <w:rPr/>
              <w:t>Title: President &amp; CEO</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Accepted as of the date hereof</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SVB Leerink LLC</w:t>
            </w:r>
          </w:p>
          <w:p>
            <w:pPr>
              <w:pStyle w:val="TableContents"/>
              <w:spacing w:before="0" w:after="0"/>
              <w:rPr>
                <w:rFonts w:ascii="Times New Roman" w:hAnsi="Times New Roman"/>
                <w:sz w:val="20"/>
              </w:rPr>
            </w:pPr>
            <w:r>
              <w:rPr>
                <w:rFonts w:ascii="Times New Roman" w:hAnsi="Times New Roman"/>
                <w:sz w:val="20"/>
              </w:rPr>
              <w:t>Piper Sandler &amp; Co.</w:t>
            </w:r>
          </w:p>
          <w:p>
            <w:pPr>
              <w:pStyle w:val="TableContents"/>
              <w:spacing w:before="0" w:after="20"/>
              <w:rPr>
                <w:rFonts w:ascii="Times New Roman" w:hAnsi="Times New Roman"/>
                <w:sz w:val="20"/>
              </w:rPr>
            </w:pPr>
            <w:r>
              <w:rPr>
                <w:rFonts w:ascii="Times New Roman" w:hAnsi="Times New Roman"/>
                <w:sz w:val="20"/>
              </w:rPr>
              <w:t>Stifel, Nicolaus &amp; Company, Incorporated</w:t>
            </w:r>
          </w:p>
        </w:tc>
      </w:tr>
      <w:tr>
        <w:trPr>
          <w:trHeight w:val="24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Acting severally on behalf of themselves and</w:t>
            </w:r>
          </w:p>
          <w:p>
            <w:pPr>
              <w:pStyle w:val="TableContents"/>
              <w:spacing w:before="0" w:after="0"/>
              <w:rPr>
                <w:rFonts w:ascii="Times New Roman" w:hAnsi="Times New Roman"/>
                <w:sz w:val="20"/>
              </w:rPr>
            </w:pPr>
            <w:r>
              <w:rPr>
                <w:rFonts w:ascii="Times New Roman" w:hAnsi="Times New Roman"/>
                <w:sz w:val="20"/>
              </w:rPr>
              <w:t>the several Underwriters named in</w:t>
            </w:r>
          </w:p>
          <w:p>
            <w:pPr>
              <w:pStyle w:val="TableContents"/>
              <w:spacing w:before="0" w:after="20"/>
              <w:rPr>
                <w:rFonts w:ascii="Times New Roman" w:hAnsi="Times New Roman"/>
                <w:sz w:val="20"/>
              </w:rPr>
            </w:pPr>
            <w:r>
              <w:rPr>
                <w:rFonts w:ascii="Times New Roman" w:hAnsi="Times New Roman"/>
                <w:sz w:val="20"/>
              </w:rPr>
              <w:t>Schedule I hereto.</w:t>
            </w:r>
          </w:p>
        </w:tc>
      </w:tr>
    </w:tbl>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75"/>
        <w:gridCol w:w="60"/>
        <w:gridCol w:w="3647"/>
      </w:tblGrid>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7" w:type="dxa"/>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47" w:type="dxa"/>
            <w:tcBorders/>
            <w:shd w:fill="auto" w:val="clear"/>
          </w:tcPr>
          <w:p>
            <w:pPr>
              <w:pStyle w:val="TableContents"/>
              <w:spacing w:before="0" w:after="283"/>
              <w:rPr/>
            </w:pPr>
            <w:r>
              <w:rPr/>
              <w:t>SVB Leerink LLC</w:t>
            </w:r>
          </w:p>
        </w:tc>
      </w:tr>
      <w:tr>
        <w:trPr>
          <w:trHeight w:val="240" w:hRule="atLeast"/>
        </w:trPr>
        <w:tc>
          <w:tcPr>
            <w:tcW w:w="375" w:type="dxa"/>
            <w:tcBorders/>
            <w:shd w:fill="auto" w:val="clear"/>
            <w:vAlign w:val="center"/>
          </w:tcPr>
          <w:p>
            <w:pPr>
              <w:pStyle w:val="TableContents"/>
              <w:spacing w:before="0" w:after="283"/>
              <w:rPr>
                <w:sz w:val="4"/>
                <w:szCs w:val="4"/>
              </w:rPr>
            </w:pPr>
            <w:r>
              <w:rPr>
                <w:sz w:val="4"/>
                <w:szCs w:val="4"/>
              </w:rPr>
            </w:r>
          </w:p>
        </w:tc>
        <w:tc>
          <w:tcPr>
            <w:tcW w:w="3707" w:type="dxa"/>
            <w:gridSpan w:val="2"/>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47"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Dan Dubin</w:t>
            </w:r>
          </w:p>
        </w:tc>
      </w:tr>
      <w:tr>
        <w:trPr/>
        <w:tc>
          <w:tcPr>
            <w:tcW w:w="3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7" w:type="dxa"/>
            <w:tcBorders/>
            <w:shd w:fill="auto" w:val="clear"/>
          </w:tcPr>
          <w:p>
            <w:pPr>
              <w:pStyle w:val="TableContents"/>
              <w:spacing w:before="0" w:after="283"/>
              <w:rPr/>
            </w:pPr>
            <w:r>
              <w:rPr/>
              <w:t>Name: Dan Dubin</w:t>
            </w:r>
          </w:p>
        </w:tc>
      </w:tr>
      <w:tr>
        <w:trPr/>
        <w:tc>
          <w:tcPr>
            <w:tcW w:w="3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7" w:type="dxa"/>
            <w:tcBorders/>
            <w:shd w:fill="auto" w:val="clear"/>
          </w:tcPr>
          <w:p>
            <w:pPr>
              <w:pStyle w:val="TableContents"/>
              <w:spacing w:before="0" w:after="283"/>
              <w:rPr/>
            </w:pPr>
            <w:r>
              <w:rPr/>
              <w:t>Title: Vice Chairman, Global Co-Head of Investment Banking</w:t>
            </w:r>
          </w:p>
        </w:tc>
      </w:tr>
    </w:tbl>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67"/>
        <w:gridCol w:w="60"/>
        <w:gridCol w:w="3655"/>
      </w:tblGrid>
      <w:tr>
        <w:trPr/>
        <w:tc>
          <w:tcPr>
            <w:tcW w:w="3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5" w:type="dxa"/>
            <w:tcBorders/>
            <w:shd w:fill="auto" w:val="clear"/>
            <w:vAlign w:val="center"/>
          </w:tcPr>
          <w:p>
            <w:pPr>
              <w:pStyle w:val="TableContents"/>
              <w:spacing w:before="0" w:after="283"/>
              <w:rPr>
                <w:sz w:val="4"/>
                <w:szCs w:val="4"/>
              </w:rPr>
            </w:pPr>
            <w:r>
              <w:rPr>
                <w:sz w:val="4"/>
                <w:szCs w:val="4"/>
              </w:rPr>
            </w:r>
          </w:p>
        </w:tc>
      </w:tr>
      <w:tr>
        <w:trPr/>
        <w:tc>
          <w:tcPr>
            <w:tcW w:w="367"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5" w:type="dxa"/>
            <w:tcBorders/>
            <w:shd w:fill="auto" w:val="clear"/>
          </w:tcPr>
          <w:p>
            <w:pPr>
              <w:pStyle w:val="TableContents"/>
              <w:spacing w:before="0" w:after="283"/>
              <w:rPr/>
            </w:pPr>
            <w:r>
              <w:rPr/>
              <w:t>Piper Sandler &amp; Co.</w:t>
            </w:r>
          </w:p>
        </w:tc>
      </w:tr>
      <w:tr>
        <w:trPr>
          <w:trHeight w:val="240" w:hRule="atLeast"/>
        </w:trPr>
        <w:tc>
          <w:tcPr>
            <w:tcW w:w="367" w:type="dxa"/>
            <w:tcBorders/>
            <w:shd w:fill="auto" w:val="clear"/>
            <w:vAlign w:val="center"/>
          </w:tcPr>
          <w:p>
            <w:pPr>
              <w:pStyle w:val="TableContents"/>
              <w:spacing w:before="0" w:after="283"/>
              <w:rPr>
                <w:sz w:val="4"/>
                <w:szCs w:val="4"/>
              </w:rPr>
            </w:pPr>
            <w:r>
              <w:rPr>
                <w:sz w:val="4"/>
                <w:szCs w:val="4"/>
              </w:rPr>
            </w:r>
          </w:p>
        </w:tc>
        <w:tc>
          <w:tcPr>
            <w:tcW w:w="3715" w:type="dxa"/>
            <w:gridSpan w:val="2"/>
            <w:tcBorders/>
            <w:shd w:fill="auto" w:val="clear"/>
            <w:vAlign w:val="center"/>
          </w:tcPr>
          <w:p>
            <w:pPr>
              <w:pStyle w:val="TableContents"/>
              <w:spacing w:before="0" w:after="283"/>
              <w:rPr>
                <w:sz w:val="4"/>
                <w:szCs w:val="4"/>
              </w:rPr>
            </w:pPr>
            <w:r>
              <w:rPr>
                <w:sz w:val="4"/>
                <w:szCs w:val="4"/>
              </w:rPr>
            </w:r>
          </w:p>
        </w:tc>
      </w:tr>
      <w:tr>
        <w:trPr/>
        <w:tc>
          <w:tcPr>
            <w:tcW w:w="367"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Neil Riley</w:t>
            </w:r>
          </w:p>
        </w:tc>
      </w:tr>
      <w:tr>
        <w:trPr/>
        <w:tc>
          <w:tcPr>
            <w:tcW w:w="36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5" w:type="dxa"/>
            <w:tcBorders/>
            <w:shd w:fill="auto" w:val="clear"/>
          </w:tcPr>
          <w:p>
            <w:pPr>
              <w:pStyle w:val="TableContents"/>
              <w:spacing w:before="0" w:after="283"/>
              <w:rPr/>
            </w:pPr>
            <w:r>
              <w:rPr/>
              <w:t>Name: Neil Riley</w:t>
            </w:r>
          </w:p>
        </w:tc>
      </w:tr>
      <w:tr>
        <w:trPr/>
        <w:tc>
          <w:tcPr>
            <w:tcW w:w="36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5" w:type="dxa"/>
            <w:tcBorders/>
            <w:shd w:fill="auto" w:val="clear"/>
          </w:tcPr>
          <w:p>
            <w:pPr>
              <w:pStyle w:val="TableContents"/>
              <w:spacing w:before="0" w:after="283"/>
              <w:rPr/>
            </w:pPr>
            <w:r>
              <w:rPr/>
              <w:t>Title: Managing Director</w:t>
            </w:r>
          </w:p>
        </w:tc>
      </w:tr>
    </w:tbl>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72"/>
        <w:gridCol w:w="61"/>
        <w:gridCol w:w="3649"/>
      </w:tblGrid>
      <w:tr>
        <w:trPr/>
        <w:tc>
          <w:tcPr>
            <w:tcW w:w="3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49" w:type="dxa"/>
            <w:tcBorders/>
            <w:shd w:fill="auto" w:val="clear"/>
            <w:vAlign w:val="center"/>
          </w:tcPr>
          <w:p>
            <w:pPr>
              <w:pStyle w:val="TableContents"/>
              <w:spacing w:before="0" w:after="283"/>
              <w:rPr>
                <w:sz w:val="4"/>
                <w:szCs w:val="4"/>
              </w:rPr>
            </w:pPr>
            <w:r>
              <w:rPr>
                <w:sz w:val="4"/>
                <w:szCs w:val="4"/>
              </w:rPr>
            </w:r>
          </w:p>
        </w:tc>
      </w:tr>
      <w:tr>
        <w:trPr/>
        <w:tc>
          <w:tcPr>
            <w:tcW w:w="372"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9" w:type="dxa"/>
            <w:tcBorders/>
            <w:shd w:fill="auto" w:val="clear"/>
          </w:tcPr>
          <w:p>
            <w:pPr>
              <w:pStyle w:val="TableContents"/>
              <w:spacing w:before="0" w:after="283"/>
              <w:rPr/>
            </w:pPr>
            <w:r>
              <w:rPr/>
              <w:t>Stifel, Nicolaus &amp; Company, Incorporated</w:t>
            </w:r>
          </w:p>
        </w:tc>
      </w:tr>
      <w:tr>
        <w:trPr>
          <w:trHeight w:val="240" w:hRule="atLeast"/>
        </w:trPr>
        <w:tc>
          <w:tcPr>
            <w:tcW w:w="372" w:type="dxa"/>
            <w:tcBorders/>
            <w:shd w:fill="auto" w:val="clear"/>
            <w:vAlign w:val="center"/>
          </w:tcPr>
          <w:p>
            <w:pPr>
              <w:pStyle w:val="TableContents"/>
              <w:spacing w:before="0" w:after="283"/>
              <w:rPr>
                <w:sz w:val="4"/>
                <w:szCs w:val="4"/>
              </w:rPr>
            </w:pPr>
            <w:r>
              <w:rPr>
                <w:sz w:val="4"/>
                <w:szCs w:val="4"/>
              </w:rPr>
            </w:r>
          </w:p>
        </w:tc>
        <w:tc>
          <w:tcPr>
            <w:tcW w:w="3710" w:type="dxa"/>
            <w:gridSpan w:val="2"/>
            <w:tcBorders/>
            <w:shd w:fill="auto" w:val="clear"/>
            <w:vAlign w:val="center"/>
          </w:tcPr>
          <w:p>
            <w:pPr>
              <w:pStyle w:val="TableContents"/>
              <w:spacing w:before="0" w:after="283"/>
              <w:rPr>
                <w:sz w:val="4"/>
                <w:szCs w:val="4"/>
              </w:rPr>
            </w:pPr>
            <w:r>
              <w:rPr>
                <w:sz w:val="4"/>
                <w:szCs w:val="4"/>
              </w:rPr>
            </w:r>
          </w:p>
        </w:tc>
      </w:tr>
      <w:tr>
        <w:trPr/>
        <w:tc>
          <w:tcPr>
            <w:tcW w:w="372"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9"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Nathan Thompson</w:t>
            </w:r>
          </w:p>
        </w:tc>
      </w:tr>
      <w:tr>
        <w:trPr/>
        <w:tc>
          <w:tcPr>
            <w:tcW w:w="372"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9" w:type="dxa"/>
            <w:tcBorders/>
            <w:shd w:fill="auto" w:val="clear"/>
          </w:tcPr>
          <w:p>
            <w:pPr>
              <w:pStyle w:val="TableContents"/>
              <w:spacing w:before="0" w:after="283"/>
              <w:rPr/>
            </w:pPr>
            <w:r>
              <w:rPr/>
              <w:t>Name: Nathan Thompson</w:t>
            </w:r>
          </w:p>
        </w:tc>
      </w:tr>
      <w:tr>
        <w:trPr/>
        <w:tc>
          <w:tcPr>
            <w:tcW w:w="372"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9" w:type="dxa"/>
            <w:tcBorders/>
            <w:shd w:fill="auto" w:val="clear"/>
          </w:tcPr>
          <w:p>
            <w:pPr>
              <w:pStyle w:val="TableContents"/>
              <w:spacing w:before="0" w:after="283"/>
              <w:rPr/>
            </w:pPr>
            <w:r>
              <w:rPr/>
              <w:t>Title: Director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536"/>
        <w:gridCol w:w="801"/>
        <w:gridCol w:w="161"/>
        <w:gridCol w:w="2645"/>
        <w:gridCol w:w="62"/>
      </w:tblGrid>
      <w:tr>
        <w:trPr/>
        <w:tc>
          <w:tcPr>
            <w:tcW w:w="6536"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64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6536"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Underwriter</w:t>
            </w:r>
          </w:p>
        </w:tc>
        <w:tc>
          <w:tcPr>
            <w:tcW w:w="801" w:type="dxa"/>
            <w:tcBorders/>
            <w:shd w:fill="auto" w:val="clear"/>
            <w:vAlign w:val="bottom"/>
          </w:tcPr>
          <w:p>
            <w:pPr>
              <w:pStyle w:val="TableContents"/>
              <w:spacing w:before="0" w:after="283"/>
              <w:rPr/>
            </w:pPr>
            <w:r>
              <w:rPr/>
              <w:t>  </w:t>
            </w:r>
          </w:p>
        </w:tc>
        <w:tc>
          <w:tcPr>
            <w:tcW w:w="28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Firm Shares To</w:t>
              <w:br/>
              <w:t>Be Purchased</w:t>
            </w:r>
          </w:p>
        </w:tc>
        <w:tc>
          <w:tcPr>
            <w:tcW w:w="62"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0"/>
              <w:rPr>
                <w:rFonts w:ascii="Times New Roman" w:hAnsi="Times New Roman"/>
                <w:sz w:val="20"/>
              </w:rPr>
            </w:pPr>
            <w:r>
              <w:rPr>
                <w:rFonts w:ascii="Times New Roman" w:hAnsi="Times New Roman"/>
                <w:sz w:val="20"/>
              </w:rPr>
              <w:t>SVB Leerink LLC</w:t>
            </w:r>
          </w:p>
        </w:tc>
        <w:tc>
          <w:tcPr>
            <w:tcW w:w="8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645" w:type="dxa"/>
            <w:tcBorders/>
            <w:shd w:fill="CCEEFF" w:val="clear"/>
            <w:vAlign w:val="bottom"/>
          </w:tcPr>
          <w:p>
            <w:pPr>
              <w:pStyle w:val="TableContents"/>
              <w:spacing w:before="0" w:after="283"/>
              <w:jc w:val="right"/>
              <w:rPr/>
            </w:pPr>
            <w:r>
              <w:rPr/>
              <w:t>2,376,000</w:t>
            </w:r>
          </w:p>
        </w:tc>
        <w:tc>
          <w:tcPr>
            <w:tcW w:w="62" w:type="dxa"/>
            <w:tcBorders/>
            <w:shd w:fill="CCEEFF" w:val="clear"/>
            <w:vAlign w:val="bottom"/>
          </w:tcPr>
          <w:p>
            <w:pPr>
              <w:pStyle w:val="TableContents"/>
              <w:spacing w:before="0" w:after="283"/>
              <w:rPr/>
            </w:pPr>
            <w:r>
              <w:rPr/>
              <w:t> </w:t>
            </w:r>
          </w:p>
        </w:tc>
      </w:tr>
      <w:tr>
        <w:trPr/>
        <w:tc>
          <w:tcPr>
            <w:tcW w:w="6536" w:type="dxa"/>
            <w:tcBorders/>
            <w:shd w:fill="auto" w:val="clear"/>
          </w:tcPr>
          <w:p>
            <w:pPr>
              <w:pStyle w:val="TableContents"/>
              <w:spacing w:before="0" w:after="0"/>
              <w:rPr>
                <w:rFonts w:ascii="Times New Roman" w:hAnsi="Times New Roman"/>
                <w:sz w:val="20"/>
              </w:rPr>
            </w:pPr>
            <w:r>
              <w:rPr>
                <w:rFonts w:ascii="Times New Roman" w:hAnsi="Times New Roman"/>
                <w:sz w:val="20"/>
              </w:rPr>
              <w:t>Piper Sandler &amp; Co.</w:t>
            </w:r>
          </w:p>
        </w:tc>
        <w:tc>
          <w:tcPr>
            <w:tcW w:w="8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645" w:type="dxa"/>
            <w:tcBorders/>
            <w:shd w:fill="auto" w:val="clear"/>
            <w:vAlign w:val="bottom"/>
          </w:tcPr>
          <w:p>
            <w:pPr>
              <w:pStyle w:val="TableContents"/>
              <w:spacing w:before="0" w:after="283"/>
              <w:jc w:val="right"/>
              <w:rPr/>
            </w:pPr>
            <w:r>
              <w:rPr/>
              <w:t>2,046,000</w:t>
            </w:r>
          </w:p>
        </w:tc>
        <w:tc>
          <w:tcPr>
            <w:tcW w:w="62"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0"/>
              <w:rPr>
                <w:rFonts w:ascii="Times New Roman" w:hAnsi="Times New Roman"/>
                <w:sz w:val="20"/>
              </w:rPr>
            </w:pPr>
            <w:r>
              <w:rPr>
                <w:rFonts w:ascii="Times New Roman" w:hAnsi="Times New Roman"/>
                <w:sz w:val="20"/>
              </w:rPr>
              <w:t>Stifel, Nicolaus &amp; Company, Incorporated</w:t>
            </w:r>
          </w:p>
        </w:tc>
        <w:tc>
          <w:tcPr>
            <w:tcW w:w="8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645" w:type="dxa"/>
            <w:tcBorders/>
            <w:shd w:fill="CCEEFF" w:val="clear"/>
            <w:vAlign w:val="bottom"/>
          </w:tcPr>
          <w:p>
            <w:pPr>
              <w:pStyle w:val="TableContents"/>
              <w:spacing w:before="0" w:after="283"/>
              <w:jc w:val="right"/>
              <w:rPr/>
            </w:pPr>
            <w:r>
              <w:rPr/>
              <w:t>1,914,000</w:t>
            </w:r>
          </w:p>
        </w:tc>
        <w:tc>
          <w:tcPr>
            <w:tcW w:w="62" w:type="dxa"/>
            <w:tcBorders/>
            <w:shd w:fill="CCEEFF" w:val="clear"/>
            <w:vAlign w:val="bottom"/>
          </w:tcPr>
          <w:p>
            <w:pPr>
              <w:pStyle w:val="TableContents"/>
              <w:spacing w:before="0" w:after="283"/>
              <w:rPr/>
            </w:pPr>
            <w:r>
              <w:rPr/>
              <w:t> </w:t>
            </w:r>
          </w:p>
        </w:tc>
      </w:tr>
      <w:tr>
        <w:trPr/>
        <w:tc>
          <w:tcPr>
            <w:tcW w:w="6536" w:type="dxa"/>
            <w:tcBorders/>
            <w:shd w:fill="auto" w:val="clear"/>
          </w:tcPr>
          <w:p>
            <w:pPr>
              <w:pStyle w:val="TableContents"/>
              <w:spacing w:before="0" w:after="0"/>
              <w:rPr>
                <w:rFonts w:ascii="Times New Roman" w:hAnsi="Times New Roman"/>
                <w:sz w:val="20"/>
              </w:rPr>
            </w:pPr>
            <w:r>
              <w:rPr>
                <w:rFonts w:ascii="Times New Roman" w:hAnsi="Times New Roman"/>
                <w:sz w:val="20"/>
              </w:rPr>
              <w:t>H.C. Wainwright &amp; Co., LLC</w:t>
            </w:r>
          </w:p>
        </w:tc>
        <w:tc>
          <w:tcPr>
            <w:tcW w:w="8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645" w:type="dxa"/>
            <w:tcBorders/>
            <w:shd w:fill="auto" w:val="clear"/>
            <w:vAlign w:val="bottom"/>
          </w:tcPr>
          <w:p>
            <w:pPr>
              <w:pStyle w:val="TableContents"/>
              <w:spacing w:before="0" w:after="283"/>
              <w:jc w:val="right"/>
              <w:rPr/>
            </w:pPr>
            <w:r>
              <w:rPr/>
              <w:t>264,000</w:t>
            </w:r>
          </w:p>
        </w:tc>
        <w:tc>
          <w:tcPr>
            <w:tcW w:w="62" w:type="dxa"/>
            <w:tcBorders/>
            <w:shd w:fill="auto" w:val="clear"/>
            <w:vAlign w:val="bottom"/>
          </w:tcPr>
          <w:p>
            <w:pPr>
              <w:pStyle w:val="TableContents"/>
              <w:spacing w:before="0" w:after="283"/>
              <w:rPr/>
            </w:pPr>
            <w:r>
              <w:rPr/>
              <w:t> </w:t>
            </w:r>
          </w:p>
        </w:tc>
      </w:tr>
      <w:tr>
        <w:trPr/>
        <w:tc>
          <w:tcPr>
            <w:tcW w:w="6536" w:type="dxa"/>
            <w:tcBorders/>
            <w:shd w:fill="auto" w:val="clear"/>
            <w:vAlign w:val="bottom"/>
          </w:tcPr>
          <w:p>
            <w:pPr>
              <w:pStyle w:val="TableContents"/>
              <w:spacing w:before="0" w:after="283"/>
              <w:rPr>
                <w:sz w:val="4"/>
                <w:szCs w:val="4"/>
              </w:rPr>
            </w:pPr>
            <w:r>
              <w:rPr>
                <w:sz w:val="4"/>
                <w:szCs w:val="4"/>
              </w:rPr>
            </w:r>
          </w:p>
        </w:tc>
        <w:tc>
          <w:tcPr>
            <w:tcW w:w="8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0"/>
              <w:rPr/>
            </w:pPr>
            <w:r>
              <w:rPr/>
              <w:t> </w:t>
            </w:r>
          </w:p>
        </w:tc>
        <w:tc>
          <w:tcPr>
            <w:tcW w:w="2645"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6536"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80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2645" w:type="dxa"/>
            <w:tcBorders/>
            <w:shd w:fill="CCEEFF" w:val="clear"/>
            <w:vAlign w:val="bottom"/>
          </w:tcPr>
          <w:p>
            <w:pPr>
              <w:pStyle w:val="TableContents"/>
              <w:spacing w:before="0" w:after="283"/>
              <w:jc w:val="right"/>
              <w:rPr/>
            </w:pPr>
            <w:r>
              <w:rPr/>
              <w:t>6,600,000</w:t>
            </w:r>
          </w:p>
        </w:tc>
        <w:tc>
          <w:tcPr>
            <w:tcW w:w="62" w:type="dxa"/>
            <w:tcBorders/>
            <w:shd w:fill="CCEEFF" w:val="clear"/>
            <w:vAlign w:val="bottom"/>
          </w:tcPr>
          <w:p>
            <w:pPr>
              <w:pStyle w:val="TableContents"/>
              <w:spacing w:before="0" w:after="283"/>
              <w:rPr/>
            </w:pPr>
            <w:r>
              <w:rPr/>
              <w:t> </w:t>
            </w:r>
          </w:p>
        </w:tc>
      </w:tr>
      <w:tr>
        <w:trPr/>
        <w:tc>
          <w:tcPr>
            <w:tcW w:w="6536" w:type="dxa"/>
            <w:tcBorders/>
            <w:shd w:fill="auto" w:val="clear"/>
            <w:vAlign w:val="bottom"/>
          </w:tcPr>
          <w:p>
            <w:pPr>
              <w:pStyle w:val="TableContents"/>
              <w:spacing w:before="0" w:after="283"/>
              <w:rPr>
                <w:sz w:val="4"/>
                <w:szCs w:val="4"/>
              </w:rPr>
            </w:pPr>
            <w:r>
              <w:rPr>
                <w:sz w:val="4"/>
                <w:szCs w:val="4"/>
              </w:rPr>
            </w:r>
          </w:p>
        </w:tc>
        <w:tc>
          <w:tcPr>
            <w:tcW w:w="80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0"/>
              <w:rPr/>
            </w:pPr>
            <w:r>
              <w:rPr/>
              <w:t> </w:t>
            </w:r>
          </w:p>
        </w:tc>
        <w:tc>
          <w:tcPr>
            <w:tcW w:w="2645"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SCHEDULE II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Prospectus issued August 10,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Identify all free writing prospectuses filed by the Company under Rule 433(d) of the Securities Act: None.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public offering price per share for the Shares is $19.00.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Firm Shares is 6,600,000.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Additional Shares is 990,000.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SCHEDULE III </w:t>
      </w:r>
    </w:p>
    <w:p>
      <w:pPr>
        <w:pStyle w:val="TextBody"/>
        <w:spacing w:before="240" w:after="0"/>
        <w:jc w:val="center"/>
        <w:rPr>
          <w:rFonts w:ascii="Times New Roman" w:hAnsi="Times New Roman"/>
          <w:b/>
          <w:sz w:val="20"/>
        </w:rPr>
      </w:pPr>
      <w:r>
        <w:rPr>
          <w:rFonts w:ascii="Times New Roman" w:hAnsi="Times New Roman"/>
          <w:b/>
          <w:sz w:val="20"/>
        </w:rPr>
        <w:t xml:space="preserve">Written Testing-the-Waters Communications </w:t>
      </w:r>
    </w:p>
    <w:p>
      <w:pPr>
        <w:pStyle w:val="TextBody"/>
        <w:spacing w:before="240" w:after="0"/>
        <w:jc w:val="left"/>
        <w:rPr>
          <w:rFonts w:ascii="Times New Roman" w:hAnsi="Times New Roman"/>
          <w:sz w:val="20"/>
        </w:rPr>
      </w:pPr>
      <w:r>
        <w:rPr>
          <w:rFonts w:ascii="Times New Roman" w:hAnsi="Times New Roman"/>
          <w:sz w:val="20"/>
        </w:rPr>
        <w:t xml:space="preserve">Testing-the-Waters Presentations: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None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III-1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A </w:t>
      </w:r>
    </w:p>
    <w:p>
      <w:pPr>
        <w:pStyle w:val="TextBody"/>
        <w:spacing w:before="240" w:after="0"/>
        <w:jc w:val="center"/>
        <w:rPr>
          <w:rFonts w:ascii="Times New Roman" w:hAnsi="Times New Roman"/>
          <w:b/>
          <w:sz w:val="20"/>
        </w:rPr>
      </w:pPr>
      <w:r>
        <w:rPr>
          <w:rFonts w:ascii="Times New Roman" w:hAnsi="Times New Roman"/>
          <w:b/>
          <w:sz w:val="20"/>
        </w:rPr>
        <w:t xml:space="preserve">FORM OF LOCK-UP LETTER </w:t>
      </w:r>
    </w:p>
    <w:p>
      <w:pPr>
        <w:pStyle w:val="TextBody"/>
        <w:spacing w:before="240" w:after="0"/>
        <w:jc w:val="center"/>
        <w:rPr>
          <w:rFonts w:ascii="Times New Roman" w:hAnsi="Times New Roman"/>
          <w:sz w:val="20"/>
        </w:rPr>
      </w:pPr>
      <w:r>
        <w:rPr>
          <w:rFonts w:ascii="Times New Roman" w:hAnsi="Times New Roman"/>
          <w:sz w:val="20"/>
        </w:rPr>
        <w:t xml:space="preserve">, 2021 </w:t>
      </w:r>
    </w:p>
    <w:p>
      <w:pPr>
        <w:pStyle w:val="TextBody"/>
        <w:spacing w:before="240" w:after="0"/>
        <w:jc w:val="left"/>
        <w:rPr>
          <w:rFonts w:ascii="Times New Roman" w:hAnsi="Times New Roman"/>
          <w:sz w:val="20"/>
        </w:rPr>
      </w:pPr>
      <w:r>
        <w:rPr>
          <w:rFonts w:ascii="Times New Roman" w:hAnsi="Times New Roman"/>
          <w:sz w:val="20"/>
        </w:rPr>
        <w:t xml:space="preserve">SVB Leerink LLC </w:t>
      </w:r>
    </w:p>
    <w:p>
      <w:pPr>
        <w:pStyle w:val="TextBody"/>
        <w:spacing w:before="0" w:after="0"/>
        <w:jc w:val="left"/>
        <w:rPr>
          <w:rFonts w:ascii="Times New Roman" w:hAnsi="Times New Roman"/>
          <w:sz w:val="20"/>
        </w:rPr>
      </w:pPr>
      <w:r>
        <w:rPr>
          <w:rFonts w:ascii="Times New Roman" w:hAnsi="Times New Roman"/>
          <w:sz w:val="20"/>
        </w:rPr>
        <w:t xml:space="preserve">Piper Sandler &amp; Co. </w:t>
      </w:r>
    </w:p>
    <w:p>
      <w:pPr>
        <w:pStyle w:val="TextBody"/>
        <w:spacing w:before="0" w:after="0"/>
        <w:jc w:val="left"/>
        <w:rPr>
          <w:rFonts w:ascii="Times New Roman" w:hAnsi="Times New Roman"/>
          <w:sz w:val="20"/>
        </w:rPr>
      </w:pPr>
      <w:r>
        <w:rPr>
          <w:rFonts w:ascii="Times New Roman" w:hAnsi="Times New Roman"/>
          <w:sz w:val="20"/>
        </w:rPr>
        <w:t xml:space="preserve">Stifel, Nicolaus &amp; Company, Incorporated </w:t>
      </w:r>
    </w:p>
    <w:p>
      <w:pPr>
        <w:pStyle w:val="TextBody"/>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spacing w:before="240" w:after="0"/>
        <w:jc w:val="left"/>
        <w:rPr>
          <w:rFonts w:ascii="Times New Roman" w:hAnsi="Times New Roman"/>
          <w:sz w:val="20"/>
        </w:rPr>
      </w:pPr>
      <w:r>
        <w:rPr>
          <w:rFonts w:ascii="Times New Roman" w:hAnsi="Times New Roman"/>
          <w:sz w:val="20"/>
        </w:rPr>
        <w:t xml:space="preserve">c/o SVB Leerink LLC </w:t>
      </w:r>
    </w:p>
    <w:p>
      <w:pPr>
        <w:pStyle w:val="TextBody"/>
        <w:spacing w:before="0" w:after="0"/>
        <w:jc w:val="left"/>
        <w:rPr/>
      </w:pPr>
      <w:r>
        <w:rPr/>
        <w:t> </w:t>
      </w:r>
      <w:r>
        <w:rPr>
          <w:rFonts w:ascii="Times New Roman" w:hAnsi="Times New Roman"/>
          <w:sz w:val="20"/>
        </w:rPr>
        <w:t xml:space="preserve">53 State Street, 40th Floor </w:t>
      </w:r>
    </w:p>
    <w:p>
      <w:pPr>
        <w:pStyle w:val="TextBody"/>
        <w:spacing w:before="0" w:after="0"/>
        <w:jc w:val="left"/>
        <w:rPr/>
      </w:pPr>
      <w:r>
        <w:rPr/>
        <w:t> </w:t>
      </w:r>
      <w:r>
        <w:rPr>
          <w:rFonts w:ascii="Times New Roman" w:hAnsi="Times New Roman"/>
          <w:sz w:val="20"/>
        </w:rPr>
        <w:t xml:space="preserve">Boston, MA 02109 </w:t>
      </w:r>
    </w:p>
    <w:p>
      <w:pPr>
        <w:pStyle w:val="TextBody"/>
        <w:spacing w:before="240" w:after="0"/>
        <w:jc w:val="left"/>
        <w:rPr>
          <w:rFonts w:ascii="Times New Roman" w:hAnsi="Times New Roman"/>
          <w:sz w:val="20"/>
        </w:rPr>
      </w:pPr>
      <w:r>
        <w:rPr>
          <w:rFonts w:ascii="Times New Roman" w:hAnsi="Times New Roman"/>
          <w:sz w:val="20"/>
        </w:rPr>
        <w:t xml:space="preserve">c/o Piper Sandler &amp; Co. </w:t>
      </w:r>
    </w:p>
    <w:p>
      <w:pPr>
        <w:pStyle w:val="TextBody"/>
        <w:spacing w:before="0" w:after="0"/>
        <w:jc w:val="left"/>
        <w:rPr/>
      </w:pPr>
      <w:r>
        <w:rPr/>
        <w:t> </w:t>
      </w:r>
      <w:r>
        <w:rPr>
          <w:rFonts w:ascii="Times New Roman" w:hAnsi="Times New Roman"/>
          <w:sz w:val="20"/>
        </w:rPr>
        <w:t xml:space="preserve">1251 Avenue of the Americas, 7th Floor </w:t>
      </w:r>
    </w:p>
    <w:p>
      <w:pPr>
        <w:pStyle w:val="TextBody"/>
        <w:spacing w:before="0" w:after="0"/>
        <w:jc w:val="left"/>
        <w:rPr/>
      </w:pPr>
      <w:r>
        <w:rPr/>
        <w:t> </w:t>
      </w:r>
      <w:r>
        <w:rPr>
          <w:rFonts w:ascii="Times New Roman" w:hAnsi="Times New Roman"/>
          <w:sz w:val="20"/>
        </w:rPr>
        <w:t xml:space="preserve">New York, New York 10020 </w:t>
      </w:r>
    </w:p>
    <w:p>
      <w:pPr>
        <w:pStyle w:val="TextBody"/>
        <w:spacing w:before="240" w:after="0"/>
        <w:jc w:val="left"/>
        <w:rPr>
          <w:rFonts w:ascii="Times New Roman" w:hAnsi="Times New Roman"/>
          <w:sz w:val="20"/>
        </w:rPr>
      </w:pPr>
      <w:r>
        <w:rPr>
          <w:rFonts w:ascii="Times New Roman" w:hAnsi="Times New Roman"/>
          <w:sz w:val="20"/>
        </w:rPr>
        <w:t xml:space="preserve">c/o Stifel, Nicolaus &amp; Company, Incorporated </w:t>
      </w:r>
    </w:p>
    <w:p>
      <w:pPr>
        <w:pStyle w:val="TextBody"/>
        <w:spacing w:before="0" w:after="0"/>
        <w:jc w:val="left"/>
        <w:rPr/>
      </w:pPr>
      <w:r>
        <w:rPr/>
        <w:t> </w:t>
      </w:r>
      <w:r>
        <w:rPr>
          <w:rFonts w:ascii="Times New Roman" w:hAnsi="Times New Roman"/>
          <w:sz w:val="20"/>
        </w:rPr>
        <w:t xml:space="preserve">787 Seventh Avenue, 11th Floor </w:t>
      </w:r>
    </w:p>
    <w:p>
      <w:pPr>
        <w:pStyle w:val="TextBody"/>
        <w:spacing w:before="0" w:after="0"/>
        <w:jc w:val="left"/>
        <w:rPr/>
      </w:pPr>
      <w:r>
        <w:rPr/>
        <w:t> </w:t>
      </w:r>
      <w:r>
        <w:rPr>
          <w:rFonts w:ascii="Times New Roman" w:hAnsi="Times New Roman"/>
          <w:sz w:val="20"/>
        </w:rPr>
        <w:t xml:space="preserve">New York, New York 10019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The undersigned understands that SVB Leerink LLC, Piper Sandler &amp; Co. and Stifel, Nicolaus &amp; Company, Incorporated (the </w:t>
      </w:r>
      <w:r>
        <w:rPr>
          <w:rFonts w:ascii="Times New Roman" w:hAnsi="Times New Roman"/>
          <w:b/>
          <w:sz w:val="20"/>
        </w:rPr>
        <w:t>Representatives</w:t>
      </w:r>
      <w:r>
        <w:rPr>
          <w:rFonts w:ascii="Times New Roman" w:hAnsi="Times New Roman"/>
          <w:sz w:val="20"/>
        </w:rPr>
        <w:t>) propose to enter into an Underwriting Agreement (the </w:t>
      </w:r>
      <w:r>
        <w:rPr>
          <w:rFonts w:ascii="Times New Roman" w:hAnsi="Times New Roman"/>
          <w:b/>
          <w:sz w:val="20"/>
        </w:rPr>
        <w:t>Underwriting Agreement</w:t>
      </w:r>
      <w:r>
        <w:rPr>
          <w:rFonts w:ascii="Times New Roman" w:hAnsi="Times New Roman"/>
          <w:sz w:val="20"/>
        </w:rPr>
        <w:t>) with Fulcrum Therapeutics, Inc., a Delaware corporation (the </w:t>
      </w:r>
      <w:r>
        <w:rPr>
          <w:rFonts w:ascii="Times New Roman" w:hAnsi="Times New Roman"/>
          <w:b/>
          <w:sz w:val="20"/>
        </w:rPr>
        <w:t>Company</w:t>
      </w:r>
      <w:r>
        <w:rPr>
          <w:rFonts w:ascii="Times New Roman" w:hAnsi="Times New Roman"/>
          <w:sz w:val="20"/>
        </w:rPr>
        <w:t>), providing for the public offering (the </w:t>
      </w:r>
      <w:r>
        <w:rPr>
          <w:rFonts w:ascii="Times New Roman" w:hAnsi="Times New Roman"/>
          <w:b/>
          <w:sz w:val="20"/>
        </w:rPr>
        <w:t>Public Offering</w:t>
      </w:r>
      <w:r>
        <w:rPr>
          <w:rFonts w:ascii="Times New Roman" w:hAnsi="Times New Roman"/>
          <w:sz w:val="20"/>
        </w:rPr>
        <w:t>) by the several Underwriters, including the Representatives (the </w:t>
      </w:r>
      <w:r>
        <w:rPr>
          <w:rFonts w:ascii="Times New Roman" w:hAnsi="Times New Roman"/>
          <w:b/>
          <w:sz w:val="20"/>
        </w:rPr>
        <w:t>Underwriters</w:t>
      </w:r>
      <w:r>
        <w:rPr>
          <w:rFonts w:ascii="Times New Roman" w:hAnsi="Times New Roman"/>
          <w:sz w:val="20"/>
        </w:rPr>
        <w:t>), of shares of the common stock, par value $0.001 per share, of the Company (the </w:t>
      </w:r>
      <w:r>
        <w:rPr>
          <w:rFonts w:ascii="Times New Roman" w:hAnsi="Times New Roman"/>
          <w:b/>
          <w:sz w:val="20"/>
        </w:rPr>
        <w:t>Common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during the period commencing on the date hereof and ending 60 days after the date of the final prospectus (the </w:t>
      </w:r>
      <w:r>
        <w:rPr>
          <w:rFonts w:ascii="Times New Roman" w:hAnsi="Times New Roman"/>
          <w:b/>
          <w:sz w:val="20"/>
        </w:rPr>
        <w:t>Restricted Period</w:t>
      </w:r>
      <w:r>
        <w:rPr>
          <w:rFonts w:ascii="Times New Roman" w:hAnsi="Times New Roman"/>
          <w:sz w:val="20"/>
        </w:rPr>
        <w:t>) relating to the Public Offering (the </w:t>
      </w:r>
      <w:r>
        <w:rPr>
          <w:rFonts w:ascii="Times New Roman" w:hAnsi="Times New Roman"/>
          <w:b/>
          <w:sz w:val="20"/>
        </w:rPr>
        <w:t>Prospectus</w:t>
      </w:r>
      <w:r>
        <w:rPr>
          <w:rFonts w:ascii="Times New Roman" w:hAnsi="Times New Roman"/>
          <w:sz w:val="20"/>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hAnsi="Times New Roman"/>
          <w:b/>
          <w:sz w:val="20"/>
        </w:rPr>
        <w:t>Exchange Act</w:t>
      </w:r>
      <w:r>
        <w:rPr>
          <w:rFonts w:ascii="Times New Roman" w:hAnsi="Times New Roman"/>
          <w:sz w:val="20"/>
        </w:rPr>
        <w:t xml:space="preserve">)), by the undersigned or any other securities so owned convertible into or exercisable or exchangeable for Common Stock or make any public announcement of its intention to do any of the foregoing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shall not apply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A-17-1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 transactions relating to shares of Common Stock or other securities acquired in the Public Offering or in open market transactions after the completion of the Public Offering, </w:t>
      </w:r>
      <w:r>
        <w:rPr>
          <w:rFonts w:ascii="Times New Roman" w:hAnsi="Times New Roman"/>
          <w:i/>
          <w:sz w:val="20"/>
        </w:rPr>
        <w:t>provided</w:t>
      </w:r>
      <w:r>
        <w:rPr>
          <w:rFonts w:ascii="Times New Roman" w:hAnsi="Times New Roman"/>
          <w:sz w:val="20"/>
        </w:rPr>
        <w:t xml:space="preserve"> that no filing under Section 16(a) of the Exchange Act shall be required or shall be voluntarily made in connection with subsequent sales of Common Stock or other securities acquired in such open market transactions; </w:t>
      </w:r>
    </w:p>
    <w:p>
      <w:pPr>
        <w:pStyle w:val="TextBody"/>
        <w:spacing w:before="120" w:after="0"/>
        <w:jc w:val="left"/>
        <w:rPr>
          <w:rFonts w:ascii="Times New Roman" w:hAnsi="Times New Roman"/>
          <w:sz w:val="20"/>
        </w:rPr>
      </w:pPr>
      <w:r>
        <w:rPr>
          <w:rFonts w:ascii="Times New Roman" w:hAnsi="Times New Roman"/>
          <w:sz w:val="20"/>
        </w:rPr>
        <w:t xml:space="preserve">(b) (i) transfers of shares of Common Stock or any security convertible into or exercisable or exchangeable for Common Stock as a bona fide gift or gifts, or (ii) to a charitable organization or educational institution in a transaction not involving a disposition for value; </w:t>
      </w:r>
    </w:p>
    <w:p>
      <w:pPr>
        <w:pStyle w:val="TextBody"/>
        <w:spacing w:before="120" w:after="0"/>
        <w:jc w:val="left"/>
        <w:rPr>
          <w:rFonts w:ascii="Times New Roman" w:hAnsi="Times New Roman"/>
          <w:sz w:val="20"/>
        </w:rPr>
      </w:pPr>
      <w:r>
        <w:rPr>
          <w:rFonts w:ascii="Times New Roman" w:hAnsi="Times New Roman"/>
          <w:sz w:val="20"/>
        </w:rPr>
        <w:t xml:space="preserve">(c) transfers of shares of Common Stock or any security convertible into or exercisable or exchangeable for Common Stock to any member of the immediate family of the undersigned or any trust for the direct or indirect benefit of the undersigned or the immediate family of the undersigned in a transaction not involving a disposition for value; </w:t>
      </w:r>
    </w:p>
    <w:p>
      <w:pPr>
        <w:pStyle w:val="TextBody"/>
        <w:spacing w:before="120" w:after="0"/>
        <w:jc w:val="left"/>
        <w:rPr>
          <w:rFonts w:ascii="Times New Roman" w:hAnsi="Times New Roman"/>
          <w:sz w:val="20"/>
        </w:rPr>
      </w:pPr>
      <w:r>
        <w:rPr>
          <w:rFonts w:ascii="Times New Roman" w:hAnsi="Times New Roman"/>
          <w:sz w:val="20"/>
        </w:rPr>
        <w:t xml:space="preserve">(d) transfers of shares of Common Stock or any security convertible into or exercisable or exchangeable for Common Stock (i) by will, other testamentary document or intestate succession to the legal representative, heir, beneficiary or a member of the immediate family of the undersigned upon the death of the undersigned or (ii) solely by operation of law pursuant to a qualified domestic order or in connection with a divorce settlement; </w:t>
      </w:r>
    </w:p>
    <w:p>
      <w:pPr>
        <w:pStyle w:val="TextBody"/>
        <w:spacing w:before="120" w:after="0"/>
        <w:jc w:val="left"/>
        <w:rPr>
          <w:rFonts w:ascii="Times New Roman" w:hAnsi="Times New Roman"/>
          <w:sz w:val="20"/>
        </w:rPr>
      </w:pPr>
      <w:r>
        <w:rPr>
          <w:rFonts w:ascii="Times New Roman" w:hAnsi="Times New Roman"/>
          <w:sz w:val="20"/>
        </w:rPr>
        <w:t xml:space="preserve">(e) if the undersigned is an entity, transfers or distributions of shares of Common Stock or any security convertible into Common Stock to general or limited partners, members or stockholders of the undersigned, its direct or indirect affiliates (as defined in Rule 405 promulgated under the Securities Act of 1933, as amended) or to an investment fund or other entity that controls or manages, or is under common control with, the undersigned; </w:t>
      </w:r>
    </w:p>
    <w:p>
      <w:pPr>
        <w:pStyle w:val="TextBody"/>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in the case of any transfer, disposition or distribution pursuant to clause (b), (c), (d) or (e), (i) each transferee, donee or distributee shall sign and deliver a lock-up agreement substantially in the form of this agreement and (ii) no filing under Section 16(a) of the Exchange Act, reporting a reduction in beneficial ownership of shares of Common Stock, shall be required or shall be voluntarily made during the Restricted Period (other than, in the case of a transfer or other disposition pursuant to clause (c) above, any Form 4 or Form 5 required to be filed under the Exchange Act if the undersigned is subject to Section 16 reporting with respect to the Company under the Exchange Act and indicating by footnote disclosure or otherwise the nature of the transfer or disposition); </w:t>
      </w:r>
    </w:p>
    <w:p>
      <w:pPr>
        <w:pStyle w:val="TextBody"/>
        <w:spacing w:before="120" w:after="0"/>
        <w:jc w:val="left"/>
        <w:rPr>
          <w:rFonts w:ascii="Times New Roman" w:hAnsi="Times New Roman"/>
          <w:sz w:val="20"/>
        </w:rPr>
      </w:pPr>
      <w:r>
        <w:rPr>
          <w:rFonts w:ascii="Times New Roman" w:hAnsi="Times New Roman"/>
          <w:sz w:val="20"/>
        </w:rPr>
        <w:t xml:space="preserve">(f) transfers or dispositions of shares of Common Stock or any security convertible into or exercisable or exchangeable for Common Stock to the Company pursuant to any contractual arrangement in effect on the date of this agreement and disclosed to the Underwriters that provides for the repurchase of the undersigneds Common Stock or other securities by the Company or in connection with the termination of the undersigneds employment with or service to the Company; </w:t>
      </w:r>
      <w:r>
        <w:rPr>
          <w:rFonts w:ascii="Times New Roman" w:hAnsi="Times New Roman"/>
          <w:i/>
          <w:sz w:val="20"/>
        </w:rPr>
        <w:t>provided</w:t>
      </w:r>
      <w:r>
        <w:rPr>
          <w:rFonts w:ascii="Times New Roman" w:hAnsi="Times New Roman"/>
          <w:sz w:val="20"/>
        </w:rPr>
        <w:t xml:space="preserve"> that no filing under Section 16(a) of the Exchange Act reporting a reduction in beneficial ownership of shares of Common Stock, shall be required or shall be voluntarily made during the Restricted Period in connection with any such transfers or dispositions (other than any Form 4 or Form 5 required to be filed under the Exchange Act if the undersigned is subject to Section 16 reporting with respect to the Company under the Exchange Act and indicating by footnote disclosure or otherwise the nature of the transfer or disposition);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A-17-2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 the exercise of stock options to purchase shares of Common Stock granted under plans described in the Prospectus and any related transfer to the Company of shares of Common Stock (including by way of net or cashless exercise solely to cover withholding tax obligations in connection with such exercise and any transfer to the Company for the payment of taxes as a result of such exercise); </w:t>
      </w:r>
      <w:r>
        <w:rPr>
          <w:rFonts w:ascii="Times New Roman" w:hAnsi="Times New Roman"/>
          <w:i/>
          <w:sz w:val="20"/>
        </w:rPr>
        <w:t>provided</w:t>
      </w:r>
      <w:r>
        <w:rPr>
          <w:rFonts w:ascii="Times New Roman" w:hAnsi="Times New Roman"/>
          <w:sz w:val="20"/>
        </w:rPr>
        <w:t xml:space="preserve"> that any shares of Common Stock received upon exercise shall be subject to the restrictions on transfer set forth in this agreement; </w:t>
      </w:r>
      <w:r>
        <w:rPr>
          <w:rFonts w:ascii="Times New Roman" w:hAnsi="Times New Roman"/>
          <w:i/>
          <w:sz w:val="20"/>
        </w:rPr>
        <w:t>provided, further</w:t>
      </w:r>
      <w:r>
        <w:rPr>
          <w:rFonts w:ascii="Times New Roman" w:hAnsi="Times New Roman"/>
          <w:sz w:val="20"/>
        </w:rPr>
        <w:t xml:space="preserve"> that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w:t>
      </w:r>
    </w:p>
    <w:p>
      <w:pPr>
        <w:pStyle w:val="TextBody"/>
        <w:spacing w:before="120" w:after="0"/>
        <w:jc w:val="left"/>
        <w:rPr>
          <w:rFonts w:ascii="Times New Roman" w:hAnsi="Times New Roman"/>
          <w:sz w:val="20"/>
        </w:rPr>
      </w:pPr>
      <w:r>
        <w:rPr>
          <w:rFonts w:ascii="Times New Roman" w:hAnsi="Times New Roman"/>
          <w:sz w:val="20"/>
        </w:rPr>
        <w:t xml:space="preserve">(h) the establishment of a trading plan pursuant to Rule 10b5-l under the Exchange Act for the transfer of shares of Common Stock, </w:t>
      </w:r>
      <w:r>
        <w:rPr>
          <w:rFonts w:ascii="Times New Roman" w:hAnsi="Times New Roman"/>
          <w:i/>
          <w:sz w:val="20"/>
        </w:rPr>
        <w:t>provided</w:t>
      </w:r>
      <w:r>
        <w:rPr>
          <w:rFonts w:ascii="Times New Roman" w:hAnsi="Times New Roman"/>
          <w:sz w:val="20"/>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w:t>
      </w:r>
    </w:p>
    <w:p>
      <w:pPr>
        <w:pStyle w:val="TextBody"/>
        <w:spacing w:before="120" w:after="0"/>
        <w:jc w:val="left"/>
        <w:rPr>
          <w:rFonts w:ascii="Times New Roman" w:hAnsi="Times New Roman"/>
          <w:sz w:val="20"/>
        </w:rPr>
      </w:pPr>
      <w:r>
        <w:rPr>
          <w:rFonts w:ascii="Times New Roman" w:hAnsi="Times New Roman"/>
          <w:sz w:val="20"/>
        </w:rPr>
        <w:t xml:space="preserve">(i) transfers of shares of Common Stock pursuant to a trading plan established pursuant to Rule 10b5-1 under the Exchange Act prior to the date hereof, which trading plan shall not be amended during the Restricted Period but may be terminated during the Restricted Period; </w:t>
      </w:r>
      <w:r>
        <w:rPr>
          <w:rFonts w:ascii="Times New Roman" w:hAnsi="Times New Roman"/>
          <w:i/>
          <w:sz w:val="20"/>
        </w:rPr>
        <w:t>provided</w:t>
      </w:r>
      <w:r>
        <w:rPr>
          <w:rFonts w:ascii="Times New Roman" w:hAnsi="Times New Roman"/>
          <w:sz w:val="20"/>
        </w:rPr>
        <w:t xml:space="preserve">, that to the extent a public announcement or filing under the Exchange Act, if any, is required of or voluntarily made by or on behalf of the undersigned or the Company regarding sales made under the undersigneds 10b5-1 Plan, such announcement or filing shall include a statement to the effect that such sales of Common Stock are being made pursuant to the undersigneds 10b5-1 Plan established prior to the date hereof; or </w:t>
      </w:r>
    </w:p>
    <w:p>
      <w:pPr>
        <w:pStyle w:val="TextBody"/>
        <w:spacing w:before="120" w:after="0"/>
        <w:jc w:val="left"/>
        <w:rPr>
          <w:rFonts w:ascii="Times New Roman" w:hAnsi="Times New Roman"/>
          <w:sz w:val="20"/>
        </w:rPr>
      </w:pPr>
      <w:r>
        <w:rPr>
          <w:rFonts w:ascii="Times New Roman" w:hAnsi="Times New Roman"/>
          <w:sz w:val="20"/>
        </w:rPr>
        <w:t xml:space="preserve">(j) (i) transfers of shares of Common Stock (or any securities convertible into or exercisable or exchangeable for Common Stock) pursuant to a bona fide third-party tender offer for shares of the Companys capital stock made to all holders of the Companys securities, merger, consolidation or other similar transaction approved by the Companys board of directors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and (ii) entry into any lock-up, voting or similar agreement pursuant to which the undersigned may agree to transfer, sell, tender or otherwise dispose of shares of Common Stock or such other securities in connection with a transaction described in (i) above; </w:t>
      </w:r>
      <w:r>
        <w:rPr>
          <w:rFonts w:ascii="Times New Roman" w:hAnsi="Times New Roman"/>
          <w:i/>
          <w:sz w:val="20"/>
        </w:rPr>
        <w:t>provided</w:t>
      </w:r>
      <w:r>
        <w:rPr>
          <w:rFonts w:ascii="Times New Roman" w:hAnsi="Times New Roman"/>
          <w:sz w:val="20"/>
        </w:rPr>
        <w:t xml:space="preserve"> that in the event that such change of control transaction is not completed, the Common Stock (or any security convertible into or exercisable or exchangeable for Common Stock) owned by the undersigned shall remain subject to the restrictions contained in this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A-17-3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For purposes of this agreement, immediate family shall mean any relationship by blood, marriage, domestic partnership or adoption, not more remote than first cousin. </w:t>
      </w:r>
    </w:p>
    <w:p>
      <w:pPr>
        <w:pStyle w:val="TextBody"/>
        <w:spacing w:before="240" w:after="0"/>
        <w:jc w:val="left"/>
        <w:rPr>
          <w:rFonts w:ascii="Times New Roman" w:hAnsi="Times New Roman"/>
          <w:sz w:val="20"/>
        </w:rPr>
      </w:pPr>
      <w:r>
        <w:rPr>
          <w:rFonts w:ascii="Times New Roman" w:hAnsi="Times New Roman"/>
          <w:sz w:val="20"/>
        </w:rPr>
        <w:t xml:space="preserve">In addition, the undersigned agrees that, without the prior written consent of each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 </w:t>
      </w:r>
      <w:r>
        <w:rPr>
          <w:rFonts w:ascii="Times New Roman" w:hAnsi="Times New Roman"/>
          <w:i/>
          <w:sz w:val="20"/>
        </w:rPr>
        <w:t>provided</w:t>
      </w:r>
      <w:r>
        <w:rPr>
          <w:rFonts w:ascii="Times New Roman" w:hAnsi="Times New Roman"/>
          <w:sz w:val="20"/>
        </w:rPr>
        <w:t xml:space="preserve"> that the undersigned may make a demand under any registration rights agreement with the Company described in the Prospectus for, and exercise its rights under any such registration rights agreement with respect to, the registration after the expiration of the Restricted Period of shares of Common Stock that does not require the filing of any registration statement or any public announcement or activity regarding such registration during the Restricted Period (and no such public announcement or activity shall be voluntarily made or taken by the undersigned during the Restricted Period). The undersigned also agrees and consents to the entry of stop transfer instructions with the Companys transfer agent and registrar against the transfer of the undersigneds shares of Common Stock except in compliance with the foregoing restrictions. </w:t>
      </w:r>
    </w:p>
    <w:p>
      <w:pPr>
        <w:pStyle w:val="TextBody"/>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 </w:t>
      </w:r>
    </w:p>
    <w:p>
      <w:pPr>
        <w:pStyle w:val="TextBody"/>
        <w:spacing w:before="240" w:after="0"/>
        <w:jc w:val="left"/>
        <w:rPr>
          <w:rFonts w:ascii="Times New Roman" w:hAnsi="Times New Roman"/>
          <w:sz w:val="20"/>
        </w:rPr>
      </w:pPr>
      <w:r>
        <w:rPr>
          <w:rFonts w:ascii="Times New Roman" w:hAnsi="Times New Roman"/>
          <w:sz w:val="20"/>
        </w:rPr>
        <w:t xml:space="preserve">Whether or not the Public Offering actually occurs depends on a number of factors, including market conditions. Any Public Offering will only be made pursuant to an Underwriting Agreement, the terms of which are subject to negotiation between the Company and the Underwriters. </w:t>
      </w:r>
    </w:p>
    <w:p>
      <w:pPr>
        <w:pStyle w:val="TextBody"/>
        <w:spacing w:before="240" w:after="0"/>
        <w:jc w:val="left"/>
        <w:rPr>
          <w:rFonts w:ascii="Times New Roman" w:hAnsi="Times New Roman"/>
          <w:sz w:val="20"/>
        </w:rPr>
      </w:pPr>
      <w:r>
        <w:rPr>
          <w:rFonts w:ascii="Times New Roman" w:hAnsi="Times New Roman"/>
          <w:sz w:val="20"/>
        </w:rPr>
        <w:t xml:space="preserve">The undersigned understands that, (i) if either the Representatives, on the one hand, or the Company, on the other hand, informs the other in writing, prior to the execution of the Underwriting Agreement, that it has determined not to proceed with the Public Offering, (ii) if the Underwriting Agreement (other than the provisions thereof which survive termination) shall terminate or be terminated prior to payment for and delivery of the securities to be sold thereunder, (iii) if the registration statement related to the Public Offering has been withdrawn prior to the execution of the Underwriting Agreement or (iv) the Underwriting Agreement is not executed on or before September 30, 2021, then, in each case, this agreement shall automatically, and without any action on the part of any other party, be of no further force and effect, and the undersigned shall be automatically released from all obligations under this agreement. </w:t>
      </w:r>
    </w:p>
    <w:p>
      <w:pPr>
        <w:pStyle w:val="TextBody"/>
        <w:spacing w:before="240" w:after="0"/>
        <w:jc w:val="left"/>
        <w:rPr>
          <w:rFonts w:ascii="Times New Roman" w:hAnsi="Times New Roman"/>
          <w:sz w:val="20"/>
        </w:rPr>
      </w:pPr>
      <w:r>
        <w:rPr>
          <w:rFonts w:ascii="Times New Roman" w:hAnsi="Times New Roman"/>
          <w:sz w:val="20"/>
        </w:rPr>
        <w:t xml:space="preserve">This agreement and any claim, controversy or dispute arising under or related to this agreement shall be governed by and construed in accordance with the laws of the State of New York, without regard to the conflict of laws principles thereof.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A-17-4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(Name)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(Address)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A-17-5 </w:t>
      </w:r>
      <w:r>
        <w:br w:type="page"/>
      </w:r>
    </w:p>
    <w:p>
      <w:pPr>
        <w:pStyle w:val="TextBody"/>
        <w:spacing w:before="0" w:after="0"/>
        <w:jc w:val="right"/>
        <w:rPr>
          <w:rFonts w:ascii="Times New Roman" w:hAnsi="Times New Roman"/>
          <w:b/>
          <w:sz w:val="20"/>
        </w:rPr>
      </w:pPr>
      <w:bookmarkStart w:id="4" w:name="d60776dex51.htm"/>
      <w:bookmarkStart w:id="5" w:name="ksd60776dex51"/>
      <w:bookmarkEnd w:id="4"/>
      <w:bookmarkEnd w:id="5"/>
      <w:r>
        <w:rPr>
          <w:rFonts w:ascii="Times New Roman" w:hAnsi="Times New Roman"/>
          <w:b/>
          <w:sz w:val="20"/>
        </w:rPr>
        <w:t xml:space="preserve">Exhibit 5.1 </w:t>
      </w:r>
    </w:p>
    <w:p>
      <w:pPr>
        <w:pStyle w:val="TextBody"/>
        <w:spacing w:before="0" w:after="0"/>
        <w:jc w:val="left"/>
        <w:rPr/>
      </w:pPr>
      <w:r>
        <w:rPr/>
        <w:t> </w:t>
      </w:r>
    </w:p>
    <w:p>
      <w:pPr>
        <w:pStyle w:val="TextBody"/>
        <w:spacing w:before="0" w:after="0"/>
        <w:jc w:val="left"/>
        <w:rPr/>
      </w:pPr>
      <w:r>
        <w:rPr/>
        <w:t> </w:t>
      </w:r>
    </w:p>
    <w:p>
      <w:pPr>
        <w:pStyle w:val="TextBody"/>
        <w:spacing w:before="0" w:after="0"/>
        <w:jc w:val="right"/>
        <w:rPr/>
      </w:pPr>
      <w:r>
        <w:rPr/>
        <w:drawing>
          <wp:inline distT="0" distB="0" distL="0" distR="0">
            <wp:extent cx="117157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15240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August 12,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2"/>
        <w:gridCol w:w="102"/>
        <w:gridCol w:w="5001"/>
      </w:tblGrid>
      <w:tr>
        <w:trPr/>
        <w:tc>
          <w:tcPr>
            <w:tcW w:w="510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5001"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0"/>
              <w:rPr>
                <w:rFonts w:ascii="Times New Roman" w:hAnsi="Times New Roman"/>
                <w:sz w:val="20"/>
              </w:rPr>
            </w:pPr>
            <w:r>
              <w:rPr>
                <w:rFonts w:ascii="Times New Roman" w:hAnsi="Times New Roman"/>
                <w:sz w:val="20"/>
              </w:rPr>
              <w:t>Fulcrum Therapeutics, Inc.</w:t>
            </w:r>
          </w:p>
          <w:p>
            <w:pPr>
              <w:pStyle w:val="TableContents"/>
              <w:spacing w:before="0" w:after="0"/>
              <w:rPr>
                <w:rFonts w:ascii="Times New Roman" w:hAnsi="Times New Roman"/>
                <w:sz w:val="20"/>
              </w:rPr>
            </w:pPr>
            <w:r>
              <w:rPr>
                <w:rFonts w:ascii="Times New Roman" w:hAnsi="Times New Roman"/>
                <w:sz w:val="20"/>
              </w:rPr>
              <w:t>26 Landsdowne Street</w:t>
            </w:r>
          </w:p>
          <w:p>
            <w:pPr>
              <w:pStyle w:val="TableContents"/>
              <w:spacing w:before="0" w:after="20"/>
              <w:rPr>
                <w:rFonts w:ascii="Times New Roman" w:hAnsi="Times New Roman"/>
                <w:sz w:val="20"/>
              </w:rPr>
            </w:pPr>
            <w:r>
              <w:rPr>
                <w:rFonts w:ascii="Times New Roman" w:hAnsi="Times New Roman"/>
                <w:sz w:val="20"/>
              </w:rPr>
              <w:t>Cambridge, MA 02139</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0"/>
              <w:jc w:val="right"/>
              <w:rPr>
                <w:rFonts w:ascii="Times New Roman" w:hAnsi="Times New Roman"/>
                <w:sz w:val="16"/>
              </w:rPr>
            </w:pPr>
            <w:r>
              <w:rPr>
                <w:rFonts w:ascii="Times New Roman" w:hAnsi="Times New Roman"/>
                <w:sz w:val="16"/>
              </w:rPr>
              <w:t>+1 617 526 6000 (t)</w:t>
            </w:r>
          </w:p>
          <w:p>
            <w:pPr>
              <w:pStyle w:val="TableContents"/>
              <w:spacing w:before="0" w:after="0"/>
              <w:jc w:val="right"/>
              <w:rPr>
                <w:rFonts w:ascii="Times New Roman" w:hAnsi="Times New Roman"/>
                <w:sz w:val="16"/>
              </w:rPr>
            </w:pPr>
            <w:r>
              <w:rPr>
                <w:rFonts w:ascii="Times New Roman" w:hAnsi="Times New Roman"/>
                <w:sz w:val="16"/>
              </w:rPr>
              <w:t>+1 617 526 5000 (f)</w:t>
            </w:r>
          </w:p>
          <w:p>
            <w:pPr>
              <w:pStyle w:val="TableContents"/>
              <w:spacing w:before="0" w:after="20"/>
              <w:jc w:val="right"/>
              <w:rPr>
                <w:rFonts w:ascii="Times New Roman" w:hAnsi="Times New Roman"/>
                <w:sz w:val="16"/>
              </w:rPr>
            </w:pPr>
            <w:r>
              <w:rPr>
                <w:rFonts w:ascii="Times New Roman" w:hAnsi="Times New Roman"/>
                <w:sz w:val="16"/>
              </w:rPr>
              <w:t>wilmerhale.com</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RE:</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Prospectus Supplement to Registration Statement on Form S-3 </w:t>
            </w:r>
          </w:p>
        </w:tc>
      </w:tr>
    </w:tbl>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 xml:space="preserve">This opinion is furnished to you in connection with (i) the Registration Statement on Form S-3 (File No. 333-244136) filed by Fulcrum Therapeutics, Inc., a Delaware corporation (the Company), with the Securities and Exchange Commission (the Commission) under the Securities Act of 1933, as amended (the Securities Act), for the registration of, among other things, shares of the Companys common stock, $0.001 par value per share (the Common Stock), which may be issued from time to time on a delayed or continuous basis pursuant to Rule 415 under the Securities Act at an aggregate initial offering price not to exceed $250,000,000, as set forth in the Registration Statement, the prospectus contained therein (the Base Prospectus) and any amendments or supplements thereto and a related Registration Statement on Form S-3 (File No. 333-258740) filed by the Company with the Commission on August 11, 2021 pursuant to Rule 462(b) under the Securities Act, which became effective upon filing (together, the Registration Statement); (ii) the preliminary prospectus supplement, dated August 10, 2021 (the Preliminary Prospectus Supplement); and (iii) the prospectus supplement, dated August 11, 2021 (the Final Prospectus Supplement and together with the Preliminary Prospectus Supplement, the Prospectuses), relating to the issuance and sale pursuant to the Registration Statement of 6,600,000 shares of Common Stock, and up to an additional 990,000 shares of Common Stock issuable upon exercise of an option to purchase additional shares granted by the Company (collectively, the Shares). </w:t>
      </w:r>
    </w:p>
    <w:p>
      <w:pPr>
        <w:pStyle w:val="TextBody"/>
        <w:spacing w:before="240" w:after="0"/>
        <w:jc w:val="left"/>
        <w:rPr>
          <w:rFonts w:ascii="Times New Roman" w:hAnsi="Times New Roman"/>
          <w:sz w:val="20"/>
        </w:rPr>
      </w:pPr>
      <w:r>
        <w:rPr>
          <w:rFonts w:ascii="Times New Roman" w:hAnsi="Times New Roman"/>
          <w:sz w:val="20"/>
        </w:rPr>
        <w:t xml:space="preserve">The Shares are to be issued and sold by the Company pursuant to the underwriting agreement, dated as of August 11, 2021 (the Underwriting Agreement), by and among the Company and the several underwriters named on Schedule I thereto, for whom SVB Leerink LLC, Piper Sandler &amp; Co. and Stifel, Nicolaus &amp; Company, Incorporated are acting as representatives, the form of which is being filed as Exhibit 1.1 to the Companys Current Report on Form 8-K filed on the date hereof. </w:t>
      </w:r>
    </w:p>
    <w:p>
      <w:pPr>
        <w:pStyle w:val="TextBody"/>
        <w:spacing w:before="240" w:after="0"/>
        <w:jc w:val="left"/>
        <w:rPr>
          <w:rFonts w:ascii="Times New Roman" w:hAnsi="Times New Roman"/>
          <w:sz w:val="20"/>
        </w:rPr>
      </w:pPr>
      <w:r>
        <w:rPr>
          <w:rFonts w:ascii="Times New Roman" w:hAnsi="Times New Roman"/>
          <w:sz w:val="20"/>
        </w:rPr>
        <w:t xml:space="preserve">We are acting as counsel for the Company in connection with the issue and sale by the Company of the Shares. We have examined and relied upon a signed copy of the Registration Statement and copies of the Base Prospectus and the Prospectuses, each as filed with the Commission. We have also examined and relied upon the Underwriting Agreement, minutes of meetings and actions of the stockholders and the Board of Directors of the Company, including the committees thereof, as provided to us by the Company, the Certificate of Incorporation and Bylaws of the Company, each as restated and/or amended to date, and such other documents as we have deemed necessary for purposes of rendering the opinions hereinafter set forth. </w:t>
      </w:r>
    </w:p>
    <w:p>
      <w:pPr>
        <w:pStyle w:val="TextBody"/>
        <w:spacing w:before="0" w:after="0"/>
        <w:jc w:val="left"/>
        <w:rPr/>
      </w:pPr>
      <w:r>
        <w:rPr/>
        <w:t> </w:t>
      </w:r>
    </w:p>
    <w:p>
      <w:pPr>
        <w:pStyle w:val="TextBody"/>
        <w:spacing w:before="0" w:after="0"/>
        <w:jc w:val="center"/>
        <w:rPr/>
      </w:pPr>
      <w:r>
        <w:rPr/>
        <w:drawing>
          <wp:inline distT="0" distB="0" distL="0" distR="0">
            <wp:extent cx="5562600" cy="24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62600" cy="247650"/>
                    </a:xfrm>
                    <a:prstGeom prst="rect">
                      <a:avLst/>
                    </a:prstGeom>
                  </pic:spPr>
                </pic:pic>
              </a:graphicData>
            </a:graphic>
          </wp:inline>
        </w:drawing>
      </w:r>
      <w:r>
        <w:rPr/>
        <w:t xml:space="preserve"> </w:t>
      </w:r>
      <w:r>
        <w:br w:type="page"/>
      </w:r>
    </w:p>
    <w:p>
      <w:pPr>
        <w:pStyle w:val="HorizontalLine"/>
        <w:pBdr>
          <w:bottom w:val="double" w:sz="6" w:space="0" w:color="808080"/>
        </w:pBdr>
        <w:rPr/>
      </w:pPr>
      <w:r>
        <w:rPr/>
      </w:r>
    </w:p>
    <w:p>
      <w:pPr>
        <w:pStyle w:val="TextBody"/>
        <w:spacing w:before="0" w:after="0"/>
        <w:jc w:val="right"/>
        <w:rPr/>
      </w:pPr>
      <w:r>
        <w:rPr/>
        <w:drawing>
          <wp:inline distT="0" distB="0" distL="0" distR="0">
            <wp:extent cx="1171575"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71575" cy="15240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Fulcrum Therapeutics, Inc. </w:t>
      </w:r>
    </w:p>
    <w:p>
      <w:pPr>
        <w:pStyle w:val="TextBody"/>
        <w:spacing w:before="0" w:after="0"/>
        <w:jc w:val="left"/>
        <w:rPr>
          <w:rFonts w:ascii="Times New Roman" w:hAnsi="Times New Roman"/>
          <w:sz w:val="20"/>
        </w:rPr>
      </w:pPr>
      <w:r>
        <w:rPr>
          <w:rFonts w:ascii="Times New Roman" w:hAnsi="Times New Roman"/>
          <w:sz w:val="20"/>
        </w:rPr>
        <w:t xml:space="preserve">August 12, 2021 </w:t>
      </w:r>
    </w:p>
    <w:p>
      <w:pPr>
        <w:pStyle w:val="TextBody"/>
        <w:spacing w:before="0" w:after="0"/>
        <w:jc w:val="left"/>
        <w:rPr>
          <w:rFonts w:ascii="Times New Roman" w:hAnsi="Times New Roman"/>
          <w:sz w:val="20"/>
        </w:rPr>
      </w:pPr>
      <w:r>
        <w:rPr>
          <w:rFonts w:ascii="Times New Roman" w:hAnsi="Times New Roman"/>
          <w:sz w:val="20"/>
        </w:rPr>
        <w:t xml:space="preserve">Page 2 </w:t>
      </w:r>
    </w:p>
    <w:p>
      <w:pPr>
        <w:pStyle w:val="TextBody"/>
        <w:spacing w:before="240" w:after="0"/>
        <w:jc w:val="left"/>
        <w:rPr>
          <w:rFonts w:ascii="Times New Roman" w:hAnsi="Times New Roman"/>
          <w:sz w:val="20"/>
        </w:rPr>
      </w:pPr>
      <w:r>
        <w:rPr>
          <w:rFonts w:ascii="Times New Roman" w:hAnsi="Times New Roman"/>
          <w:sz w:val="20"/>
        </w:rPr>
        <w:t xml:space="preserve">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 </w:t>
      </w:r>
    </w:p>
    <w:p>
      <w:pPr>
        <w:pStyle w:val="TextBody"/>
        <w:spacing w:before="240" w:after="0"/>
        <w:jc w:val="left"/>
        <w:rPr>
          <w:rFonts w:ascii="Times New Roman" w:hAnsi="Times New Roman"/>
          <w:sz w:val="20"/>
        </w:rPr>
      </w:pPr>
      <w:r>
        <w:rPr>
          <w:rFonts w:ascii="Times New Roman" w:hAnsi="Times New Roman"/>
          <w:sz w:val="20"/>
        </w:rPr>
        <w:t xml:space="preserve">We express no opinion herein as to the laws of any state or jurisdiction other than the General Corporation Law of the State of Delaware. </w:t>
      </w:r>
    </w:p>
    <w:p>
      <w:pPr>
        <w:pStyle w:val="TextBody"/>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the Shares have been duly authorized for issuance and, when the Shares are issued and paid for in accordance with the terms and conditions of the Underwriting Agreement, the Shares will be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t>
      </w:r>
    </w:p>
    <w:p>
      <w:pPr>
        <w:pStyle w:val="TextBody"/>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as an exhibit to the Current Report on Form 8-K to be filed by the Company in connection with the sale of the Shares in accordance with the requirements of Item 601(b)(5) of Regulation S-K under the Securities Act and to the use of our name therein and in the Prospectuses under the caption Legal Matters. In giving such consent, we do not hereby admit that we are in the category of persons whose consent is required under Section 7 of the Securities Act or the rules and regulations of the Commission. </w:t>
      </w:r>
    </w:p>
    <w:p>
      <w:pPr>
        <w:pStyle w:val="TextBody"/>
        <w:spacing w:before="240" w:after="0"/>
        <w:jc w:val="left"/>
        <w:rPr>
          <w:rFonts w:ascii="Times New Roman" w:hAnsi="Times New Roman"/>
          <w:sz w:val="20"/>
        </w:rPr>
      </w:pPr>
      <w:r>
        <w:rPr>
          <w:rFonts w:ascii="Times New Roman" w:hAnsi="Times New Roman"/>
          <w:sz w:val="20"/>
        </w:rPr>
        <w:t xml:space="preserve">Best regards, </w:t>
      </w:r>
    </w:p>
    <w:p>
      <w:pPr>
        <w:pStyle w:val="TextBody"/>
        <w:spacing w:before="240" w:after="0"/>
        <w:jc w:val="left"/>
        <w:rPr>
          <w:rFonts w:ascii="Times New Roman" w:hAnsi="Times New Roman"/>
          <w:sz w:val="20"/>
        </w:rPr>
      </w:pPr>
      <w:r>
        <w:rPr>
          <w:rFonts w:ascii="Times New Roman" w:hAnsi="Times New Roman"/>
          <w:sz w:val="20"/>
        </w:rPr>
        <w:t xml:space="preserve">WILMER CUTLER PICKERING </w:t>
      </w:r>
    </w:p>
    <w:p>
      <w:pPr>
        <w:pStyle w:val="TextBody"/>
        <w:spacing w:before="0" w:after="0"/>
        <w:jc w:val="left"/>
        <w:rPr>
          <w:rFonts w:ascii="Times New Roman" w:hAnsi="Times New Roman"/>
          <w:sz w:val="20"/>
        </w:rPr>
      </w:pPr>
      <w:r>
        <w:rPr>
          <w:rFonts w:ascii="Times New Roman" w:hAnsi="Times New Roman"/>
          <w:sz w:val="20"/>
        </w:rPr>
        <w:t xml:space="preserve">HALE AND DORR LLP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36"/>
        <w:gridCol w:w="60"/>
        <w:gridCol w:w="3686"/>
      </w:tblGrid>
      <w:tr>
        <w:trPr/>
        <w:tc>
          <w:tcPr>
            <w:tcW w:w="3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86" w:type="dxa"/>
            <w:tcBorders/>
            <w:shd w:fill="auto" w:val="clear"/>
            <w:vAlign w:val="center"/>
          </w:tcPr>
          <w:p>
            <w:pPr>
              <w:pStyle w:val="TableContents"/>
              <w:spacing w:before="0" w:after="283"/>
              <w:rPr>
                <w:sz w:val="4"/>
                <w:szCs w:val="4"/>
              </w:rPr>
            </w:pPr>
            <w:r>
              <w:rPr>
                <w:sz w:val="4"/>
                <w:szCs w:val="4"/>
              </w:rPr>
            </w:r>
          </w:p>
        </w:tc>
      </w:tr>
      <w:tr>
        <w:trPr/>
        <w:tc>
          <w:tcPr>
            <w:tcW w:w="33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86"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Lia Der Marderosian</w:t>
            </w:r>
          </w:p>
        </w:tc>
      </w:tr>
      <w:tr>
        <w:trPr/>
        <w:tc>
          <w:tcPr>
            <w:tcW w:w="33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86" w:type="dxa"/>
            <w:tcBorders/>
            <w:shd w:fill="auto" w:val="clear"/>
            <w:vAlign w:val="bottom"/>
          </w:tcPr>
          <w:p>
            <w:pPr>
              <w:pStyle w:val="TableContents"/>
              <w:spacing w:before="0" w:after="283"/>
              <w:rPr/>
            </w:pPr>
            <w:r>
              <w:rPr/>
              <w:t>Lia Der Marderosian, a Partner</w:t>
            </w:r>
          </w:p>
        </w:tc>
      </w:tr>
    </w:tbl>
    <w:p>
      <w:pPr>
        <w:pStyle w:val="TextBody"/>
        <w:spacing w:before="0" w:after="0"/>
        <w:jc w:val="right"/>
        <w:rPr>
          <w:rFonts w:ascii="Times New Roman" w:hAnsi="Times New Roman"/>
          <w:b/>
          <w:sz w:val="20"/>
        </w:rPr>
      </w:pPr>
      <w:r>
        <w:br w:type="page"/>
      </w:r>
      <w:bookmarkStart w:id="6" w:name="d60776dex991.htm"/>
      <w:bookmarkStart w:id="7" w:name="ksd60776dex991"/>
      <w:bookmarkEnd w:id="6"/>
      <w:bookmarkEnd w:id="7"/>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left"/>
        <w:rPr/>
      </w:pPr>
      <w:r>
        <w:rPr/>
        <w:drawing>
          <wp:inline distT="0" distB="0" distL="0" distR="0">
            <wp:extent cx="1847850" cy="561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47850" cy="56197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Fulcrum Therapeutics Announces Pricing of $125 Million Public Offering </w:t>
      </w:r>
    </w:p>
    <w:p>
      <w:pPr>
        <w:pStyle w:val="TextBody"/>
        <w:spacing w:before="0" w:after="0"/>
        <w:jc w:val="center"/>
        <w:rPr>
          <w:rFonts w:ascii="Times New Roman" w:hAnsi="Times New Roman"/>
          <w:b/>
          <w:sz w:val="20"/>
        </w:rPr>
      </w:pPr>
      <w:r>
        <w:rPr>
          <w:rFonts w:ascii="Times New Roman" w:hAnsi="Times New Roman"/>
          <w:b/>
          <w:sz w:val="20"/>
        </w:rPr>
        <w:t xml:space="preserve">of Common Stock </w:t>
      </w:r>
    </w:p>
    <w:p>
      <w:pPr>
        <w:pStyle w:val="TextBody"/>
        <w:spacing w:before="240" w:after="0"/>
        <w:jc w:val="left"/>
        <w:rPr>
          <w:rFonts w:ascii="Times New Roman" w:hAnsi="Times New Roman"/>
          <w:sz w:val="20"/>
        </w:rPr>
      </w:pPr>
      <w:r>
        <w:rPr>
          <w:rFonts w:ascii="Times New Roman" w:hAnsi="Times New Roman"/>
          <w:b/>
          <w:sz w:val="20"/>
        </w:rPr>
        <w:t>CAMBRIDGE,</w:t>
      </w:r>
      <w:r>
        <w:rPr>
          <w:rFonts w:ascii="Times New Roman" w:hAnsi="Times New Roman"/>
          <w:sz w:val="20"/>
        </w:rPr>
        <w:t> </w:t>
      </w:r>
      <w:r>
        <w:rPr>
          <w:rFonts w:ascii="Times New Roman" w:hAnsi="Times New Roman"/>
          <w:b/>
          <w:sz w:val="20"/>
        </w:rPr>
        <w:t>Mass., August</w:t>
      </w:r>
      <w:r>
        <w:rPr>
          <w:rFonts w:ascii="Times New Roman" w:hAnsi="Times New Roman"/>
          <w:sz w:val="20"/>
        </w:rPr>
        <w:t> </w:t>
      </w:r>
      <w:r>
        <w:rPr>
          <w:rFonts w:ascii="Times New Roman" w:hAnsi="Times New Roman"/>
          <w:b/>
          <w:sz w:val="20"/>
        </w:rPr>
        <w:t>11, 2021</w:t>
      </w:r>
      <w:r>
        <w:rPr>
          <w:rFonts w:ascii="Times New Roman" w:hAnsi="Times New Roman"/>
          <w:sz w:val="20"/>
        </w:rPr>
        <w:t xml:space="preserve">  Fulcrum Therapeutics, Inc. (Nasdaq: FULC), a clinical-stage biopharmaceutical company focused on improving the lives of patients with genetically defined rare diseases, today announced that it has priced an underwritten public offering of 6,600,000 shares of its common stock at a public offering price of $19.00 per share, for total gross proceeds of approximately $125 million, before deducting underwriting discounts and commissions and offering expenses payable by Fulcrum. All of the shares in the offering are being sold by Fulcrum. In addition, Fulcrum has granted the underwriters a 30-day option to purchase up to 990,000 additional shares of its common stock at the public offering price, less the underwriting discount and commissions. The offering is expected to close on August 16, 2021, subject to customary closing conditions. </w:t>
      </w:r>
    </w:p>
    <w:p>
      <w:pPr>
        <w:pStyle w:val="TextBody"/>
        <w:spacing w:before="240" w:after="0"/>
        <w:jc w:val="left"/>
        <w:rPr>
          <w:rFonts w:ascii="Times New Roman" w:hAnsi="Times New Roman"/>
          <w:sz w:val="20"/>
        </w:rPr>
      </w:pPr>
      <w:r>
        <w:rPr>
          <w:rFonts w:ascii="Times New Roman" w:hAnsi="Times New Roman"/>
          <w:sz w:val="20"/>
        </w:rPr>
        <w:t xml:space="preserve">SVB Leerink, Piper Sandler &amp; Co. and Stifel are acting as joint bookrunning managers for the offering. H.C. Wainwright &amp; Co. is acting as lead manager for the offering. </w:t>
      </w:r>
    </w:p>
    <w:p>
      <w:pPr>
        <w:pStyle w:val="TextBody"/>
        <w:spacing w:before="240" w:after="0"/>
        <w:jc w:val="left"/>
        <w:rPr>
          <w:rFonts w:ascii="Times New Roman" w:hAnsi="Times New Roman"/>
          <w:sz w:val="20"/>
        </w:rPr>
      </w:pPr>
      <w:r>
        <w:rPr>
          <w:rFonts w:ascii="Times New Roman" w:hAnsi="Times New Roman"/>
          <w:sz w:val="20"/>
        </w:rPr>
        <w:t xml:space="preserve">The shares are being offered by Fulcrum pursuant to a shelf registration statement on Form S-3 that was previously filed with and declared effective by the Securities and Exchange Commission (SEC) and a related registration statement that was filed with the SEC on August 11, 2021 pursuant to Rule 462(b) under the Securities Act of 1933 (and became automatically effective upon filing). </w:t>
      </w:r>
    </w:p>
    <w:p>
      <w:pPr>
        <w:pStyle w:val="TextBody"/>
        <w:spacing w:before="240" w:after="0"/>
        <w:jc w:val="left"/>
        <w:rPr>
          <w:rFonts w:ascii="Times New Roman" w:hAnsi="Times New Roman"/>
          <w:sz w:val="20"/>
        </w:rPr>
      </w:pPr>
      <w:r>
        <w:rPr>
          <w:rFonts w:ascii="Times New Roman" w:hAnsi="Times New Roman"/>
          <w:sz w:val="20"/>
        </w:rPr>
        <w:t xml:space="preserve">This offering is being made only by means of a prospectus and prospectus supplement that form a part of the registration statements. A preliminary prospectus supplement relating to and describing the terms of the offering has been filed with the SEC and is available on the SECs website at www.sec.gov. A final prospectus supplement relating to the offering will be filed with the SEC. When available, copies of the final prospectus supplement and the accompanying prospectus may also be obtained by contacting: SVB Leerink LLC, Attention: Syndicate Department, 53 State Street, 40th Floor, Boston, Massachusetts 02109, by telephone at (800) 808-7525, ext. 6105, or by email at syndicate@svbleerink.com; Piper Sandler &amp; Co., Attention: Prospectus Department, 800 Nicollet Mall, J12S03, Minneapolis, Minnesota 55402, by telephone at (800) 747-3924, or by email at prospectus@psc.com; or Stifel, Nicolaus &amp; Company, Incorporated, Attention: Syndicate, One Montgomery Street, Suite 3700, San Francisco, California 94104, by telephone at 415-364-2720 or by email at syndprospectus@stifel.com. </w:t>
      </w:r>
    </w:p>
    <w:p>
      <w:pPr>
        <w:pStyle w:val="TextBody"/>
        <w:spacing w:before="240" w:after="0"/>
        <w:jc w:val="left"/>
        <w:rPr>
          <w:rFonts w:ascii="Times New Roman" w:hAnsi="Times New Roman"/>
          <w:sz w:val="20"/>
        </w:rPr>
      </w:pPr>
      <w:r>
        <w:rPr>
          <w:rFonts w:ascii="Times New Roman" w:hAnsi="Times New Roman"/>
          <w:sz w:val="20"/>
        </w:rPr>
        <w:t xml:space="preserve">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About Fulcrum Therapeutics </w:t>
      </w:r>
    </w:p>
    <w:p>
      <w:pPr>
        <w:pStyle w:val="TextBody"/>
        <w:spacing w:before="120" w:after="0"/>
        <w:jc w:val="left"/>
        <w:rPr>
          <w:rFonts w:ascii="Times New Roman" w:hAnsi="Times New Roman"/>
          <w:sz w:val="20"/>
        </w:rPr>
      </w:pPr>
      <w:r>
        <w:rPr>
          <w:rFonts w:ascii="Times New Roman" w:hAnsi="Times New Roman"/>
          <w:sz w:val="20"/>
        </w:rPr>
        <w:t xml:space="preserve">Fulcrum Therapeutics is a clinical-stage biopharmaceutical company focused on improving the lives of patients with genetically defined rare diseases in areas of high unmet medical need. Fulcrums proprietary product engine, FulcrumSeekTM, identifies drug targets which can modulate gene expression to treat the known root cause of gene mis-expression. The Company has advanced losmapimod to Phase 2 clinical development for the treatment of facioscapulohumeral muscular dystrophy (FSHD). Fulcrum has also advanced FTX-6058, a small molecule designed to increase expression of fetal hemoglobin for the treatment of sickle cell disease and beta-thalassemia, into Phase 1 clinical development. </w:t>
      </w:r>
    </w:p>
    <w:p>
      <w:pPr>
        <w:pStyle w:val="TextBody"/>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such as those, among others, relating to the Companys plans to consummate the public offering.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projected or implied in these forward-looking statements. Factors that may cause such a difference include, without limitation, risks and uncertainties related to the satisfaction of customary closing conditions related to the public offering and the impact of general economic, industry or political conditions in the United States or internationally. There can be no assurance that the Company will be able to complete the public offering on the anticipated terms, or at all. You should not place undue reliance on these forward-looking statements. Additional risks and uncertainties relating to the offering, the Company and its business can be found under the caption Risk Factors included in the Companys Quarterly Report on Form 10-Q for the quarter ended June 30, 2021, the Companys preliminary prospectus supplement filed with the SEC on August 10, 2021, and other filings that the Company may make with the SEC in the future.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 </w:t>
      </w:r>
    </w:p>
    <w:p>
      <w:pPr>
        <w:pStyle w:val="TextBody"/>
        <w:spacing w:before="360" w:after="0"/>
        <w:jc w:val="left"/>
        <w:rPr>
          <w:rFonts w:ascii="Times New Roman" w:hAnsi="Times New Roman"/>
          <w:b/>
          <w:sz w:val="20"/>
        </w:rPr>
      </w:pPr>
      <w:r>
        <w:rPr>
          <w:rFonts w:ascii="Times New Roman" w:hAnsi="Times New Roman"/>
          <w:b/>
          <w:sz w:val="20"/>
        </w:rPr>
        <w:t xml:space="preserve">Contact: </w:t>
      </w:r>
    </w:p>
    <w:p>
      <w:pPr>
        <w:pStyle w:val="TextBody"/>
        <w:spacing w:before="0" w:after="0"/>
        <w:jc w:val="left"/>
        <w:rPr>
          <w:rFonts w:ascii="Times New Roman" w:hAnsi="Times New Roman"/>
          <w:sz w:val="20"/>
        </w:rPr>
      </w:pPr>
      <w:r>
        <w:rPr>
          <w:rFonts w:ascii="Times New Roman" w:hAnsi="Times New Roman"/>
          <w:sz w:val="20"/>
        </w:rPr>
        <w:t xml:space="preserve">Christi Waarich </w:t>
      </w:r>
    </w:p>
    <w:p>
      <w:pPr>
        <w:pStyle w:val="TextBody"/>
        <w:spacing w:before="0" w:after="0"/>
        <w:jc w:val="left"/>
        <w:rPr>
          <w:rFonts w:ascii="Times New Roman" w:hAnsi="Times New Roman"/>
          <w:sz w:val="20"/>
        </w:rPr>
      </w:pPr>
      <w:r>
        <w:rPr>
          <w:rFonts w:ascii="Times New Roman" w:hAnsi="Times New Roman"/>
          <w:sz w:val="20"/>
        </w:rPr>
        <w:t xml:space="preserve">Director, Investor Relations </w:t>
      </w:r>
    </w:p>
    <w:p>
      <w:pPr>
        <w:pStyle w:val="TextBody"/>
        <w:spacing w:before="0" w:after="0"/>
        <w:jc w:val="left"/>
        <w:rPr>
          <w:rFonts w:ascii="Times New Roman" w:hAnsi="Times New Roman"/>
          <w:sz w:val="20"/>
        </w:rPr>
      </w:pPr>
      <w:r>
        <w:rPr>
          <w:rFonts w:ascii="Times New Roman" w:hAnsi="Times New Roman"/>
          <w:sz w:val="20"/>
        </w:rPr>
        <w:t xml:space="preserve">and Corporate Communications </w:t>
      </w:r>
    </w:p>
    <w:p>
      <w:pPr>
        <w:pStyle w:val="TextBody"/>
        <w:spacing w:before="0" w:after="0"/>
        <w:jc w:val="left"/>
        <w:rPr>
          <w:rFonts w:ascii="Times New Roman" w:hAnsi="Times New Roman"/>
          <w:sz w:val="20"/>
        </w:rPr>
      </w:pPr>
      <w:r>
        <w:rPr>
          <w:rFonts w:ascii="Times New Roman" w:hAnsi="Times New Roman"/>
          <w:sz w:val="20"/>
        </w:rPr>
        <w:t xml:space="preserve">617-651-8664 </w:t>
      </w:r>
    </w:p>
    <w:p>
      <w:pPr>
        <w:pStyle w:val="TextBody"/>
        <w:spacing w:before="0" w:after="0"/>
        <w:jc w:val="left"/>
        <w:rPr>
          <w:rFonts w:ascii="Times New Roman" w:hAnsi="Times New Roman"/>
          <w:sz w:val="20"/>
        </w:rPr>
      </w:pPr>
      <w:r>
        <w:rPr>
          <w:rFonts w:ascii="Times New Roman" w:hAnsi="Times New Roman"/>
          <w:sz w:val="20"/>
        </w:rPr>
        <w:t xml:space="preserve">cwaarich@fulcrumtx.com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47</Pages>
  <Words>20158</Words>
  <CharactersWithSpaces>124393</CharactersWithSpaces>
  <Paragraphs>568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