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20" w:right="1700" w:hanging="3812"/>
        <w:spacing w:after="0" w:line="375" w:lineRule="auto"/>
        <w:tabs>
          <w:tab w:leader="none" w:pos="37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3691890</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51"/>
        </w:trPr>
        <w:tc>
          <w:tcPr>
            <w:tcW w:w="5040" w:type="dxa"/>
            <w:vAlign w:val="bottom"/>
          </w:tcPr>
          <w:p>
            <w:pPr>
              <w:jc w:val="center"/>
              <w:ind w:right="123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40" w:type="dxa"/>
            <w:vAlign w:val="bottom"/>
          </w:tcPr>
          <w:p>
            <w:pPr>
              <w:jc w:val="center"/>
              <w:ind w:left="125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6"/>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540" w:type="dxa"/>
            <w:vAlign w:val="bottom"/>
          </w:tcPr>
          <w:p>
            <w:pPr>
              <w:spacing w:after="0"/>
              <w:rPr>
                <w:sz w:val="18"/>
                <w:szCs w:val="18"/>
                <w:color w:val="auto"/>
              </w:rPr>
            </w:pPr>
          </w:p>
        </w:tc>
      </w:tr>
      <w:tr>
        <w:trPr>
          <w:trHeight w:val="214"/>
        </w:trPr>
        <w:tc>
          <w:tcPr>
            <w:tcW w:w="504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54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5040" w:type="dxa"/>
            <w:vAlign w:val="bottom"/>
          </w:tcPr>
          <w:p>
            <w:pPr>
              <w:jc w:val="center"/>
              <w:ind w:right="12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top w:val="single" w:sz="8" w:color="auto"/>
              <w:bottom w:val="single" w:sz="8" w:color="auto"/>
              <w:right w:val="single" w:sz="8" w:color="auto"/>
            </w:tcBorders>
          </w:tcPr>
          <w:p>
            <w:pPr>
              <w:spacing w:after="0"/>
              <w:rPr>
                <w:sz w:val="15"/>
                <w:szCs w:val="15"/>
                <w:color w:val="auto"/>
              </w:rPr>
            </w:pP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5"/>
                <w:szCs w:val="15"/>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9"/>
        </w:trPr>
        <w:tc>
          <w:tcPr>
            <w:tcW w:w="4500" w:type="dxa"/>
            <w:vAlign w:val="bottom"/>
            <w:tcBorders>
              <w:left w:val="single" w:sz="8" w:color="auto"/>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Common stock, par value $0.001 per share</w:t>
            </w:r>
          </w:p>
        </w:tc>
        <w:tc>
          <w:tcPr>
            <w:tcW w:w="1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FULC</w:t>
            </w:r>
          </w:p>
        </w:tc>
        <w:tc>
          <w:tcPr>
            <w:tcW w:w="10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00" w:lineRule="exact"/>
        <w:rPr>
          <w:sz w:val="24"/>
          <w:szCs w:val="24"/>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40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6" w:lineRule="exact"/>
        <w:rPr>
          <w:sz w:val="24"/>
          <w:szCs w:val="24"/>
          <w:color w:val="auto"/>
        </w:rPr>
      </w:pPr>
    </w:p>
    <w:p>
      <w:pPr>
        <w:ind w:right="5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spacing w:after="0" w:line="196" w:lineRule="exact"/>
        <w:tabs>
          <w:tab w:leader="none" w:pos="7960" w:val="left"/>
          <w:tab w:leader="none" w:pos="87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April 20, 2026, the registrant had 66,633,321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development of pociredir, including interactions with regulatory authorities and future clinical trials;</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pociredir and any other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(including planned investigational new drug, or IND, application filings) and our research and development programs;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jc w:val="both"/>
        <w:ind w:left="900" w:right="48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acquire or develop additional products, product candidates or technologies with significant commercial potential that are consistent with our commercial objectives (particularly in light of our recent termination of our license agreement with CAMP4 Therapeutics Corp., or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including uncertainty resulting from changes in the administration, shifts in government policy and the evolving regulatory environment;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 and</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or other geopolitical events or prolonged government shutdowns on our business and operations, including our clinical trials and development plans, as well as our future financial results.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76" w:lineRule="exact"/>
        <w:rPr>
          <w:sz w:val="20"/>
          <w:szCs w:val="20"/>
          <w:color w:val="auto"/>
        </w:rPr>
      </w:pPr>
    </w:p>
    <w:p>
      <w:pPr>
        <w:ind w:left="760" w:right="8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$74.9 million for the year ended December 31, 2025. Our net loss was $18.9 million for the three months ended March 31, 2026. We expect to incur losses over the next several years and may never achieve or maintain profitability. As of March 31, 2026, we had an accumulated deficit of $613.2 million.</w:t>
      </w:r>
    </w:p>
    <w:p>
      <w:pPr>
        <w:spacing w:after="0" w:line="175"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 of pociredir and continue research and development and initiate additional clinical trials of, and seek regulatory approval for, pociredir and other product candidates.</w:t>
      </w:r>
    </w:p>
    <w:p>
      <w:pPr>
        <w:spacing w:after="0" w:line="179" w:lineRule="exact"/>
        <w:rPr>
          <w:rFonts w:ascii="Times New Roman" w:cs="Times New Roman" w:eastAsia="Times New Roman" w:hAnsi="Times New Roman"/>
          <w:sz w:val="18"/>
          <w:szCs w:val="18"/>
          <w:color w:val="auto"/>
        </w:rPr>
      </w:pPr>
    </w:p>
    <w:p>
      <w:pPr>
        <w:ind w:left="760" w:right="12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development efforts, and we only have one product candidate in clinical trials. If we are unable to complete clinical development of and commercialize our product candidates or experience significant delays in doing so, our business will be materially harmed.</w:t>
      </w:r>
    </w:p>
    <w:p>
      <w:pPr>
        <w:spacing w:after="0" w:line="139"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7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61"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 or to in-license or acquire additional product candidates.</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 w:name="page4"/>
    <w:bookmarkEnd w:id="3"/>
    <w:p>
      <w:pPr>
        <w:ind w:left="380" w:right="46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61"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spacing w:after="0" w:line="175" w:lineRule="exact"/>
        <w:rPr>
          <w:rFonts w:ascii="Times New Roman" w:cs="Times New Roman" w:eastAsia="Times New Roman" w:hAnsi="Times New Roman"/>
          <w:sz w:val="18"/>
          <w:szCs w:val="18"/>
          <w:color w:val="auto"/>
        </w:rPr>
      </w:pPr>
    </w:p>
    <w:p>
      <w:pPr>
        <w:ind w:left="380" w:right="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75" w:lineRule="exact"/>
        <w:rPr>
          <w:rFonts w:ascii="Times New Roman" w:cs="Times New Roman" w:eastAsia="Times New Roman" w:hAnsi="Times New Roman"/>
          <w:sz w:val="18"/>
          <w:szCs w:val="18"/>
          <w:color w:val="auto"/>
        </w:rPr>
      </w:pPr>
    </w:p>
    <w:p>
      <w:pPr>
        <w:ind w:left="380" w:right="5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380" w:right="2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both ex-U.S. and domestically, or changes in U.S. economic policy announced by the current administration. These events may adversely impact the U.S. economy and/or economies worldwide, which could result in adverse effects on our business and operations.</w:t>
      </w:r>
    </w:p>
    <w:p>
      <w:pPr>
        <w:spacing w:after="0" w:line="18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20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9860" w:type="dxa"/>
            <w:vAlign w:val="bottom"/>
            <w:gridSpan w:val="17"/>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2026 and 2025</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2026 and 2025</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tcBorders>
              <w:left w:val="single" w:sz="8" w:color="0000FF"/>
            </w:tcBorders>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vMerge w:val="continue"/>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50,261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197,533</w:t>
            </w: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283,055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154,773</w:t>
            </w:r>
          </w:p>
        </w:tc>
      </w:tr>
      <w:tr>
        <w:trPr>
          <w:trHeight w:val="216"/>
        </w:trPr>
        <w:tc>
          <w:tcPr>
            <w:tcW w:w="7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5,353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5,174</w:t>
            </w: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338,669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357,480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2,824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4,241</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538</w:t>
            </w:r>
          </w:p>
        </w:tc>
      </w:tr>
      <w:tr>
        <w:trPr>
          <w:trHeight w:val="249"/>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346,770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366,284</w:t>
            </w:r>
          </w:p>
        </w:tc>
      </w:tr>
      <w:tr>
        <w:trPr>
          <w:trHeight w:val="197"/>
        </w:trPr>
        <w:tc>
          <w:tcPr>
            <w:tcW w:w="7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4,953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9,052</w:t>
            </w: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2,461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2,404</w:t>
            </w:r>
          </w:p>
        </w:tc>
      </w:tr>
      <w:tr>
        <w:trPr>
          <w:trHeight w:val="210"/>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9,864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13,048</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4,039</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17,284</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66,608,096 and 66,578,891 shares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respectively</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946,918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943,037</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(613,169)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(594,278)</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333,303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349,000</w:t>
            </w: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346,770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366,284</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-3531235</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-2691130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-2673985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-1559560</wp:posOffset>
            </wp:positionV>
            <wp:extent cx="11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14,084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13,404</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8,102</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6,999</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22,186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20,403</w:t>
            </w: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(20,403)</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2,748</w:t>
            </w:r>
          </w:p>
        </w:tc>
      </w:tr>
      <w:tr>
        <w:trPr>
          <w:trHeight w:val="22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(17,655)</w:t>
            </w: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60" w:type="dxa"/>
            <w:vAlign w:val="bottom"/>
            <w:tcBorders>
              <w:bottom w:val="single" w:sz="8" w:color="CFF0FC"/>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76,215</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62,479</w:t>
            </w:r>
          </w:p>
        </w:tc>
      </w:tr>
      <w:tr>
        <w:trPr>
          <w:trHeight w:val="196"/>
        </w:trPr>
        <w:tc>
          <w:tcPr>
            <w:tcW w:w="7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776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-1940560</wp:posOffset>
            </wp:positionV>
            <wp:extent cx="13652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-1353820</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-1336675</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-1028065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10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5"/>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auto"/>
            </w:tcBorders>
            <w:gridSpan w:val="3"/>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ive</w:t>
            </w:r>
          </w:p>
        </w:tc>
        <w:tc>
          <w:tcPr>
            <w:tcW w:w="1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10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6"/>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53,968,303</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54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762,248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(519,398)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243,034</w:t>
            </w:r>
          </w:p>
        </w:tc>
        <w:tc>
          <w:tcPr>
            <w:tcW w:w="0" w:type="dxa"/>
            <w:vAlign w:val="bottom"/>
          </w:tcPr>
          <w:p>
            <w:pPr>
              <w:spacing w:after="0"/>
              <w:rPr>
                <w:sz w:val="1"/>
                <w:szCs w:val="1"/>
                <w:color w:val="auto"/>
              </w:rPr>
            </w:pPr>
          </w:p>
        </w:tc>
      </w:tr>
      <w:tr>
        <w:trPr>
          <w:trHeight w:val="203"/>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11,003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3,167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03"/>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(17,655)</w:t>
            </w:r>
          </w:p>
        </w:tc>
        <w:tc>
          <w:tcPr>
            <w:tcW w:w="0" w:type="dxa"/>
            <w:vAlign w:val="bottom"/>
          </w:tcPr>
          <w:p>
            <w:pPr>
              <w:spacing w:after="0"/>
              <w:rPr>
                <w:sz w:val="1"/>
                <w:szCs w:val="1"/>
                <w:color w:val="auto"/>
              </w:rPr>
            </w:pP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53,979,306</w:t>
            </w:r>
          </w:p>
        </w:tc>
        <w:tc>
          <w:tcPr>
            <w:tcW w:w="86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765,415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228,486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66,578,891</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67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943,037</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(594,278)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349,000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employee benefit plans</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21,318</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3,860</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03"/>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(18,891)</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0" w:type="dxa"/>
            <w:vAlign w:val="bottom"/>
          </w:tcPr>
          <w:p>
            <w:pPr>
              <w:spacing w:after="0"/>
              <w:rPr>
                <w:sz w:val="20"/>
                <w:szCs w:val="20"/>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66,608,096</w:t>
            </w:r>
          </w:p>
        </w:tc>
        <w:tc>
          <w:tcPr>
            <w:tcW w:w="1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67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946,918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(613,169)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333,303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-1096645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-1096645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-1096645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-1096645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-1096645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6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(17,655)</w:t>
            </w:r>
          </w:p>
        </w:tc>
      </w:tr>
      <w:tr>
        <w:trPr>
          <w:trHeight w:val="20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r>
      <w:tr>
        <w:trPr>
          <w:trHeight w:val="203"/>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3,860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3,167</w:t>
            </w: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03"/>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w:t>
            </w:r>
          </w:p>
        </w:tc>
      </w:tr>
      <w:tr>
        <w:trPr>
          <w:trHeight w:val="203"/>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1,832</w:t>
            </w:r>
          </w:p>
        </w:tc>
      </w:tr>
      <w:tr>
        <w:trPr>
          <w:trHeight w:val="203"/>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3"/>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r>
      <w:tr>
        <w:trPr>
          <w:trHeight w:val="203"/>
        </w:trPr>
        <w:tc>
          <w:tcPr>
            <w:tcW w:w="70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7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(3,340)</w:t>
            </w:r>
          </w:p>
        </w:tc>
      </w:tr>
      <w:tr>
        <w:trPr>
          <w:trHeight w:val="196"/>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r>
      <w:tr>
        <w:trPr>
          <w:trHeight w:val="20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(155,337)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(60,397)</w:t>
            </w:r>
          </w:p>
        </w:tc>
      </w:tr>
      <w:tr>
        <w:trPr>
          <w:trHeight w:val="20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27,135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59,620</w:t>
            </w:r>
          </w:p>
        </w:tc>
      </w:t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(128,210)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of offering costs associated with the issuance of common stock and pre-funded warrants</w:t>
            </w:r>
          </w:p>
        </w:tc>
        <w:tc>
          <w:tcPr>
            <w:tcW w:w="7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7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(147,272)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w:t>
            </w:r>
          </w:p>
        </w:tc>
      </w:tr>
      <w:tr>
        <w:trPr>
          <w:trHeight w:val="202"/>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7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198,734</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59,413</w:t>
            </w:r>
          </w:p>
        </w:tc>
      </w:tr>
      <w:tr>
        <w:trPr>
          <w:trHeight w:val="196"/>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6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51,462</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43,379</w:t>
            </w: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7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16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-2001520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-690245</wp:posOffset>
            </wp:positionV>
            <wp:extent cx="102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-424180</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20" w:type="dxa"/>
            <w:vAlign w:val="bottom"/>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50,261</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42,178</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1,201</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12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51,462</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43,379</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March 31, 2026 and the results of its operations and its cash flows for the three months ended March 31, 2026 and 2025. The results for the three months ended March 31, 2026 are not necessarily indicative of results to be expected for the year ending December 31, 2026, any other interim periods, or any future year or period. These consolidated financial statements should be read in conjunction with the Company’s audited consolidated financial statements and the notes thereto for the year ended December 31, 2025 included in the Company’s Annual Report on Form 10-K filed with the Securities and Exchange Commission (the “SEC”) on February 24, 2026 (the “Annual Report on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March 31, 2026, the Company had an accumulated deficit of $613.2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2025 included in the Company’s Annual Report on Form 10-K. There have been no material changes in the Company’s significant accounting policies during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U.S. Treasury securities and money market funds that invest in U.S. Treasury securities. The Company’s marketable securities consist of U.S. Treasury securities,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disclosure of additional information about specific expense categories in the notes to the financial statements on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March 31, 2026 and December 31, 2025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42,274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42,274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7,987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7,987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39,502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39,502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240,053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240,053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333,316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42,274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291,042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47"/>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197,533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197,533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151,272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151,272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352,306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197,533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154,773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-1482725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-1482725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-1482725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months ended March 31,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March 31, 2026 and December 31, 2025 (in thousands):</w:t>
      </w:r>
    </w:p>
    <w:p>
      <w:pPr>
        <w:spacing w:after="0" w:line="24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March 31, 2026</w:t>
      </w:r>
    </w:p>
    <w:tbl>
      <w:tblPr>
        <w:tblLayout w:type="fixed"/>
        <w:tblInd w:w="0" w:type="dxa"/>
        <w:tblCellMar>
          <w:top w:w="0" w:type="dxa"/>
          <w:left w:w="0" w:type="dxa"/>
          <w:bottom w:w="0" w:type="dxa"/>
          <w:right w:w="0" w:type="dxa"/>
        </w:tblCellMar>
      </w:tblPr>
      <w:tr>
        <w:trPr>
          <w:trHeight w:val="117"/>
        </w:trPr>
        <w:tc>
          <w:tcPr>
            <w:tcW w:w="4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9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1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42,274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42,274</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7,987</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7,987</w:t>
            </w:r>
          </w:p>
        </w:tc>
        <w:tc>
          <w:tcPr>
            <w:tcW w:w="0" w:type="dxa"/>
            <w:vAlign w:val="bottom"/>
          </w:tcPr>
          <w:p>
            <w:pPr>
              <w:spacing w:after="0"/>
              <w:rPr>
                <w:sz w:val="1"/>
                <w:szCs w:val="1"/>
                <w:color w:val="auto"/>
              </w:rPr>
            </w:pP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50,261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50,261</w:t>
            </w: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39,570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39,502</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240,498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240,053</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283,568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283,055</w:t>
            </w:r>
          </w:p>
        </w:tc>
        <w:tc>
          <w:tcPr>
            <w:tcW w:w="0" w:type="dxa"/>
            <w:vAlign w:val="bottom"/>
          </w:tcPr>
          <w:p>
            <w:pPr>
              <w:spacing w:after="0"/>
              <w:rPr>
                <w:sz w:val="1"/>
                <w:szCs w:val="1"/>
                <w:color w:val="auto"/>
              </w:rPr>
            </w:pPr>
          </w:p>
        </w:tc>
      </w:tr>
      <w:tr>
        <w:trPr>
          <w:trHeight w:val="21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333,829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333,316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-1927860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-1927860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-1927860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-1079500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-1079500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-1079500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 2025</w:t>
      </w:r>
    </w:p>
    <w:tbl>
      <w:tblPr>
        <w:tblLayout w:type="fixed"/>
        <w:tblInd w:w="0" w:type="dxa"/>
        <w:tblCellMar>
          <w:top w:w="0" w:type="dxa"/>
          <w:left w:w="0" w:type="dxa"/>
          <w:bottom w:w="0" w:type="dxa"/>
          <w:right w:w="0" w:type="dxa"/>
        </w:tblCellMar>
      </w:tblPr>
      <w:tr>
        <w:trPr>
          <w:trHeight w:val="117"/>
        </w:trPr>
        <w:tc>
          <w:tcPr>
            <w:tcW w:w="5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97"/>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17"/>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197,533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197,533</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197,533</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197,533</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151,100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151,272</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154,599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154,773</w:t>
            </w: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352,132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352,306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-736600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-736600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-736600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months ended March 31, 2026. As of March 31, 2026, the Company held 39 debt securities that were in an unrealized loss position for less than 12 months with an aggregate fair value of $204.4 million. As of March 31, 2026, the Company held one debt security that was in an unrealized loss position for greater than 12 months with a fair value of $5.0 million. As of March 31, 2026, the aggregate fair value of marketable securities with a remaining contractual maturity of greater than one year was $53.5 million.</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three months ended March 31, 2026</w:t>
      </w:r>
      <w:r>
        <w:rPr>
          <w:rFonts w:ascii="Times New Roman" w:cs="Times New Roman" w:eastAsia="Times New Roman" w:hAnsi="Times New Roman"/>
          <w:sz w:val="18"/>
          <w:szCs w:val="18"/>
          <w:color w:val="212529"/>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(15,647)</w:t>
            </w: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-453390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$0.3 million and $0.4 million, respectively.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Prepaid sign-on bonuses subject to vesting provisions</w:t>
            </w:r>
          </w:p>
        </w:tc>
        <w:tc>
          <w:tcPr>
            <w:tcW w:w="15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-1079500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9,052</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5,000,000 shares of undesignated preferred stock were authorized. No shares of preferred stock were issued or outstanding as of March 31, 2026 and December 31,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200,000,000 shares of common stock, $0.001 par value per share, were authorized.</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has reserved for future issuance the following number of shares of common stock:</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3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13,930,296</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11,645,843</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vesting of restricted stock units</w:t>
            </w:r>
          </w:p>
        </w:tc>
        <w:tc>
          <w:tcPr>
            <w:tcW w:w="36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90,093</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69,486</w:t>
            </w: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w:t>
            </w: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Incentive Plan</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4,579,521</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4,779,386</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2,459,643</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2,031,072</w:t>
            </w: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w:t>
            </w: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Inducement Stock Incentive Plan</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1,174,084</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1,308,484</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future issuance for pre-funded warrants</w:t>
            </w: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9,611,193</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9,611,193</w:t>
            </w:r>
          </w:p>
        </w:tc>
      </w:tr>
      <w:tr>
        <w:trPr>
          <w:trHeight w:val="250"/>
        </w:trPr>
        <w:tc>
          <w:tcPr>
            <w:tcW w:w="368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31,844,830</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29,445,464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As of March 31, 2026, 850,000 pre-funded warrants have been exercised.</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we allow the exercise) if upon giving effect to such exercise, it would cause the aggregate number of shares of the Company’s common stock beneficially owned by the holder (together with affiliates and any other persons whose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200"/>
        <w:spacing w:after="0" w:line="261" w:lineRule="auto"/>
        <w:rPr>
          <w:sz w:val="20"/>
          <w:szCs w:val="20"/>
          <w:color w:val="auto"/>
        </w:rPr>
      </w:pPr>
      <w:r>
        <w:rPr>
          <w:rFonts w:ascii="Times New Roman" w:cs="Times New Roman" w:eastAsia="Times New Roman" w:hAnsi="Times New Roman"/>
          <w:sz w:val="18"/>
          <w:szCs w:val="18"/>
          <w:color w:val="auto"/>
        </w:rPr>
        <w:t>beneficial ownership of the Company’s common stock would be aggregated for the purposes of Section 13(d) of the Securities Exchange Act of 1934, as amended) to exceed a limit agreed to with the investor,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w:t>
      </w:r>
    </w:p>
    <w:p>
      <w:pPr>
        <w:spacing w:after="0" w:line="11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as either equity or liability pursuant to the Company’s accounting policy described in Note 2, “Summary of Significant Accounting Policies” in the Annual Report on Form 10-K.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March 31, 2026, no shares remained available for future issuance under the 2016 Plan. Any options or other awards outstanding under the 2016 Plan remain outstanding and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2026, the number of shares reserved for issuance under the 2019 Plan was increased by 2,000,000 shares. As of March 31, 2026, there were 4,579,521 shares available for future issuance under the 2019 Plan.</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March 31, 2026, there were 1,174,084 shares available for future issuance under the Inducement Plan.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three months ended March 31, 2026:</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3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11,645,843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6.67</w:t>
            </w:r>
          </w:p>
        </w:tc>
        <w:tc>
          <w:tcPr>
            <w:tcW w:w="1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61,391,718</w:t>
            </w:r>
          </w:p>
        </w:tc>
        <w:tc>
          <w:tcPr>
            <w:tcW w:w="0" w:type="dxa"/>
            <w:vAlign w:val="bottom"/>
          </w:tcPr>
          <w:p>
            <w:pPr>
              <w:spacing w:after="0"/>
              <w:rPr>
                <w:sz w:val="1"/>
                <w:szCs w:val="1"/>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2,396,600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13,930,296</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7.37</w:t>
            </w:r>
          </w:p>
        </w:tc>
        <w:tc>
          <w:tcPr>
            <w:tcW w:w="144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7.86</w:t>
            </w:r>
          </w:p>
        </w:tc>
        <w:tc>
          <w:tcPr>
            <w:tcW w:w="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27,092,473</w:t>
            </w:r>
          </w:p>
        </w:tc>
        <w:tc>
          <w:tcPr>
            <w:tcW w:w="0" w:type="dxa"/>
            <w:vAlign w:val="bottom"/>
          </w:tcPr>
          <w:p>
            <w:pPr>
              <w:spacing w:after="0"/>
              <w:rPr>
                <w:sz w:val="1"/>
                <w:szCs w:val="1"/>
                <w:color w:val="auto"/>
              </w:rPr>
            </w:pPr>
          </w:p>
        </w:tc>
      </w:tr>
      <w:tr>
        <w:trPr>
          <w:trHeight w:val="197"/>
        </w:trPr>
        <w:tc>
          <w:tcPr>
            <w:tcW w:w="4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320" w:type="dxa"/>
            <w:vAlign w:val="bottom"/>
            <w:tcBorders>
              <w:bottom w:val="single" w:sz="8" w:color="auto"/>
            </w:tcBorders>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6,441,604</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7.80</w:t>
            </w:r>
          </w:p>
        </w:tc>
        <w:tc>
          <w:tcPr>
            <w:tcW w:w="1440" w:type="dxa"/>
            <w:vAlign w:val="bottom"/>
            <w:gridSpan w:val="2"/>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6.71</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13,736,748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-187960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6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months ended March 31, 2026 and 2025 was $9.09 per share and $3.52 per share, respectively. The total intrinsic value of stock options exercised during the three months ended March 31, 2026 and 2025 was less than $0.1 million and zero, respectively.</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months ended March 31, 2026 and 2025 has been calculated on the date of grant using the following weighted average assumptions: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65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7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500" w:type="dxa"/>
            <w:vAlign w:val="bottom"/>
          </w:tcPr>
          <w:p>
            <w:pPr>
              <w:spacing w:after="0"/>
              <w:rPr>
                <w:sz w:val="15"/>
                <w:szCs w:val="15"/>
                <w:color w:val="auto"/>
              </w:rPr>
            </w:pPr>
          </w:p>
        </w:tc>
        <w:tc>
          <w:tcPr>
            <w:tcW w:w="17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7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6.0</w:t>
            </w:r>
          </w:p>
        </w:tc>
        <w:tc>
          <w:tcPr>
            <w:tcW w:w="18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three months ended March 31, 2026:</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5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5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69,486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45,150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90,093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480" w:firstLine="509"/>
        <w:spacing w:after="0" w:line="280"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2,489</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2,183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3,167</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102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an aggregate of $40.0 million of unrecognized stock-based compensation expense, which is expected to be recognized over a weighted average period of 2.59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2026, the number of shares reserved for issuance under the 2019 ESPP was increased by 428,571 shares. As of March 31, 2026, there were 2,459,643 shares available for future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to commercialize losmapimod, an oral small molecule for the treatment of facioscapulohumeral muscular dystrophy, outside of the United States.</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September 2024, the Company discontinued development of losmapimod following topline results from the Phase 3 REACH trial. On December 18, 2024, Sanofi provided written notice of termination for convenience, and the agreement terminated in its entirety on April 17, 2025. As a result, the Company is not entitled to receive any further milestone payments, royalties, or development cost reimbursements under the agreement.</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no activity related to the Sanofi Agreement. During the three months ended March 31, 2025, the Company recorded a reduction in research and development expenses of $1.0 million related to reimbursable global development activities under the agreement.</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obtained a worldwide exclusive license to certain intellectual property related to CAMP4’s Diamond-Blackfan anemia (“DBA”) program. Under the terms of the agreement, the Company was responsible for development and commercialization of any licensed products, and CAMP4 would have been eligible to receive development, regulatory, and sales milestone payments, as well as royalties on net sales of licensed products.</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April 2025, the Company incurred a $0.6 million preclinical milestone payment, which was recorded as research and development expense during the year ended December 31, 2025.</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2026, the Company announced the discontinuation of its bone marrow failure syndromes program, including DBA. On April 23, 2026, the Company delivered written notice to terminate the CAMP4 Agreement for convenience. In accordance with the terms of the agreement, the termination will become effective following the applicable notice period. Upon termination, the Company will have no further obligations under the agreement, other than those that survive termination in accordance with its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March 31, 2026 and December 31, 2025. Operating lease expense associated with this lease for the three months ended March 31, 2026 was approximately $0.5 million. Variable lease expense associated with this lease for the three months ended March 31, 2026 was approximately $0.3 million.</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March 31, 2026,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2026(1)</w:t>
            </w:r>
          </w:p>
        </w:tc>
        <w:tc>
          <w:tcPr>
            <w:tcW w:w="7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Pr>
          <w:p>
            <w:pPr>
              <w:spacing w:after="0"/>
              <w:rPr>
                <w:sz w:val="18"/>
                <w:szCs w:val="18"/>
                <w:color w:val="auto"/>
              </w:rPr>
            </w:pPr>
          </w:p>
        </w:tc>
      </w:tr>
      <w:tr>
        <w:trPr>
          <w:trHeight w:val="216"/>
        </w:trPr>
        <w:tc>
          <w:tcPr>
            <w:tcW w:w="1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8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20" w:type="dxa"/>
            <w:vAlign w:val="bottom"/>
          </w:tcPr>
          <w:p>
            <w:pPr>
              <w:spacing w:after="0"/>
              <w:rPr>
                <w:sz w:val="18"/>
                <w:szCs w:val="18"/>
                <w:color w:val="auto"/>
              </w:rPr>
            </w:pPr>
          </w:p>
        </w:tc>
      </w:tr>
      <w:tr>
        <w:trPr>
          <w:trHeight w:val="216"/>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r>
      <w:tr>
        <w:trPr>
          <w:trHeight w:val="210"/>
        </w:trPr>
        <w:tc>
          <w:tcPr>
            <w:tcW w:w="9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20" w:type="dxa"/>
            <w:vAlign w:val="bottom"/>
            <w:tcBorders>
              <w:top w:val="single" w:sz="8" w:color="CFF0FC"/>
            </w:tcBorders>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7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-548005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-265430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620" w:hanging="252"/>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for nine months ending December 31, 2026.</w:t>
      </w:r>
    </w:p>
    <w:p>
      <w:pPr>
        <w:spacing w:after="0" w:line="32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right="320"/>
        <w:spacing w:after="0" w:line="282" w:lineRule="auto"/>
        <w:rPr>
          <w:sz w:val="20"/>
          <w:szCs w:val="20"/>
          <w:color w:val="auto"/>
        </w:rPr>
      </w:pPr>
      <w:r>
        <w:rPr>
          <w:rFonts w:ascii="Times New Roman" w:cs="Times New Roman" w:eastAsia="Times New Roman" w:hAnsi="Times New Roman"/>
          <w:sz w:val="18"/>
          <w:szCs w:val="18"/>
          <w:color w:val="auto"/>
        </w:rPr>
        <w:t>as a result of such indemnifications. The Company is not aware of any claims under indemnification arrangements, and it has not accrued any liabilities related to such obligations as of March 31, 2026 or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in contributions to the 401(k) Plan for the three months ended March 31, 2026 and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Share</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income by the weighted average number of common shares outstanding during the period, including the 9,611,193 shares of common stock issuable upon the exercise of pre-funded warrants that are exercisable for little or no consideration, as described in Note 8.</w:t>
      </w:r>
    </w:p>
    <w:p>
      <w:pPr>
        <w:spacing w:after="0" w:line="17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8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Borders>
              <w:top w:val="single" w:sz="8" w:color="auto"/>
              <w:bottom w:val="single" w:sz="8" w:color="auto"/>
            </w:tcBorders>
          </w:tcPr>
          <w:p>
            <w:pPr>
              <w:jc w:val="right"/>
              <w:ind w:right="8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940" w:type="dxa"/>
            <w:vAlign w:val="bottom"/>
            <w:tcBorders>
              <w:top w:val="single" w:sz="8" w:color="auto"/>
              <w:bottom w:val="single" w:sz="8" w:color="auto"/>
            </w:tcBorders>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13,930,296</w:t>
            </w:r>
          </w:p>
        </w:tc>
        <w:tc>
          <w:tcPr>
            <w:tcW w:w="2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12,010,355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00" w:type="dxa"/>
            <w:vAlign w:val="bottom"/>
          </w:tcPr>
          <w:p>
            <w:pPr>
              <w:spacing w:after="0"/>
              <w:rPr>
                <w:sz w:val="18"/>
                <w:szCs w:val="18"/>
                <w:color w:val="auto"/>
              </w:rPr>
            </w:pPr>
          </w:p>
        </w:tc>
        <w:tc>
          <w:tcPr>
            <w:tcW w:w="1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90,093</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88,048</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14,020,389</w:t>
            </w:r>
          </w:p>
        </w:tc>
        <w:tc>
          <w:tcPr>
            <w:tcW w:w="2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12,098,403</w:t>
            </w:r>
          </w:p>
        </w:tc>
        <w:tc>
          <w:tcPr>
            <w:tcW w:w="112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2960" w:type="dxa"/>
            <w:vAlign w:val="bottom"/>
            <w:tcBorders>
              <w:top w:val="single" w:sz="8" w:color="CFF0FC"/>
            </w:tcBorders>
          </w:tcPr>
          <w:p>
            <w:pPr>
              <w:spacing w:after="0"/>
              <w:rPr>
                <w:sz w:val="24"/>
                <w:szCs w:val="24"/>
                <w:color w:val="auto"/>
              </w:rPr>
            </w:pPr>
          </w:p>
        </w:tc>
        <w:tc>
          <w:tcPr>
            <w:tcW w:w="2000" w:type="dxa"/>
            <w:vAlign w:val="bottom"/>
            <w:tcBorders>
              <w:top w:val="single" w:sz="8" w:color="CFF0FC"/>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1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-1071245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-1053465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and the CODM primarily utilize the segment's consolidated net loss, disaggregated between (a) research and development and (b) general and administrative, as the key indicator to assess the segment's performance and for allocating resources.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 operating expenses and net loss for the three months ended March 31, 2026 and 2025 are as follows:</w:t>
      </w:r>
    </w:p>
    <w:p>
      <w:pPr>
        <w:spacing w:after="0" w:line="24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Employee compensation expenses (excluding stock-based compensation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(20,403)</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(17,655)</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-1520825</wp:posOffset>
            </wp:positionV>
            <wp:extent cx="939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-1520825</wp:posOffset>
            </wp:positionV>
            <wp:extent cx="9398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24, 2026.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developing small molecules to improve the lives of patients with genetically defined rare diseases in areas of high unmet medical need. Our lead product candidate, pociredir, is in clinical development for the potential treatment of SCD.</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2026, we announced updated 20 mg cohort results from the PIONEER trial as of the December 23, 2025 data cut off date showing:</w:t>
      </w:r>
    </w:p>
    <w:p>
      <w:pPr>
        <w:spacing w:after="0" w:line="117" w:lineRule="exact"/>
        <w:rPr>
          <w:sz w:val="20"/>
          <w:szCs w:val="20"/>
          <w:color w:val="auto"/>
        </w:rPr>
      </w:pPr>
    </w:p>
    <w:p>
      <w:pPr>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absolute HbF increased by 12.2% at 12 weeks of treatment with pociredir (vs. 8.6% at Week 12 in the 12 mg cohort), increasing from a baseline of 7.1% to 19.3%. Seven of 12 patients (58%) achieved absolute HbF levels ≥20% at Week 12, and all patients demonstrated a clinically relevant HbF increase. HbF levels of 20% are associated with ~90% of patients experiencing zero VOCs per year, based on real-world data that we presented at the 20th Annual Sickle Cell &amp; Thalassemia Conference in October 2025.</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HbF-containing red blood cells, or F-cells, increased from a mean of 31% at baseline to 63% at Week 12 (n=10), indicating progression toward pan-cellular HbF induction (HbF distributed across a substantial proportion of RBCs). F-cells are more resistant to sickling and hemolysis because of HbF-mediated inhibition of HbS polymerization. Higher proportions of F-cells are associated with improved RBC health.</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changes in markers of hemolysis and erythropoiesis improved during the 12-week treatment period: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Indirect bilirubin decreased by 40% (vs. 37% at Week 12 in the 12 mg cohort)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Lactate dehydrogenase decreased by 34% (vs. 28% at Week 12 in the 12 mg cohort)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RBC distribution width decreased by 26% (vs. 27% at Week 12 in the 12 mg cohort)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Reticulocyte counts decreased by 42% (vs. 31% at Week 12 in the 12 mg cohort)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hemoglobin increased by 1.1 g/dL at Week 12 (vs. 0.9 g/dL at Week 12 in the 12 mg cohort), increasing from a baseline of 7.3 g/dL to 8.4 g/dL.</w:t>
      </w:r>
    </w:p>
    <w:p>
      <w:pPr>
        <w:spacing w:after="0" w:line="53" w:lineRule="exact"/>
        <w:rPr>
          <w:rFonts w:ascii="Times New Roman" w:cs="Times New Roman" w:eastAsia="Times New Roman" w:hAnsi="Times New Roman"/>
          <w:sz w:val="18"/>
          <w:szCs w:val="18"/>
          <w:color w:val="auto"/>
        </w:rPr>
      </w:pPr>
    </w:p>
    <w:p>
      <w:pPr>
        <w:jc w:val="both"/>
        <w:ind w:left="1020" w:right="3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treating physician-documented medical records from the 6-12 months prior to enrollment, approximately 16 VOCs would have been expected during the 12-week treatment period. During the 12-week treatment period, six VOCs were reported. Seven of 12 patients (58%) reported no VOCs during the treatment period.</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completion of the 20 mg dose cohort, pociredir has been dosed in 148 adults, including 89 subjects in multiple dose cohorts up to 12 weeks.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103 healthy subjects, including 44 who received pociredir for 10 to 14 days treatment duration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o45 SCD patients who received pociredir for up to 12 weeks treatment duration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observed in the 20 mg dose cohort as of the December 23, 2025 data cut off date remained consistent with previously reported safety data. Pociredir was generally well-tolerated, with no treatment-related serious adverse events and no discontinuations due to treatment-related adverse events through the December 23, 2025 data cut off date.</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currently activating sites in an open-label, long-term dosing trial to evaluate longer-term safety and PD durability in patients who completed the PIONEER trial. We plan to provide details regarding the design of the next trial in the second quarter of 2026 following receipt of meeting minutes from our End-of-Phase meeting with the FDA. Pending feedback from the FDA, we plan to initiate a potential registration-enabling trial in the second half of 2026. We also plan to engage with the EMA in mid-2026 to obtain protocol assistance and feedback on the design of the next trial.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are applying our discovery capabilities to explore additional mechanisms that may complement pociredir’s mechanism of action to induce HbF for the potential treatment of SCD. We also presented preclinical data for FTX-6274, an oral EED inhibitor candidate, at the European Society for Medical Oncology (ESMO) Congress 2025, demonstrating tumor growth inhibition in castration resistant prostate cancer models.</w:t>
      </w:r>
    </w:p>
    <w:p>
      <w:pPr>
        <w:spacing w:after="0" w:line="187"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Based on results from IND-enabling studies, we have decided not to advance our program for bone marrow failure syndromes into clinical development and will focus our resources on advancing pociredir and our core benign hematology programs. In April 2026, we provided notice to terminate our license agreement with CAMP4.</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$18.9 million and $17.7 million for the three months ended March 31, 2026 and 2025, respectively. As of March 31, 2026, we had an accumulated deficit of $613.2 million. We expect our expenses and operating losses will increase over the next several years in connection with our ongoing activities, as we:</w:t>
      </w:r>
    </w:p>
    <w:p>
      <w:pPr>
        <w:spacing w:after="0" w:line="75"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advance the program into a later stage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and make any milestone payments thereunder;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$333.3 million in cash, cash equivalents, and marketable securities. We believe that our existing cash, cash equivalents, and marketable securities as of March 31, 2026 will enable us to fund our operating expenses and capital expenditure requirements into 2029. We have based this estimate on assumptions that may prove to be wrong, and we could exhaust our available capital resources sooner than we expect. See “—Liquidity and Capital Resources.”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the future, we may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months ended March 31, 2026 and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Pre-development candidate expenses, unallocated expenses and internal research and development expenses are classified separately.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2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5,414</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4,264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4,053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5,371</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4,063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14,084</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13,404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20" w:type="dxa"/>
            <w:vAlign w:val="bottom"/>
          </w:tcPr>
          <w:p>
            <w:pPr>
              <w:spacing w:after="0"/>
              <w:rPr>
                <w:sz w:val="24"/>
                <w:szCs w:val="24"/>
                <w:color w:val="auto"/>
              </w:rPr>
            </w:pPr>
          </w:p>
        </w:tc>
        <w:tc>
          <w:tcPr>
            <w:tcW w:w="4820" w:type="dxa"/>
            <w:vAlign w:val="bottom"/>
            <w:tcBorders>
              <w:top w:val="single" w:sz="8" w:color="CFF0FC"/>
            </w:tcBorders>
          </w:tcPr>
          <w:p>
            <w:pPr>
              <w:spacing w:after="0"/>
              <w:rPr>
                <w:sz w:val="24"/>
                <w:szCs w:val="24"/>
                <w:color w:val="auto"/>
              </w:rPr>
            </w:pPr>
          </w:p>
        </w:tc>
        <w:tc>
          <w:tcPr>
            <w:tcW w:w="2360" w:type="dxa"/>
            <w:vAlign w:val="bottom"/>
            <w:tcBorders>
              <w:top w:val="single" w:sz="8" w:color="CFF0FC"/>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-933450</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 (including defending and enforcing our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in future periods as we continue to implement our business strategy, which includes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March 31, 2026 and 2025 along with the changes in those items in dollars:</w:t>
      </w:r>
    </w:p>
    <w:tbl>
      <w:tblPr>
        <w:tblLayout w:type="fixed"/>
        <w:tblInd w:w="86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gridSpan w:val="6"/>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4"/>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(22,186)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(20,403)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(18,891)</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(17,655)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-599440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-599440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-599440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w:t>
      </w:r>
    </w:p>
    <w:tbl>
      <w:tblPr>
        <w:tblLayout w:type="fixed"/>
        <w:tblInd w:w="8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8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$0.7 million from $13.4 million for the three months ended March 31, 2025 to $14.1 million for the three months ended March 31, 2026. The increase in research and development expense was primarily attributable to the following:</w:t>
      </w:r>
    </w:p>
    <w:p>
      <w:pPr>
        <w:spacing w:after="0" w:line="54" w:lineRule="exact"/>
        <w:rPr>
          <w:sz w:val="20"/>
          <w:szCs w:val="20"/>
          <w:color w:val="auto"/>
        </w:rPr>
      </w:pPr>
    </w:p>
    <w:p>
      <w:pPr>
        <w:ind w:left="900" w:right="6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increased employee compensation costs due to increased headcount, including a $0.4 million increase in stock-based compensation expense;</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external research and development costs, primarily due to the termination of the losmapimod program, partially offset by increased development costs associated with the advancement of the Phase 1b PIONEER trial of pociredir;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laboratory supplies costs of $0.4 million.</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1"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2026 and 2025:</w:t>
      </w:r>
    </w:p>
    <w:tbl>
      <w:tblPr>
        <w:tblLayout w:type="fixed"/>
        <w:tblInd w:w="920" w:type="dxa"/>
        <w:tblCellMar>
          <w:top w:w="0" w:type="dxa"/>
          <w:left w:w="0" w:type="dxa"/>
          <w:bottom w:w="0" w:type="dxa"/>
          <w:right w:w="0" w:type="dxa"/>
        </w:tblCellMar>
      </w:tblPr>
      <w:tr>
        <w:trPr>
          <w:trHeight w:val="151"/>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4,725</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4,217</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2,413</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1,919</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299</w:t>
            </w:r>
          </w:p>
        </w:tc>
        <w:tc>
          <w:tcPr>
            <w:tcW w:w="5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665</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8,102</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6,999</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$1.1 million from $7.0 million for the three months ended March 31, 2025 to $8.1 million for the three months ended March 31, 2026. The increase in general and administrative expenses was primarily attributable to the following:</w:t>
      </w:r>
    </w:p>
    <w:p>
      <w:pPr>
        <w:spacing w:after="0" w:line="270" w:lineRule="exact"/>
        <w:rPr>
          <w:sz w:val="20"/>
          <w:szCs w:val="20"/>
          <w:color w:val="auto"/>
        </w:rPr>
      </w:pPr>
    </w:p>
    <w:p>
      <w:pPr>
        <w:ind w:left="900" w:right="8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increased employee compensation costs due to increased headcount, including a $0.3 million increase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increased professional services costs, primarily due to higher legal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increased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Other income, net increased by $0.6 million from $2.7 million for the three months ended March 31, 2025 to $3.3 million for the three months ended March 31, 2026. The increase was primarily due to an increase in our average cash, cash equivalents, and marketable securities balance.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March 31, 2026, we have funded our operations primarily with aggregate gross proceeds of $967.5 million from the sale of shares of our capital stock and from upfront payments received under our collaboration and license agreements. As of March 31, 2026, we had cash, cash equivalents, and marketable securities of $333.3 million.</w:t>
      </w:r>
    </w:p>
    <w:p>
      <w:pPr>
        <w:spacing w:after="0" w:line="194"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March 31, 2026, we have not issued or sold any shares of common stock under the at-the-market offering program.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5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8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-1079500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$18.8 million during the three months ended March 31, 2026 compared to $15.3 million during the three months ended March 31, 2025. The increase in net cash used in operating activities of $3.5 million was primarily due to an increase in net loss.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$128.2 million during the three months ended March 31, 2026 compared to $0.8 million during the three months ended March 31, 2025. The increase in net cash used in investing activities of $127.4 million was primarily due an increase in net purchases of marketable securities during the three months ended March 31, 2026, as compared to the three months ended March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$0.3 million during the three months ended March 31, 2026, which primarily consisted of offering costs paid in connection with the December 2025 public offering of our common stock and pre-funded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some of which are in the discovery stage of development. In addition, we expect to incur additional costs to support the growth of our organization when appropriate. As a result, we expect to incur substantial operating losses and negative operating cash flows for the foreseeable future.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March 31, 2026 will enable us to fund our operating expenses and capital expenditure requirements into 2029. However, we have based this estimate on assumptions that may prove to be wrong and we could exhaust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pociredir;</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4" w:right="399" w:bottom="1440" w:gutter="0" w:footer="0" w:header="0"/>
        </w:sectPr>
      </w:pPr>
    </w:p>
    <w:bookmarkStart w:id="27" w:name="page28"/>
    <w:bookmarkEnd w:id="27"/>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March 31, 2026, there were no material changes to our critical accounting policies from those described in our Annual Report on Form 10-K filed with the SEC on February 24,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March 31,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2026,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$74.9 million for the year ended December 31, 2025 and $18.9 million for the three months ended March 31, 2026. As of March 31, 2026, we had an accumulated deficit of $613.2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6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any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52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and make any milestone payments thereunder;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as needed;</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any product candidate and commercialization of any of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 and</w:t>
      </w:r>
    </w:p>
    <w:p>
      <w:pPr>
        <w:spacing w:after="0" w:line="53"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any future commercialization efforts, as needed, and our operations as a public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4" w:lineRule="exact"/>
        <w:rPr>
          <w:sz w:val="20"/>
          <w:szCs w:val="20"/>
          <w:color w:val="auto"/>
        </w:rPr>
      </w:pPr>
    </w:p>
    <w:p>
      <w:pPr>
        <w:ind w:left="900" w:right="64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our clinical development of pociredir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our initial experience with our Phase 1b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clinical development of pociredir, continue research and development and initiate additional clinical trials of, and seek regulatory approval for, pociredir and any other product candidates. We expect our expenses to increase substantially in connection with our ongoing activities, particularly as we advance our preclinical activities and clinical trials of pociredir in SCD.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development of pociredir in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any of our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right="64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900" w:right="820" w:hanging="368"/>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approximately $333.3 million. We believe that our cash, cash equivalents, and marketable securities as of March 31, 2026 will enable us to fund our operating expenses and capital expenditure requirements into 2029.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facioscapulohumeral muscular dystrophy, or FSHD but did not demonstrate a statistically significant difference between losmapimod and placebo on the primary endpoint in the Phase 3 REACH trial, for which we announced topline data in September 2024, and we thereafter discontinued development.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as we have done in the past.</w:t>
      </w:r>
    </w:p>
    <w:p>
      <w:pPr>
        <w:spacing w:after="0" w:line="30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as our business evolves, we may encounter unforeseen expenses, difficulties, complications, delays and other known and unknown factors, such as our announcement in September 2024 that our Phase 3 REACH trial evaluating losmapimod for FSHD did not achieve its primary endpoint of change from baseline in relative surface area compared to placebo, and subsequent implementation of a plan to reprioritize research and development activities to focus on our other programs and reduction in workforce. If we are successful in moving our current pipeline programs through the clinic, we will need to transition at some point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legislation commonly referred to as the One Big Beautiful Bill Act, or OBBBA, enacted in July 2025, made significant changes to the U.S. tax laws. While the OBBBA did not have a material impact on our consolidated financial position and results of operations,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federal net operating loss carryforwards of $102.8 million, which may be available to offset future taxable income and do not expire, but are limited in their usage to an annual deduction equal to 80% of annual taxable income. As of December 31, 2025, we had state net operating loss carryforwards of $96.9 million, which begin to expire in 2044. As of December 31, 2025, we also had federal orphan drug credits of $7.5 million, which begin to expire in 2044. As of December 31,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300"/>
        <w:spacing w:after="0" w:line="282" w:lineRule="auto"/>
        <w:rPr>
          <w:sz w:val="20"/>
          <w:szCs w:val="20"/>
          <w:color w:val="auto"/>
        </w:rPr>
      </w:pPr>
      <w:r>
        <w:rPr>
          <w:rFonts w:ascii="Times New Roman" w:cs="Times New Roman" w:eastAsia="Times New Roman" w:hAnsi="Times New Roman"/>
          <w:sz w:val="18"/>
          <w:szCs w:val="18"/>
          <w:color w:val="auto"/>
        </w:rPr>
        <w:t>we also had federal and state research and development tax credit carryforwards of $1.2 million and $0.2 million, respectively, which begin to expire in 2039. These net operating loss and tax credit carryforwards could expire unused and be unavailable to offset future income tax liabilities.</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Code, or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through December 31, 2024 and determined that for purposes of Section 382, we were deemed to have undergone an ownership change as of September 12, 2024. Accordingly, we determined that all net operating loss carryforwards and credits generated before September 12, 2024 are limited. As a result, the carryforwards before the deemed ownership change date of September 12, 2024 are not available for utilization and have been written off. The carryforwards as of December 31, 2025 were generated after the deemed ownership change. We have not conducted a study to assess whether a change of control has occurred or whether there have been multiple changes of control since December 31, 2024. If we have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90"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4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2023, a number of banks were placed into receivership.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currently have one product candidate in active clinical development. If we are unable to commercialize directly or out-license to a third party any of our product candidates or experience significant delays in doing so, our business will be materially harmed.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(the first of which did not meet its primary endpoint). As a result, we currently have only one product candidate in active clinical development, pociredir, for the potential treatment of SCD.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w:t>
      </w:r>
    </w:p>
    <w:p>
      <w:pPr>
        <w:spacing w:after="0" w:line="79" w:lineRule="exact"/>
        <w:rPr>
          <w:sz w:val="20"/>
          <w:szCs w:val="20"/>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by the FDA or other regulatory agencies of the INDs, clinical trial applications, or CTAs, or other regulatory filings;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development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receipt of any regulatory approvals.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any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5" w:name="page36"/>
    <w:bookmarkEnd w:id="35"/>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only one product candidate in active clinical development.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pociredir, our clinical-stage candidate to treat SCD, is an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Phase 1b clinical trial of pociredir in SCD to address the clinical hold imposed by the FDA, and initially experienced some difficulty enrolling patients who meet the updated more stringent criteria.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For example,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9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200" w:hanging="36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80" w:hanging="36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ind w:left="900" w:right="38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such as with the Phase 3 REACH trial,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68"/>
        <w:spacing w:after="0" w:line="312"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hanging="368"/>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20" w:hanging="368"/>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initially experienced difficulty enrolling patients who met the updated inclusion and exclusion criteria for our trial of pociredir in SCD) or participants may drop out of these clinical trials at a higher rate than we anticipate, or fail to complete follow-up periods;</w:t>
      </w:r>
    </w:p>
    <w:p>
      <w:pPr>
        <w:spacing w:after="0" w:line="71"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40" w:hanging="368"/>
        <w:spacing w:after="0" w:line="312"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6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both ex-U.S. and domestically, or changes in U.S. economic policy that adversely impact the U.S. economy and/or economies worldwide, or instability from an outbreak of pandemic or contagious disease in or around the countries in which we conduct our clinical trials (such as closure of clinical trial sites, as we previously experienced due to COVID-19), could delay the commencement or rate of completion of our clinical trials; and</w:t>
      </w:r>
    </w:p>
    <w:p>
      <w:pPr>
        <w:spacing w:after="0" w:line="71"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 in February 2023, the FDA imposed a clinical hold on our IND for pociredir in SCD, which halted our clinical trial until the FDA lifted the clinical hold in August 2023.</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topline data from the Phase 3 REACH trial, or are only modestly positive or if there are safety concerns, we may:</w:t>
      </w:r>
    </w:p>
    <w:p>
      <w:pPr>
        <w:spacing w:after="0" w:line="68" w:lineRule="exact"/>
        <w:rPr>
          <w:sz w:val="20"/>
          <w:szCs w:val="20"/>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further development (such as with losmapimod for FSHD);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current or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eligible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8" w:name="page39"/>
    <w:bookmarkEnd w:id="3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our product candidate.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The FDA noted that the hematologic malignancies observed in our nonclinical studies were consistent with findings reported for other PRC2 inhibitors.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8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9" w:name="page40"/>
    <w:bookmarkEnd w:id="39"/>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devoted significant time, effort and capital on our losmapimod program but suspended further development when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 clinical trial of pociredir in patients with SCD that includes clinical trial sites in Africa, and the FDA may not accept data from these trial sites or others located outside the United States.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PIONEER trial includes clinical trial sites in Africa. We may also conduct additional clinical trials of other product candidates outside the United States. Although the FDA may accept data from clinical trial sites and clinical trials conducted outside the United States, acceptance of these data is subject to conditions imposed by the FDA. For example, the clinical trial must be well-designed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sites or clinical trials that we conduct outside the United States, it would likely result in the need for additional data and/or trials, which would be costly and time-consuming and could delay or permanently halt our development of the applicable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900" w:right="2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future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Further, there can be no guarantee that we will be able to successfully enter into arrangements with third parties to perform sales, marketing or distribution services. If we do not establish sales, marketing and distribution capabilities successfully, either on our own or in collaboration with third parties, we will not be successful in commercializing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in the 2025 Annual Report.</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2" w:name="page43"/>
    <w:bookmarkEnd w:id="42"/>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and other applicable regulatory authorities before we can commence the manufacture and sale of any of our product candidates in the relevant jurisdiction, and thereafter will remain subject to inspection by such authorities from time to time. Failure by our third-party manufacturers to pass such inspections or otherwise satisfactorily complete applicable regulatory approval requirements with respect to our product candidates may result in regulatory actions, including the issuance of inspectional observations (such as FDA Form 483s), warning letters, or injunctions or the loss of operating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if approved, products at an acceptable cost or quality, which could delay, prevent or impair our development or commercialization efforts.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and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clinical supply, or if approved, commercial supply of any of our other product candidates. This reliance on third parties increases the risk that we will not have sufficient quantities of our product candidates for clinical development, or if approved, products at an acceptable cost or quality, which could delay, prevent or impair our development or commercialization efforts.</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addition, legislative proposals are pending that, if enacted, could negatively impact U.S. funding for certain biotechnology providers having relationships with foreign adversaries or which pose a threat to national security. The potential downstream adverse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ind w:right="20"/>
        <w:spacing w:after="0" w:line="261" w:lineRule="auto"/>
        <w:rPr>
          <w:sz w:val="20"/>
          <w:szCs w:val="20"/>
          <w:color w:val="auto"/>
        </w:rPr>
      </w:pPr>
      <w:r>
        <w:rPr>
          <w:rFonts w:ascii="Times New Roman" w:cs="Times New Roman" w:eastAsia="Times New Roman" w:hAnsi="Times New Roman"/>
          <w:sz w:val="18"/>
          <w:szCs w:val="18"/>
          <w:color w:val="auto"/>
        </w:rPr>
        <w:t>impacts on entities having commercial relationships with any impacted biotechnology providers are unknown but may include supply chain disruptions or delays. 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2025 Annual Report.</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4" w:name="page45"/>
    <w:bookmarkEnd w:id="44"/>
    <w:p>
      <w:pPr>
        <w:ind w:right="120"/>
        <w:spacing w:after="0" w:line="261" w:lineRule="auto"/>
        <w:rPr>
          <w:sz w:val="20"/>
          <w:szCs w:val="20"/>
          <w:color w:val="auto"/>
        </w:rPr>
      </w:pPr>
      <w:r>
        <w:rPr>
          <w:rFonts w:ascii="Times New Roman" w:cs="Times New Roman" w:eastAsia="Times New Roman" w:hAnsi="Times New Roman"/>
          <w:sz w:val="18"/>
          <w:szCs w:val="18"/>
          <w:color w:val="auto"/>
        </w:rPr>
        <w:t>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30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w:t>
      </w:r>
    </w:p>
    <w:p>
      <w:pPr>
        <w:spacing w:after="0" w:line="53"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 (such as the announced tariffs by the current U.S. administration, which have led to volatility in the market and uncertainty);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540"/>
        <w:spacing w:after="0" w:line="282" w:lineRule="auto"/>
        <w:rPr>
          <w:sz w:val="20"/>
          <w:szCs w:val="20"/>
          <w:color w:val="auto"/>
        </w:rPr>
      </w:pPr>
      <w:r>
        <w:rPr>
          <w:rFonts w:ascii="Times New Roman" w:cs="Times New Roman" w:eastAsia="Times New Roman" w:hAnsi="Times New Roman"/>
          <w:sz w:val="18"/>
          <w:szCs w:val="18"/>
          <w:color w:val="auto"/>
        </w:rPr>
        <w:t>ourselves against claims that our product candidates or products caused injuries, we will incur substantial liabilities. Regardless of merit or eventual outcome, liability claims may result in:</w:t>
      </w:r>
    </w:p>
    <w:p>
      <w:pPr>
        <w:spacing w:after="0" w:line="54" w:lineRule="exact"/>
        <w:rPr>
          <w:sz w:val="20"/>
          <w:szCs w:val="20"/>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currently rely on third-party CROs to conduct our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 For any violations of laws and regulations that occur during the conduct of our preclinical studies or clinical trials, we could be subject to untitled letters, warning letters or other enforcement actions.</w:t>
      </w:r>
    </w:p>
    <w:p>
      <w:pPr>
        <w:spacing w:after="0" w:line="2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90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68"/>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260" w:hanging="368"/>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collaborations with Acceleron Pharma, Inc. and MyoKardia, Inc., the latter of which was terminated on June 26, 2025), and, if terminated, we could be required to raise additional capital to pursue further development or commercialization of the applicable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our collaborator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 and our business could be adversely affected.</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or future license agreements from entering into agreements on certain terms with potential collaborators.</w:t>
      </w:r>
    </w:p>
    <w:p>
      <w:pPr>
        <w:spacing w:after="0" w:line="89"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2025 Annual Report.</w:t>
      </w:r>
    </w:p>
    <w:p>
      <w:pPr>
        <w:spacing w:after="0" w:line="19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0" w:name="page51"/>
    <w:bookmarkEnd w:id="50"/>
    <w:p>
      <w:pPr>
        <w:ind w:right="100"/>
        <w:spacing w:after="0" w:line="282" w:lineRule="auto"/>
        <w:rPr>
          <w:sz w:val="20"/>
          <w:szCs w:val="20"/>
          <w:color w:val="auto"/>
        </w:rPr>
      </w:pPr>
      <w:r>
        <w:rPr>
          <w:rFonts w:ascii="Times New Roman" w:cs="Times New Roman" w:eastAsia="Times New Roman" w:hAnsi="Times New Roman"/>
          <w:sz w:val="18"/>
          <w:szCs w:val="18"/>
          <w:color w:val="auto"/>
        </w:rPr>
        <w:t>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2025 Annual Report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ind w:right="60"/>
        <w:spacing w:after="0" w:line="266" w:lineRule="auto"/>
        <w:rPr>
          <w:sz w:val="20"/>
          <w:szCs w:val="20"/>
          <w:color w:val="auto"/>
        </w:rPr>
      </w:pPr>
      <w:r>
        <w:rPr>
          <w:rFonts w:ascii="Times New Roman" w:cs="Times New Roman" w:eastAsia="Times New Roman" w:hAnsi="Times New Roman"/>
          <w:sz w:val="18"/>
          <w:szCs w:val="18"/>
          <w:color w:val="auto"/>
        </w:rPr>
        <w:t>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t>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80"/>
        <w:spacing w:after="0" w:line="282" w:lineRule="auto"/>
        <w:rPr>
          <w:sz w:val="20"/>
          <w:szCs w:val="20"/>
          <w:color w:val="auto"/>
        </w:rPr>
      </w:pPr>
      <w:r>
        <w:rPr>
          <w:rFonts w:ascii="Times New Roman" w:cs="Times New Roman" w:eastAsia="Times New Roman" w:hAnsi="Times New Roman"/>
          <w:sz w:val="18"/>
          <w:szCs w:val="18"/>
          <w:color w:val="auto"/>
        </w:rPr>
        <w:t>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left="90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6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shifting policy priorities as a result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60"/>
        <w:spacing w:after="0" w:line="266" w:lineRule="auto"/>
        <w:rPr>
          <w:sz w:val="20"/>
          <w:szCs w:val="20"/>
          <w:color w:val="auto"/>
        </w:rPr>
      </w:pPr>
      <w:r>
        <w:rPr>
          <w:rFonts w:ascii="Times New Roman" w:cs="Times New Roman" w:eastAsia="Times New Roman" w:hAnsi="Times New Roman"/>
          <w:sz w:val="18"/>
          <w:szCs w:val="18"/>
          <w:color w:val="auto"/>
        </w:rPr>
        <w:t>changes in the presidential administration and political appointees tasked to oversee the agency, and statutory, regulatory, leadership,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including from October 1, 2025 through November 12, 2025, and from January 31, 2025 through February 3, 2026. In some circumstances,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spacing w:after="0" w:line="75"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Since the change in the U.S. presidential administration in 2025, there is uncertainty as to how and to what extent the current administration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w:t>
      </w:r>
    </w:p>
    <w:p>
      <w:pPr>
        <w:spacing w:after="0" w:line="2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We have received orphan drug designation for pociredir for the treatment of SCD and may seek orphan drug designation, as appropriate, for our other current and future product candidates.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Designations by the FDA, such as fast track designation or breakthrough therapy designation, may not lead to a faster development or regulatory review or approval process, and do not increase the likelihood that our product candidates will receive marketing approval.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granted fast track designation to pociredir for the treatment of SCD, and we may seek fast track designation as well as breakthrough therapy designation for some of our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140"/>
        <w:spacing w:after="0" w:line="282" w:lineRule="auto"/>
        <w:rPr>
          <w:sz w:val="20"/>
          <w:szCs w:val="20"/>
          <w:color w:val="auto"/>
        </w:rPr>
      </w:pPr>
      <w:r>
        <w:rPr>
          <w:rFonts w:ascii="Times New Roman" w:cs="Times New Roman" w:eastAsia="Times New Roman" w:hAnsi="Times New Roman"/>
          <w:sz w:val="18"/>
          <w:szCs w:val="18"/>
          <w:color w:val="auto"/>
        </w:rPr>
        <w:t>procedures. The FDA may withdraw fast track designation if it believes that the designation is no longer supported by data from our clinical development program.</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is granted breakthrough therapy designation, the FDA may later decide that such product candidates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from being marketed abroad.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540"/>
        <w:spacing w:after="0" w:line="266" w:lineRule="auto"/>
        <w:rPr>
          <w:sz w:val="20"/>
          <w:szCs w:val="20"/>
          <w:color w:val="auto"/>
        </w:rPr>
      </w:pPr>
      <w:r>
        <w:rPr>
          <w:rFonts w:ascii="Times New Roman" w:cs="Times New Roman" w:eastAsia="Times New Roman" w:hAnsi="Times New Roman"/>
          <w:sz w:val="18"/>
          <w:szCs w:val="18"/>
          <w:color w:val="auto"/>
        </w:rPr>
        <w:t>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under certain circumstances,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Form 483s, warning letters or untitled letters;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460"/>
        <w:spacing w:after="0" w:line="282" w:lineRule="auto"/>
        <w:rPr>
          <w:sz w:val="20"/>
          <w:szCs w:val="20"/>
          <w:color w:val="auto"/>
        </w:rPr>
      </w:pPr>
      <w:r>
        <w:rPr>
          <w:rFonts w:ascii="Times New Roman" w:cs="Times New Roman" w:eastAsia="Times New Roman" w:hAnsi="Times New Roman"/>
          <w:sz w:val="18"/>
          <w:szCs w:val="18"/>
          <w:color w:val="auto"/>
        </w:rPr>
        <w:t>to comply with the European Union’s or United Kingdom’s requirements regarding the protection of personal information can also lead to significant penalties and sanctions.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2025 Annual Report.</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For example, the Data (Use and Access) Act 2025, or the UK Act, which supplements the UK GDPR, recently came into force and introduces certain provisions that diverge from the EU GDPR. Although the UK’s data protection framework is still considered to provide “essentially equivalent” safeguards to the EU’s GDPR, future divergence remains a possibility. Further divergence between the EU GDPR and UK GDPR could add legal risk, uncertainty, complexity, and cost to our handling of European personal data and our privacy and security compliance programs. We may no longer be able to take a unified approach across the European Union and the United Kingdom, and we will need to amend our processes and procedures to align with such divergence. In addition, EEA Member States have adopted national laws to implement the EU GDPR that may partially deviate from the EU GDPR and competent authorities in the Member States may interpret the EU GDPR obligations slightly differently from country to country. Therefore, we do not expect to operate in a uniform legal landscape in the EEA.</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A number of other states have implemented privacy legislation similar to the CCPA or are preparing to implement their own regulatory frameworks. Certain states have also passed laws that protect biometric information or are specifically focused on consumer health data (e.g., Washington, Connecticut and Nevada), which impose state regulations on consumer health data, which further increases compliance risk.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all of these risks could negatively affect our business in the short and long term.. A wide range of enforcement agencies at both the state and federal levels, such as the Federal Trade Commission and state Attorneys General have been increasingly aggressive in reviewing and enforcing privacy and data security-related consumer protection laws.</w:t>
      </w:r>
    </w:p>
    <w:p>
      <w:pPr>
        <w:spacing w:after="0" w:line="89" w:lineRule="exact"/>
        <w:rPr>
          <w:sz w:val="20"/>
          <w:szCs w:val="20"/>
          <w:color w:val="auto"/>
        </w:rPr>
      </w:pPr>
    </w:p>
    <w:p>
      <w:pPr>
        <w:jc w:val="both"/>
        <w:ind w:right="160" w:firstLine="509"/>
        <w:spacing w:after="0" w:line="277" w:lineRule="auto"/>
        <w:rPr>
          <w:sz w:val="20"/>
          <w:szCs w:val="20"/>
          <w:color w:val="auto"/>
        </w:rPr>
      </w:pPr>
      <w:r>
        <w:rPr>
          <w:rFonts w:ascii="Times New Roman" w:cs="Times New Roman" w:eastAsia="Times New Roman" w:hAnsi="Times New Roman"/>
          <w:sz w:val="17"/>
          <w:szCs w:val="17"/>
          <w:color w:val="auto"/>
        </w:rPr>
        <w:t>Regulators and legislators in the U.S. are increasingly scrutinizing and restricting certain personal data transfers and transactions involving foreign countries. For example, a January 2025 DOJ rule prohibits transfers of data to countries of concern, including China, as well as certain agreements absent specified cybersecurity controls. Actual or alleged violations of these regulations may be punishable by criminal and/or civil sanctions, and may result in exclusion from participation in federal and state programs. and could restrict our ability to use certain vendors, sites, investigators, or service providers in global clinical trials. See Item 1 “Business—Government Regulation and Product Approvals” in the 2025 Annual Report for additional information.</w:t>
      </w:r>
    </w:p>
    <w:p>
      <w:pPr>
        <w:spacing w:after="0" w:line="6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such as artificial intelligence, or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may use, and our vendors may incorporate AI both in our own development and implementation of AI and through the adoption of commercially available tools. The use of AI presents risks and challenges that could adversely affect our business, including cybersecurity, data privacy, IT, confidentiality, regulatory, legal, operational, competitive, reputational and intellectual property risks. Specifically, risks related to accuracy, bias, artificial intelligence hallucinations, discrimination, harmful content, misinformation, fraud, scams, targeted attacks (including model poisoning or data poisoning), surveillance, data leakage, environmental and other harms may flow from our development or use of AI technologies. For example, use of certain AI tools may increase the risk of unauthorized disclosure of confidential information, compromise of proprietary intellectual property,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inadvertent inclusion of third-party intellectual property or other protected material, which could result in disputes or claims of infringement.</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Additionally, government and supranational regulation related to AI is evolving and could increase the burden and cost of compliance, including through requirements related to transparency, accountability, risk management, human oversight, and data governance. The EU’s Artificial Intelligence Act, or AI Act, started coming into force in August 2024, with important parts of the new law scheduled to come into effect in August 2026.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endorsed a federal moratorium on the enforcement of state AI laws. So far, these efforts have not been successful at curtailing state action on AI regulation, contributing to a complicated legislative patchwork. In addition, there is continued uncertainty regarding the application of existing federal and state legal frameworks to uses and development of AI, and legal norms and market standards regarding AI continue to evolve. For example, the FDA issued guidance on the use of AI in medical devices, requiring detailed risk management and review processes to obtain approvals.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The rapid evolution of AI will require the application of significant resources to help ensure that AI is implemented in accordance with applicable law and regulation and in a socially responsible manner. The use of certain AI technologies can also give rise to intellectual property risks. The use of AI tools by our vendors also exposes us to risk.</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2025 Annual Report for additional information.</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example, the IRA among other things, allows for CMS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the IRA on our business and the healthcare industry in general is not yet known.</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Through executive orders, the current U.S. administration has been taking steps to reduce drug prices, and consistent with these executive directives, in December 2025, CMS issued proposed rules establishing two mandatory drug payment models that would introduce MFN pricing principles into Medicare drug reimbursement. These proposals remain subject to notice-and-comment rulemaking and may face legal or administrative challenges. Separately, in November 2025, CMS introduced a voluntary MFN-based framework for manufacturers participating in the Medicaid Drug Rebate Program. Although participation is voluntary, the model could nonetheless influence manufacturer pricing strategies and broader market dynamics by encouraging alignment of U.S. Medicaid prices with international reference pricing benchmarks. See Item 1 “Business—Government Regulation and Product Approval —Pharmaceutical Insurance Coverage and Health Care Reform” in the 2025 Annual Report for additional information regarding these laws, regulations and orders.</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4" w:name="page65"/>
    <w:bookmarkEnd w:id="64"/>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disruption of our product development programs.</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and our third party service providers,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Further, attempts to disrupt or gain unauthorized access to our and our third-party vendors' information systems from malicious third parties or insider threats may incorporate widely varying and frequently changing tactics, which may be enhanced or facilitated by AI.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 We cannot be sure that our cyber insurance coverage will be adequate or sufficient to protect us from or to mitigate liabilities arising out of any such disruption in, or failure or security incident, breach, or compromise of our system or third-party systems.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had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August 2022 and September 2024, we announced a workforce reduction in our research and development function, which may make us a less attractive employer to future candidates.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financial reporting. If we are unable to continue to attract and retain high quality personnel, our ability to pursue our growth strategy will be limited.</w:t>
      </w:r>
    </w:p>
    <w:p>
      <w:pPr>
        <w:spacing w:after="0" w:line="329"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if appropriate,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As we continue to expand our pipeline, we expect that we will experience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April 20, 2026, our executive officers and directors and our stockholders who owned more than 5% of our outstanding common stock in the aggregate beneficially owned shares representing approximately 52.6%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29" w:lineRule="exact"/>
        <w:rPr>
          <w:sz w:val="20"/>
          <w:szCs w:val="20"/>
          <w:color w:val="auto"/>
        </w:rPr>
      </w:pPr>
    </w:p>
    <w:p>
      <w:pPr>
        <w:jc w:val="both"/>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left="900" w:hanging="368"/>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20" w:hanging="36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products, if and when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8" w:name="page69"/>
    <w:bookmarkEnd w:id="68"/>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scaled disclosure requirements applicable to smaller reporting companies may make our common stock less attractive to investors.</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54" w:lineRule="exact"/>
        <w:rPr>
          <w:sz w:val="20"/>
          <w:szCs w:val="20"/>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SRC,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0"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 and Officer Trading Plans and Arrangements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firstLine="509"/>
        <w:spacing w:after="0" w:line="256" w:lineRule="auto"/>
        <w:rPr>
          <w:sz w:val="20"/>
          <w:szCs w:val="20"/>
          <w:color w:val="auto"/>
        </w:rPr>
      </w:pPr>
      <w:r>
        <w:rPr>
          <w:rFonts w:ascii="Times New Roman" w:cs="Times New Roman" w:eastAsia="Times New Roman" w:hAnsi="Times New Roman"/>
          <w:sz w:val="18"/>
          <w:szCs w:val="18"/>
          <w:color w:val="auto"/>
        </w:rPr>
        <w:t>On March 27, 2026, Alan Ezekowitz, a member of our board of directors, terminated a Rule 10b5-1 trading arrangement he had previously adopted on December 29, 2025 with respect to the sale of up to 124,713 shares of our common stock. The trading plan was intended to satisfy the affirmative defense conditions of Rule 10b5-1(c) under the Exchange Act and was expected to remain in effect until December 31, 2026. As of the date of termination, Dr. Ezekowtiz had not sold any common shares under the terms of such trading plan. On March 27, 2026, Dr. Ezekowtiz adopted a trading plan for the potential exercise of vested stock options and the associated sale of up to 42,000 shares of our common stock. The trading plan is intended to satisfy the affirmative defense conditions of Rule 10b5-1(c) under the Exchange Act and is expected to remain in effect until April 1, 2027.</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15"/>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00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8-K filed with the Securities and Exchange Commission on July 22, 2019).</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7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100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filed with the Securities and Exchange Commission on July 22, 2019).</w:t>
              </w:r>
            </w:hyperlink>
          </w:p>
        </w:tc>
        <w:tc>
          <w:tcPr>
            <w:tcW w:w="5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9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260" w:firstLine="8"/>
        <w:spacing w:after="0" w:line="414" w:lineRule="auto"/>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512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4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191"/>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Alex C. Sapir</w:t>
            </w:r>
          </w:p>
        </w:tc>
      </w:tr>
      <w:tr>
        <w:trPr>
          <w:trHeight w:val="234"/>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4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 Alan Musso</w:t>
            </w:r>
          </w:p>
        </w:tc>
      </w:tr>
      <w:tr>
        <w:trPr>
          <w:trHeight w:val="191"/>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34"/>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64"/>
        </w:trPr>
        <w:tc>
          <w:tcPr>
            <w:tcW w:w="3400" w:type="dxa"/>
            <w:vAlign w:val="bottom"/>
          </w:tcPr>
          <w:p>
            <w:pPr>
              <w:spacing w:after="0"/>
              <w:rPr>
                <w:sz w:val="24"/>
                <w:szCs w:val="24"/>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540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60" w:firstLine="517"/>
        <w:spacing w:after="0" w:line="282" w:lineRule="auto"/>
        <w:tabs>
          <w:tab w:leader="none" w:pos="6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73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Alex C. Sapir</w:t>
            </w:r>
          </w:p>
        </w:tc>
      </w:tr>
      <w:tr>
        <w:trPr>
          <w:trHeight w:val="191"/>
        </w:trPr>
        <w:tc>
          <w:tcPr>
            <w:tcW w:w="39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Alex C. Sapir</w:t>
            </w:r>
          </w:p>
        </w:tc>
      </w:tr>
      <w:tr>
        <w:trPr>
          <w:trHeight w:val="216"/>
        </w:trPr>
        <w:tc>
          <w:tcPr>
            <w:tcW w:w="3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9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9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73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Alan Musso</w:t>
            </w:r>
          </w:p>
        </w:tc>
      </w:tr>
      <w:tr>
        <w:trPr>
          <w:trHeight w:val="191"/>
        </w:trPr>
        <w:tc>
          <w:tcPr>
            <w:tcW w:w="39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16"/>
        </w:trPr>
        <w:tc>
          <w:tcPr>
            <w:tcW w:w="3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39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2026,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April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2026,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April 27, 2026</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lvl w:ilvl="1">
      <w:lvlJc w:val="left"/>
      <w:lvlText w:val="(%2)"/>
      <w:numFmt w:val="decimal"/>
      <w:start w:val="1"/>
    </w:lvl>
  </w:abstractNum>
  <w:abstractNum w:abstractNumId="6">
    <w:nsid w:val="836C40E"/>
    <w:multiLevelType w:val="hybridMultilevel"/>
    <w:lvl w:ilvl="0">
      <w:lvlJc w:val="left"/>
      <w:lvlText w:val="%1."/>
      <w:numFmt w:val="decimal"/>
      <w:start w:val="12"/>
    </w:lvl>
    <w:lvl w:ilvl="1">
      <w:lvlJc w:val="left"/>
      <w:lvlText w:val="%2"/>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
      <w:numFmt w:val="bullet"/>
      <w:start w:val="1"/>
    </w:lvl>
    <w:lvl w:ilvl="1">
      <w:lvlJc w:val="left"/>
      <w:lvlText w:val="%2"/>
      <w:numFmt w:val="decimal"/>
      <w:start w:val="104"/>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186" Type="http://schemas.openxmlformats.org/officeDocument/2006/relationships/hyperlink" Target="https://www.sec.gov/Archives/edgar/data/0001680581/000104746919004324/a2239321zex-3_1.htm" TargetMode="External"/><Relationship Id="rId187" Type="http://schemas.openxmlformats.org/officeDocument/2006/relationships/hyperlink" Target="https://www.sec.gov/Archives/edgar/data/1680581/000119312523164435/d463131dex31.htm" TargetMode="External"/><Relationship Id="rId188" Type="http://schemas.openxmlformats.org/officeDocument/2006/relationships/hyperlink" Target="https://www.sec.gov/Archives/edgar/data/0001680581/000104746919004324/a2239321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2026-04-27T06:13:37Z</dcterms:created>
  <dcterms:modified xsi:type="dcterms:W3CDTF">2026-04-27T06:13:37Z</dcterms:modified>
</cp:coreProperties>
</file>