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5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5328285</wp:posOffset>
            </wp:positionH>
            <wp:positionV relativeFrom="paragraph">
              <wp:posOffset>-609600</wp:posOffset>
            </wp:positionV>
            <wp:extent cx="8255" cy="6102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0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4017645</wp:posOffset>
            </wp:positionH>
            <wp:positionV relativeFrom="paragraph">
              <wp:posOffset>-617855</wp:posOffset>
            </wp:positionV>
            <wp:extent cx="8255" cy="6184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8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4042410</wp:posOffset>
            </wp:positionH>
            <wp:positionV relativeFrom="paragraph">
              <wp:posOffset>-593090</wp:posOffset>
            </wp:positionV>
            <wp:extent cx="1270000" cy="5689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0" cy="5689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-1597025</wp:posOffset>
            </wp:positionH>
            <wp:positionV relativeFrom="paragraph">
              <wp:posOffset>29210</wp:posOffset>
            </wp:positionV>
            <wp:extent cx="6967220" cy="175641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220" cy="17564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22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Cadavid Diego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FULCRUM THERAPEUTICS, INC.</w:t>
      </w:r>
    </w:p>
    <w:p>
      <w:pPr>
        <w:spacing w:after="0" w:line="76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26 LANDSDOWNE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143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4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Fulcrum Therapeutics,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4"/>
          <w:szCs w:val="14"/>
          <w:color w:val="0000FF"/>
        </w:rPr>
        <w:t>FULC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8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05/12/2020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-3" w:right="600" w:firstLine="3"/>
        <w:spacing w:after="0" w:line="239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19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65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SVP Clinical Development</w:t>
      </w:r>
    </w:p>
    <w:p>
      <w:pPr>
        <w:spacing w:after="0" w:line="3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3" w:space="720"/>
            <w:col w:w="3337"/>
          </w:cols>
          <w:pgMar w:left="460" w:top="222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60" w:type="dxa"/>
            <w:vAlign w:val="bottom"/>
            <w:gridSpan w:val="7"/>
          </w:tcPr>
          <w:p>
            <w:pPr>
              <w:jc w:val="center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11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60" w:type="dxa"/>
            <w:vAlign w:val="bottom"/>
            <w:gridSpan w:val="11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CAMBRIDGE   MA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02139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6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05/12/2020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87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7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1,860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4.83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68,645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05/12/2020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81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1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1,860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66,785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60" w:type="dxa"/>
            <w:vAlign w:val="bottom"/>
            <w:gridSpan w:val="11"/>
          </w:tcPr>
          <w:p>
            <w:pPr>
              <w:jc w:val="center"/>
              <w:ind w:left="4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4.83</w:t>
            </w:r>
          </w:p>
        </w:tc>
        <w:tc>
          <w:tcPr>
            <w:tcW w:w="10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05/12/2020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90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1,860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07/10/2028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52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1,860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15,997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2540</wp:posOffset>
            </wp:positionH>
            <wp:positionV relativeFrom="paragraph">
              <wp:posOffset>-3364230</wp:posOffset>
            </wp:positionV>
            <wp:extent cx="7033260" cy="350456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260" cy="3504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transactions reported in this Form 4 were effected pursuant to a Rule 10b5-1 trading plan adopted by the reporting person on December 19, 2019.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shares underlying the option are scheduled to vest in equal quarterly installments from July 16, 2018 through July 15, 2022.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600"/>
        <w:spacing w:after="0" w:line="22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Peter Thomson, as attorney- </w:t>
      </w:r>
      <w:r>
        <w:rPr>
          <w:rFonts w:ascii="Arial" w:cs="Arial" w:eastAsia="Arial" w:hAnsi="Arial"/>
          <w:sz w:val="33"/>
          <w:szCs w:val="33"/>
          <w:color w:val="0000FF"/>
          <w:vertAlign w:val="subscript"/>
        </w:rPr>
        <w:t>05/12/2020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-27305</wp:posOffset>
            </wp:positionV>
            <wp:extent cx="133667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66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 for Diego Cadavid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-19685</wp:posOffset>
            </wp:positionV>
            <wp:extent cx="110426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42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5584825</wp:posOffset>
            </wp:positionH>
            <wp:positionV relativeFrom="paragraph">
              <wp:posOffset>-85725</wp:posOffset>
            </wp:positionV>
            <wp:extent cx="4883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778713" TargetMode="External"/><Relationship Id="rId14" Type="http://schemas.openxmlformats.org/officeDocument/2006/relationships/hyperlink" Target="http://www.sec.gov/cgi-bin/browse-edgar?action=getcompany&amp;CIK=000168058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2020-05-12T15:19:28Z</dcterms:created>
  <dcterms:modified xsi:type="dcterms:W3CDTF">2020-05-12T15:19:28Z</dcterms:modified>
</cp:coreProperties>
</file>