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4"/>
          <w:szCs w:val="24"/>
          <w:color w:val="auto"/>
        </w:rPr>
      </w:pPr>
    </w:p>
    <w:p>
      <w:pPr>
        <w:ind w:left="120" w:right="220"/>
        <w:spacing w:after="0" w:line="268" w:lineRule="auto"/>
        <w:rPr>
          <w:sz w:val="20"/>
          <w:szCs w:val="20"/>
          <w:color w:val="auto"/>
        </w:rPr>
      </w:pPr>
      <w:r>
        <w:rPr>
          <w:rFonts w:ascii="Times New Roman" w:cs="Times New Roman" w:eastAsia="Times New Roman" w:hAnsi="Times New Roman"/>
          <w:sz w:val="18"/>
          <w:szCs w:val="18"/>
          <w:b w:val="1"/>
          <w:bCs w:val="1"/>
          <w:color w:val="FF4338"/>
        </w:rPr>
        <w:t>The information in this preliminary prospectus supplement is not complete and may be changed. A registration statement has been filed with the Securities and Exchange Commission and is effective. This prospectus supplement is not an offer to sell these securities and it is not soliciting an offer to buy these securities in any jurisdiction where the offer or sale is not permitted.</w:t>
      </w:r>
    </w:p>
    <w:p>
      <w:pPr>
        <w:spacing w:after="0" w:line="103" w:lineRule="exact"/>
        <w:rPr>
          <w:sz w:val="24"/>
          <w:szCs w:val="24"/>
          <w:color w:val="auto"/>
        </w:rPr>
      </w:pPr>
    </w:p>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333-244136</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FF4338"/>
        </w:rPr>
        <w:t>SUBJECT TO COMPLETION, DATED JANUARY 19, 2021</w:t>
      </w:r>
    </w:p>
    <w:p>
      <w:pPr>
        <w:spacing w:after="0" w:line="9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(to Prospectus dated August 17, 2020)</w:t>
      </w:r>
    </w:p>
    <w:p>
      <w:pPr>
        <w:spacing w:after="0" w:line="17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2122170</wp:posOffset>
            </wp:positionH>
            <wp:positionV relativeFrom="paragraph">
              <wp:posOffset>182245</wp:posOffset>
            </wp:positionV>
            <wp:extent cx="2897505" cy="7112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7505" cy="7112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255905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ind w:left="120"/>
        <w:spacing w:after="0"/>
        <w:tabs>
          <w:tab w:leader="none" w:pos="2200" w:val="left"/>
        </w:tabs>
        <w:rPr>
          <w:sz w:val="20"/>
          <w:szCs w:val="20"/>
          <w:color w:val="auto"/>
        </w:rPr>
      </w:pPr>
      <w:r>
        <w:rPr>
          <w:rFonts w:ascii="Times New Roman" w:cs="Times New Roman" w:eastAsia="Times New Roman" w:hAnsi="Times New Roman"/>
          <w:sz w:val="18"/>
          <w:szCs w:val="18"/>
          <w:color w:val="auto"/>
        </w:rPr>
        <w:t>We are offering</w:t>
      </w:r>
      <w:r>
        <w:rPr>
          <w:sz w:val="20"/>
          <w:szCs w:val="20"/>
          <w:color w:val="auto"/>
        </w:rPr>
        <w:tab/>
      </w:r>
      <w:r>
        <w:rPr>
          <w:rFonts w:ascii="Times New Roman" w:cs="Times New Roman" w:eastAsia="Times New Roman" w:hAnsi="Times New Roman"/>
          <w:sz w:val="18"/>
          <w:szCs w:val="18"/>
          <w:color w:val="auto"/>
        </w:rPr>
        <w:t>shares of our common stock in this offering.</w:t>
      </w:r>
    </w:p>
    <w:p>
      <w:pPr>
        <w:spacing w:after="0" w:line="225" w:lineRule="exact"/>
        <w:rPr>
          <w:sz w:val="24"/>
          <w:szCs w:val="24"/>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symbol “FULC.” The last reported sales price of our common stock on the Nasdaq Global Market on January 15, 2021 was $11.00 per share.</w:t>
      </w:r>
    </w:p>
    <w:p>
      <w:pPr>
        <w:spacing w:after="0" w:line="182" w:lineRule="exact"/>
        <w:rPr>
          <w:sz w:val="24"/>
          <w:szCs w:val="24"/>
          <w:color w:val="auto"/>
        </w:rPr>
      </w:pPr>
    </w:p>
    <w:tbl>
      <w:tblPr>
        <w:tblLayout w:type="fixed"/>
        <w:tblInd w:w="1440" w:type="dxa"/>
        <w:tblCellMar>
          <w:top w:w="0" w:type="dxa"/>
          <w:left w:w="0" w:type="dxa"/>
          <w:bottom w:w="0" w:type="dxa"/>
          <w:right w:w="0" w:type="dxa"/>
        </w:tblCellMar>
      </w:tblPr>
      <w:tr>
        <w:trPr>
          <w:trHeight w:val="173"/>
        </w:trPr>
        <w:tc>
          <w:tcPr>
            <w:tcW w:w="47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540" w:type="dxa"/>
            <w:vAlign w:val="bottom"/>
          </w:tcPr>
          <w:p>
            <w:pPr>
              <w:spacing w:after="0"/>
              <w:rPr>
                <w:sz w:val="15"/>
                <w:szCs w:val="15"/>
                <w:color w:val="auto"/>
              </w:rPr>
            </w:pP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4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6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commissions(1)</w:t>
            </w:r>
          </w:p>
        </w:tc>
        <w:tc>
          <w:tcPr>
            <w:tcW w:w="2300" w:type="dxa"/>
            <w:vAlign w:val="bottom"/>
            <w:gridSpan w:val="2"/>
          </w:tcPr>
          <w:p>
            <w:pPr>
              <w:jc w:val="right"/>
              <w:ind w:right="519"/>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519"/>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to Fulcrum, before expenses</w:t>
            </w:r>
          </w:p>
        </w:tc>
        <w:tc>
          <w:tcPr>
            <w:tcW w:w="2300" w:type="dxa"/>
            <w:vAlign w:val="bottom"/>
            <w:gridSpan w:val="2"/>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7" w:lineRule="exact"/>
        <w:rPr>
          <w:sz w:val="24"/>
          <w:szCs w:val="24"/>
          <w:color w:val="auto"/>
        </w:rPr>
      </w:pPr>
    </w:p>
    <w:p>
      <w:pPr>
        <w:ind w:left="540" w:right="220" w:hanging="424"/>
        <w:spacing w:after="0" w:line="282" w:lineRule="auto"/>
        <w:tabs>
          <w:tab w:leader="none" w:pos="5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agreed to reimburse the underwriters for certain FINRA-related expenses. See “Underwriting” for additional information regarding the compensation payable to the underwriters.</w:t>
      </w:r>
    </w:p>
    <w:p>
      <w:pPr>
        <w:spacing w:after="0" w:line="162" w:lineRule="exact"/>
        <w:rPr>
          <w:sz w:val="24"/>
          <w:szCs w:val="24"/>
          <w:color w:val="auto"/>
        </w:rPr>
      </w:pPr>
    </w:p>
    <w:p>
      <w:pPr>
        <w:ind w:left="120"/>
        <w:spacing w:after="0"/>
        <w:tabs>
          <w:tab w:leader="none" w:pos="8160" w:val="left"/>
        </w:tabs>
        <w:rPr>
          <w:sz w:val="20"/>
          <w:szCs w:val="20"/>
          <w:color w:val="auto"/>
        </w:rPr>
      </w:pPr>
      <w:r>
        <w:rPr>
          <w:rFonts w:ascii="Times New Roman" w:cs="Times New Roman" w:eastAsia="Times New Roman" w:hAnsi="Times New Roman"/>
          <w:sz w:val="18"/>
          <w:szCs w:val="18"/>
          <w:color w:val="auto"/>
        </w:rPr>
        <w:t>We have granted the underwriters an option for a period of 30 days to purchase up to an additional</w:t>
      </w:r>
      <w:r>
        <w:rPr>
          <w:sz w:val="20"/>
          <w:szCs w:val="20"/>
          <w:color w:val="auto"/>
        </w:rPr>
        <w:tab/>
      </w:r>
      <w:r>
        <w:rPr>
          <w:rFonts w:ascii="Times New Roman" w:cs="Times New Roman" w:eastAsia="Times New Roman" w:hAnsi="Times New Roman"/>
          <w:sz w:val="18"/>
          <w:szCs w:val="18"/>
          <w:color w:val="auto"/>
        </w:rPr>
        <w:t>shares of our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left="120" w:right="140"/>
        <w:spacing w:after="0" w:line="262"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Investing in our common stock involves risks. See “</w:t>
      </w:r>
      <w:hyperlink w:anchor="page10">
        <w:r>
          <w:rPr>
            <w:rFonts w:ascii="Times New Roman" w:cs="Times New Roman" w:eastAsia="Times New Roman" w:hAnsi="Times New Roman"/>
            <w:sz w:val="22"/>
            <w:szCs w:val="22"/>
            <w:b w:val="1"/>
            <w:bCs w:val="1"/>
            <w:u w:val="single" w:color="auto"/>
            <w:color w:val="0000EE"/>
          </w:rPr>
          <w:t>Risk Factors</w:t>
        </w:r>
      </w:hyperlink>
      <w:r>
        <w:rPr>
          <w:rFonts w:ascii="Times New Roman" w:cs="Times New Roman" w:eastAsia="Times New Roman" w:hAnsi="Times New Roman"/>
          <w:sz w:val="22"/>
          <w:szCs w:val="22"/>
          <w:b w:val="1"/>
          <w:bCs w:val="1"/>
          <w:color w:val="auto"/>
        </w:rPr>
        <w:t>” beginning on page S-7 of this prospectus supplement and in the documents incorporated by reference into this prospectus supplement.</w:t>
      </w:r>
    </w:p>
    <w:p>
      <w:pPr>
        <w:spacing w:after="0" w:line="159" w:lineRule="exact"/>
        <w:rPr>
          <w:sz w:val="24"/>
          <w:szCs w:val="24"/>
          <w:color w:val="auto"/>
        </w:rPr>
      </w:pPr>
    </w:p>
    <w:p>
      <w:pPr>
        <w:jc w:val="both"/>
        <w:ind w:left="120" w:right="2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accuracy or adequacy of this prospectus supplement or the accompanying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216535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tbl>
      <w:tblPr>
        <w:tblLayout w:type="fixed"/>
        <w:tblInd w:w="120" w:type="dxa"/>
        <w:tblCellMar>
          <w:top w:w="0" w:type="dxa"/>
          <w:left w:w="0" w:type="dxa"/>
          <w:bottom w:w="0" w:type="dxa"/>
          <w:right w:w="0" w:type="dxa"/>
        </w:tblCellMar>
      </w:tblPr>
      <w:tr>
        <w:trPr>
          <w:trHeight w:val="234"/>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The underwriters expect to deliver the shares of common stock to purchasers on or about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2021.</w:t>
            </w:r>
          </w:p>
        </w:tc>
      </w:tr>
      <w:tr>
        <w:trPr>
          <w:trHeight w:val="432"/>
        </w:trPr>
        <w:tc>
          <w:tcPr>
            <w:tcW w:w="6800" w:type="dxa"/>
            <w:vAlign w:val="bottom"/>
          </w:tcPr>
          <w:p>
            <w:pPr>
              <w:ind w:left="4440"/>
              <w:spacing w:after="0"/>
              <w:rPr>
                <w:sz w:val="20"/>
                <w:szCs w:val="20"/>
                <w:color w:val="auto"/>
              </w:rPr>
            </w:pPr>
            <w:r>
              <w:rPr>
                <w:rFonts w:ascii="Times New Roman" w:cs="Times New Roman" w:eastAsia="Times New Roman" w:hAnsi="Times New Roman"/>
                <w:sz w:val="18"/>
                <w:szCs w:val="18"/>
                <w:i w:val="1"/>
                <w:iCs w:val="1"/>
                <w:color w:val="auto"/>
              </w:rPr>
              <w:t>Joint Bookrunning Managers</w:t>
            </w:r>
          </w:p>
        </w:tc>
        <w:tc>
          <w:tcPr>
            <w:tcW w:w="720" w:type="dxa"/>
            <w:vAlign w:val="bottom"/>
          </w:tcPr>
          <w:p>
            <w:pPr>
              <w:spacing w:after="0"/>
              <w:rPr>
                <w:sz w:val="24"/>
                <w:szCs w:val="24"/>
                <w:color w:val="auto"/>
              </w:rPr>
            </w:pPr>
          </w:p>
        </w:tc>
      </w:tr>
    </w:tbl>
    <w:p>
      <w:pPr>
        <w:spacing w:after="0" w:line="200" w:lineRule="exact"/>
        <w:rPr>
          <w:sz w:val="24"/>
          <w:szCs w:val="24"/>
          <w:color w:val="auto"/>
        </w:rPr>
      </w:pPr>
    </w:p>
    <w:p>
      <w:pPr>
        <w:sectPr>
          <w:pgSz w:w="11900" w:h="16838" w:orient="portrait"/>
          <w:cols w:equalWidth="0" w:num="1">
            <w:col w:w="11140"/>
          </w:cols>
          <w:pgMar w:left="320" w:top="226" w:right="439" w:bottom="1440" w:gutter="0" w:footer="0" w:header="0"/>
        </w:sectPr>
      </w:pPr>
    </w:p>
    <w:p>
      <w:pPr>
        <w:spacing w:after="0" w:line="1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21"/>
          <w:szCs w:val="21"/>
          <w:b w:val="1"/>
          <w:bCs w:val="1"/>
          <w:color w:val="auto"/>
        </w:rPr>
        <w:t>SVB Leerink</w:t>
      </w:r>
    </w:p>
    <w:p>
      <w:pPr>
        <w:spacing w:after="0" w:line="20" w:lineRule="exact"/>
        <w:rPr>
          <w:sz w:val="24"/>
          <w:szCs w:val="24"/>
          <w:color w:val="auto"/>
        </w:rPr>
      </w:pPr>
      <w:r>
        <w:rPr>
          <w:sz w:val="24"/>
          <w:szCs w:val="24"/>
          <w:color w:val="auto"/>
        </w:rPr>
        <w:br w:type="column"/>
      </w:r>
    </w:p>
    <w:p>
      <w:pPr>
        <w:jc w:val="center"/>
        <w:ind w:right="2820"/>
        <w:spacing w:after="0"/>
        <w:rPr>
          <w:sz w:val="20"/>
          <w:szCs w:val="20"/>
          <w:color w:val="auto"/>
        </w:rPr>
      </w:pPr>
      <w:r>
        <w:rPr>
          <w:rFonts w:ascii="Times New Roman" w:cs="Times New Roman" w:eastAsia="Times New Roman" w:hAnsi="Times New Roman"/>
          <w:sz w:val="21"/>
          <w:szCs w:val="21"/>
          <w:b w:val="1"/>
          <w:bCs w:val="1"/>
          <w:color w:val="auto"/>
        </w:rPr>
        <w:t>Piper Sandler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Credit Suisse</w:t>
      </w:r>
    </w:p>
    <w:p>
      <w:pPr>
        <w:spacing w:after="0" w:line="200" w:lineRule="exact"/>
        <w:rPr>
          <w:sz w:val="24"/>
          <w:szCs w:val="24"/>
          <w:color w:val="auto"/>
        </w:rPr>
      </w:pPr>
    </w:p>
    <w:p>
      <w:pPr>
        <w:sectPr>
          <w:pgSz w:w="11900" w:h="16838" w:orient="portrait"/>
          <w:cols w:equalWidth="0" w:num="3">
            <w:col w:w="4380" w:space="720"/>
            <w:col w:w="4100" w:space="720"/>
            <w:col w:w="1220"/>
          </w:cols>
          <w:pgMar w:left="320" w:top="226" w:right="439" w:bottom="1440" w:gutter="0" w:footer="0" w:header="0"/>
          <w:type w:val="continuous"/>
        </w:sectPr>
      </w:pPr>
    </w:p>
    <w:p>
      <w:pPr>
        <w:spacing w:after="0" w:line="27"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7"/>
          <w:szCs w:val="17"/>
          <w:b w:val="1"/>
          <w:bCs w:val="1"/>
          <w:color w:val="auto"/>
        </w:rPr>
        <w:t>The date of this prospectus supplement is</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2021.</w:t>
      </w:r>
    </w:p>
    <w:p>
      <w:pPr>
        <w:sectPr>
          <w:pgSz w:w="11900" w:h="16838" w:orient="portrait"/>
          <w:cols w:equalWidth="0" w:num="2">
            <w:col w:w="6660" w:space="600"/>
            <w:col w:w="3880"/>
          </w:cols>
          <w:pgMar w:left="320" w:top="226" w:right="439" w:bottom="1440" w:gutter="0" w:footer="0" w:header="0"/>
          <w:type w:val="continuous"/>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10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89"/>
        </w:trPr>
        <w:tc>
          <w:tcPr>
            <w:tcW w:w="10200" w:type="dxa"/>
            <w:vAlign w:val="bottom"/>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ABOUT THIS PROSPECTUS SUPPLEMENT</w:t>
              </w:r>
            </w:hyperlink>
          </w:p>
        </w:tc>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S-ii</w:t>
            </w:r>
          </w:p>
        </w:tc>
      </w:tr>
      <w:tr>
        <w:trPr>
          <w:trHeight w:val="216"/>
        </w:trPr>
        <w:tc>
          <w:tcPr>
            <w:tcW w:w="10200" w:type="dxa"/>
            <w:vAlign w:val="bottom"/>
          </w:tcPr>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PROSPECTUS SUPPLEMENT SUMMARY</w:t>
              </w:r>
            </w:hyperlink>
          </w:p>
        </w:tc>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S-1</w:t>
            </w:r>
          </w:p>
        </w:tc>
      </w:tr>
      <w:tr>
        <w:trPr>
          <w:trHeight w:val="216"/>
        </w:trPr>
        <w:tc>
          <w:tcPr>
            <w:tcW w:w="10200" w:type="dxa"/>
            <w:vAlign w:val="bottom"/>
          </w:tcPr>
          <w:p>
            <w:pPr>
              <w:spacing w:after="0"/>
              <w:rPr>
                <w:rFonts w:ascii="Times New Roman" w:cs="Times New Roman" w:eastAsia="Times New Roman" w:hAnsi="Times New Roman"/>
                <w:sz w:val="18"/>
                <w:szCs w:val="18"/>
                <w:u w:val="single" w:color="auto"/>
                <w:color w:val="0000EE"/>
              </w:rPr>
            </w:pPr>
            <w:hyperlink w:anchor="page10">
              <w:r>
                <w:rPr>
                  <w:rFonts w:ascii="Times New Roman" w:cs="Times New Roman" w:eastAsia="Times New Roman" w:hAnsi="Times New Roman"/>
                  <w:sz w:val="18"/>
                  <w:szCs w:val="18"/>
                  <w:u w:val="single" w:color="auto"/>
                  <w:color w:val="0000EE"/>
                </w:rPr>
                <w:t>RISK FACTORS</w:t>
              </w:r>
            </w:hyperlink>
          </w:p>
        </w:tc>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S-7</w:t>
            </w:r>
          </w:p>
        </w:tc>
      </w:tr>
      <w:tr>
        <w:trPr>
          <w:trHeight w:val="216"/>
        </w:trPr>
        <w:tc>
          <w:tcPr>
            <w:tcW w:w="10200" w:type="dxa"/>
            <w:vAlign w:val="bottom"/>
          </w:tcPr>
          <w:p>
            <w:pPr>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CAUTIONARY NOTE REGARDING FORWARD-LOOKING STATEMENTS AND INDUSTRY DATA</w:t>
              </w:r>
            </w:hyperlink>
          </w:p>
        </w:tc>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S-8</w:t>
            </w:r>
          </w:p>
        </w:tc>
      </w:tr>
      <w:tr>
        <w:trPr>
          <w:trHeight w:val="216"/>
        </w:trPr>
        <w:tc>
          <w:tcPr>
            <w:tcW w:w="10200" w:type="dxa"/>
            <w:vAlign w:val="bottom"/>
          </w:tcPr>
          <w:p>
            <w:pPr>
              <w:spacing w:after="0"/>
              <w:rPr>
                <w:rFonts w:ascii="Times New Roman" w:cs="Times New Roman" w:eastAsia="Times New Roman" w:hAnsi="Times New Roman"/>
                <w:sz w:val="18"/>
                <w:szCs w:val="18"/>
                <w:u w:val="single" w:color="auto"/>
                <w:color w:val="0000EE"/>
              </w:rPr>
            </w:pPr>
            <w:hyperlink w:anchor="page13">
              <w:r>
                <w:rPr>
                  <w:rFonts w:ascii="Times New Roman" w:cs="Times New Roman" w:eastAsia="Times New Roman" w:hAnsi="Times New Roman"/>
                  <w:sz w:val="18"/>
                  <w:szCs w:val="18"/>
                  <w:u w:val="single" w:color="auto"/>
                  <w:color w:val="0000EE"/>
                </w:rPr>
                <w:t>USE OF PROCEEDS</w:t>
              </w:r>
            </w:hyperlink>
          </w:p>
        </w:tc>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S-10</w:t>
            </w:r>
          </w:p>
        </w:tc>
      </w:tr>
      <w:tr>
        <w:trPr>
          <w:trHeight w:val="216"/>
        </w:trPr>
        <w:tc>
          <w:tcPr>
            <w:tcW w:w="10200" w:type="dxa"/>
            <w:vAlign w:val="bottom"/>
          </w:tcPr>
          <w:p>
            <w:pPr>
              <w:spacing w:after="0"/>
              <w:rPr>
                <w:rFonts w:ascii="Times New Roman" w:cs="Times New Roman" w:eastAsia="Times New Roman" w:hAnsi="Times New Roman"/>
                <w:sz w:val="18"/>
                <w:szCs w:val="18"/>
                <w:u w:val="single" w:color="auto"/>
                <w:color w:val="0000EE"/>
              </w:rPr>
            </w:pPr>
            <w:hyperlink w:anchor="page14">
              <w:r>
                <w:rPr>
                  <w:rFonts w:ascii="Times New Roman" w:cs="Times New Roman" w:eastAsia="Times New Roman" w:hAnsi="Times New Roman"/>
                  <w:sz w:val="18"/>
                  <w:szCs w:val="18"/>
                  <w:u w:val="single" w:color="auto"/>
                  <w:color w:val="0000EE"/>
                </w:rPr>
                <w:t>DIVIDEND POLICY</w:t>
              </w:r>
            </w:hyperlink>
          </w:p>
        </w:tc>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S-11</w:t>
            </w:r>
          </w:p>
        </w:tc>
      </w:tr>
      <w:tr>
        <w:trPr>
          <w:trHeight w:val="216"/>
        </w:trPr>
        <w:tc>
          <w:tcPr>
            <w:tcW w:w="10200" w:type="dxa"/>
            <w:vAlign w:val="bottom"/>
          </w:tcPr>
          <w:p>
            <w:pPr>
              <w:spacing w:after="0"/>
              <w:rPr>
                <w:rFonts w:ascii="Times New Roman" w:cs="Times New Roman" w:eastAsia="Times New Roman" w:hAnsi="Times New Roman"/>
                <w:sz w:val="18"/>
                <w:szCs w:val="18"/>
                <w:u w:val="single" w:color="auto"/>
                <w:color w:val="0000EE"/>
              </w:rPr>
            </w:pPr>
            <w:hyperlink w:anchor="page15">
              <w:r>
                <w:rPr>
                  <w:rFonts w:ascii="Times New Roman" w:cs="Times New Roman" w:eastAsia="Times New Roman" w:hAnsi="Times New Roman"/>
                  <w:sz w:val="18"/>
                  <w:szCs w:val="18"/>
                  <w:u w:val="single" w:color="auto"/>
                  <w:color w:val="0000EE"/>
                </w:rPr>
                <w:t>DILUTION</w:t>
              </w:r>
            </w:hyperlink>
          </w:p>
        </w:tc>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S-12</w:t>
            </w:r>
          </w:p>
        </w:tc>
      </w:tr>
      <w:tr>
        <w:trPr>
          <w:trHeight w:val="216"/>
        </w:trPr>
        <w:tc>
          <w:tcPr>
            <w:tcW w:w="10200" w:type="dxa"/>
            <w:vAlign w:val="bottom"/>
          </w:tcPr>
          <w:p>
            <w:pPr>
              <w:spacing w:after="0"/>
              <w:rPr>
                <w:rFonts w:ascii="Times New Roman" w:cs="Times New Roman" w:eastAsia="Times New Roman" w:hAnsi="Times New Roman"/>
                <w:sz w:val="18"/>
                <w:szCs w:val="18"/>
                <w:u w:val="single" w:color="auto"/>
                <w:color w:val="0000EE"/>
              </w:rPr>
            </w:pPr>
            <w:hyperlink w:anchor="page17">
              <w:r>
                <w:rPr>
                  <w:rFonts w:ascii="Times New Roman" w:cs="Times New Roman" w:eastAsia="Times New Roman" w:hAnsi="Times New Roman"/>
                  <w:sz w:val="18"/>
                  <w:szCs w:val="18"/>
                  <w:u w:val="single" w:color="auto"/>
                  <w:color w:val="0000EE"/>
                </w:rPr>
                <w:t>MATERIAL U.S. FEDERAL INCOME AND ESTATE TAX CONSIDERATIONS FOR NON-U.S. HOLDERS OF COMMON STOCK</w:t>
              </w:r>
            </w:hyperlink>
          </w:p>
        </w:tc>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S-14</w:t>
            </w:r>
          </w:p>
        </w:tc>
      </w:tr>
      <w:tr>
        <w:trPr>
          <w:trHeight w:val="216"/>
        </w:trPr>
        <w:tc>
          <w:tcPr>
            <w:tcW w:w="10200" w:type="dxa"/>
            <w:vAlign w:val="bottom"/>
          </w:tcPr>
          <w:p>
            <w:pPr>
              <w:spacing w:after="0"/>
              <w:rPr>
                <w:rFonts w:ascii="Times New Roman" w:cs="Times New Roman" w:eastAsia="Times New Roman" w:hAnsi="Times New Roman"/>
                <w:sz w:val="18"/>
                <w:szCs w:val="18"/>
                <w:u w:val="single" w:color="auto"/>
                <w:color w:val="0000EE"/>
              </w:rPr>
            </w:pPr>
            <w:hyperlink w:anchor="page21">
              <w:r>
                <w:rPr>
                  <w:rFonts w:ascii="Times New Roman" w:cs="Times New Roman" w:eastAsia="Times New Roman" w:hAnsi="Times New Roman"/>
                  <w:sz w:val="18"/>
                  <w:szCs w:val="18"/>
                  <w:u w:val="single" w:color="auto"/>
                  <w:color w:val="0000EE"/>
                </w:rPr>
                <w:t>UNDERWRITING</w:t>
              </w:r>
            </w:hyperlink>
          </w:p>
        </w:tc>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S-18</w:t>
            </w:r>
          </w:p>
        </w:tc>
      </w:tr>
      <w:tr>
        <w:trPr>
          <w:trHeight w:val="216"/>
        </w:trPr>
        <w:tc>
          <w:tcPr>
            <w:tcW w:w="10200" w:type="dxa"/>
            <w:vAlign w:val="bottom"/>
          </w:tcPr>
          <w:p>
            <w:pPr>
              <w:spacing w:after="0"/>
              <w:rPr>
                <w:rFonts w:ascii="Times New Roman" w:cs="Times New Roman" w:eastAsia="Times New Roman" w:hAnsi="Times New Roman"/>
                <w:sz w:val="18"/>
                <w:szCs w:val="18"/>
                <w:u w:val="single" w:color="auto"/>
                <w:color w:val="0000EE"/>
              </w:rPr>
            </w:pPr>
            <w:hyperlink w:anchor="page28">
              <w:r>
                <w:rPr>
                  <w:rFonts w:ascii="Times New Roman" w:cs="Times New Roman" w:eastAsia="Times New Roman" w:hAnsi="Times New Roman"/>
                  <w:sz w:val="18"/>
                  <w:szCs w:val="18"/>
                  <w:u w:val="single" w:color="auto"/>
                  <w:color w:val="0000EE"/>
                </w:rPr>
                <w:t>LEGAL MATTERS</w:t>
              </w:r>
            </w:hyperlink>
          </w:p>
        </w:tc>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S-25</w:t>
            </w:r>
          </w:p>
        </w:tc>
      </w:tr>
      <w:tr>
        <w:trPr>
          <w:trHeight w:val="216"/>
        </w:trPr>
        <w:tc>
          <w:tcPr>
            <w:tcW w:w="10200" w:type="dxa"/>
            <w:vAlign w:val="bottom"/>
          </w:tcPr>
          <w:p>
            <w:pPr>
              <w:spacing w:after="0"/>
              <w:rPr>
                <w:rFonts w:ascii="Times New Roman" w:cs="Times New Roman" w:eastAsia="Times New Roman" w:hAnsi="Times New Roman"/>
                <w:sz w:val="18"/>
                <w:szCs w:val="18"/>
                <w:u w:val="single" w:color="auto"/>
                <w:color w:val="0000EE"/>
              </w:rPr>
            </w:pPr>
            <w:hyperlink w:anchor="page28">
              <w:r>
                <w:rPr>
                  <w:rFonts w:ascii="Times New Roman" w:cs="Times New Roman" w:eastAsia="Times New Roman" w:hAnsi="Times New Roman"/>
                  <w:sz w:val="18"/>
                  <w:szCs w:val="18"/>
                  <w:u w:val="single" w:color="auto"/>
                  <w:color w:val="0000EE"/>
                </w:rPr>
                <w:t>EXPERTS</w:t>
              </w:r>
            </w:hyperlink>
          </w:p>
        </w:tc>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S-25</w:t>
            </w:r>
          </w:p>
        </w:tc>
      </w:tr>
      <w:tr>
        <w:trPr>
          <w:trHeight w:val="216"/>
        </w:trPr>
        <w:tc>
          <w:tcPr>
            <w:tcW w:w="10200" w:type="dxa"/>
            <w:vAlign w:val="bottom"/>
          </w:tcPr>
          <w:p>
            <w:pPr>
              <w:spacing w:after="0"/>
              <w:rPr>
                <w:rFonts w:ascii="Times New Roman" w:cs="Times New Roman" w:eastAsia="Times New Roman" w:hAnsi="Times New Roman"/>
                <w:sz w:val="18"/>
                <w:szCs w:val="18"/>
                <w:u w:val="single" w:color="auto"/>
                <w:color w:val="0000EE"/>
              </w:rPr>
            </w:pPr>
            <w:hyperlink w:anchor="page28">
              <w:r>
                <w:rPr>
                  <w:rFonts w:ascii="Times New Roman" w:cs="Times New Roman" w:eastAsia="Times New Roman" w:hAnsi="Times New Roman"/>
                  <w:sz w:val="18"/>
                  <w:szCs w:val="18"/>
                  <w:u w:val="single" w:color="auto"/>
                  <w:color w:val="0000EE"/>
                </w:rPr>
                <w:t>WHERE YOU CAN FIND MORE INFORMATION</w:t>
              </w:r>
            </w:hyperlink>
          </w:p>
        </w:tc>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S-25</w:t>
            </w:r>
          </w:p>
        </w:tc>
      </w:tr>
      <w:tr>
        <w:trPr>
          <w:trHeight w:val="234"/>
        </w:trPr>
        <w:tc>
          <w:tcPr>
            <w:tcW w:w="10200" w:type="dxa"/>
            <w:vAlign w:val="bottom"/>
          </w:tcPr>
          <w:p>
            <w:pPr>
              <w:spacing w:after="0"/>
              <w:rPr>
                <w:rFonts w:ascii="Times New Roman" w:cs="Times New Roman" w:eastAsia="Times New Roman" w:hAnsi="Times New Roman"/>
                <w:sz w:val="18"/>
                <w:szCs w:val="18"/>
                <w:u w:val="single" w:color="auto"/>
                <w:color w:val="0000EE"/>
              </w:rPr>
            </w:pPr>
            <w:hyperlink w:anchor="page28">
              <w:r>
                <w:rPr>
                  <w:rFonts w:ascii="Times New Roman" w:cs="Times New Roman" w:eastAsia="Times New Roman" w:hAnsi="Times New Roman"/>
                  <w:sz w:val="18"/>
                  <w:szCs w:val="18"/>
                  <w:u w:val="single" w:color="auto"/>
                  <w:color w:val="0000EE"/>
                </w:rPr>
                <w:t>INCORPORATION OF CERTAIN INFORMATION BY REFERENCE</w:t>
              </w:r>
            </w:hyperlink>
          </w:p>
        </w:tc>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S-25</w:t>
            </w:r>
          </w:p>
        </w:tc>
      </w:tr>
      <w:tr>
        <w:trPr>
          <w:trHeight w:val="648"/>
        </w:trPr>
        <w:tc>
          <w:tcPr>
            <w:tcW w:w="10200" w:type="dxa"/>
            <w:vAlign w:val="bottom"/>
          </w:tcPr>
          <w:p>
            <w:pPr>
              <w:ind w:left="4900"/>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760" w:type="dxa"/>
            <w:vAlign w:val="bottom"/>
          </w:tcPr>
          <w:p>
            <w:pPr>
              <w:spacing w:after="0"/>
              <w:rPr>
                <w:sz w:val="24"/>
                <w:szCs w:val="24"/>
                <w:color w:val="auto"/>
              </w:rPr>
            </w:pPr>
          </w:p>
        </w:tc>
      </w:tr>
      <w:tr>
        <w:trPr>
          <w:trHeight w:val="441"/>
        </w:trPr>
        <w:tc>
          <w:tcPr>
            <w:tcW w:w="10200" w:type="dxa"/>
            <w:vAlign w:val="bottom"/>
          </w:tcPr>
          <w:p>
            <w:pPr>
              <w:spacing w:after="0"/>
              <w:rPr>
                <w:rFonts w:ascii="Times New Roman" w:cs="Times New Roman" w:eastAsia="Times New Roman" w:hAnsi="Times New Roman"/>
                <w:sz w:val="18"/>
                <w:szCs w:val="18"/>
                <w:u w:val="single" w:color="auto"/>
                <w:color w:val="0000EE"/>
              </w:rPr>
            </w:pPr>
            <w:hyperlink w:anchor="page32">
              <w:r>
                <w:rPr>
                  <w:rFonts w:ascii="Times New Roman" w:cs="Times New Roman" w:eastAsia="Times New Roman" w:hAnsi="Times New Roman"/>
                  <w:sz w:val="18"/>
                  <w:szCs w:val="18"/>
                  <w:u w:val="single" w:color="auto"/>
                  <w:color w:val="0000EE"/>
                </w:rPr>
                <w:t>ABOUT THIS PROSPECTUS</w:t>
              </w:r>
            </w:hyperlink>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0200" w:type="dxa"/>
            <w:vAlign w:val="bottom"/>
          </w:tcPr>
          <w:p>
            <w:pPr>
              <w:spacing w:after="0"/>
              <w:rPr>
                <w:rFonts w:ascii="Times New Roman" w:cs="Times New Roman" w:eastAsia="Times New Roman" w:hAnsi="Times New Roman"/>
                <w:sz w:val="18"/>
                <w:szCs w:val="18"/>
                <w:u w:val="single" w:color="auto"/>
                <w:color w:val="0000EE"/>
              </w:rPr>
            </w:pPr>
            <w:hyperlink w:anchor="page33">
              <w:r>
                <w:rPr>
                  <w:rFonts w:ascii="Times New Roman" w:cs="Times New Roman" w:eastAsia="Times New Roman" w:hAnsi="Times New Roman"/>
                  <w:sz w:val="18"/>
                  <w:szCs w:val="18"/>
                  <w:u w:val="single" w:color="auto"/>
                  <w:color w:val="0000EE"/>
                </w:rPr>
                <w:t>WHERE YOU CAN FIND MORE INFORMATION</w:t>
              </w:r>
            </w:hyperlink>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0200" w:type="dxa"/>
            <w:vAlign w:val="bottom"/>
          </w:tcPr>
          <w:p>
            <w:pPr>
              <w:spacing w:after="0"/>
              <w:rPr>
                <w:rFonts w:ascii="Times New Roman" w:cs="Times New Roman" w:eastAsia="Times New Roman" w:hAnsi="Times New Roman"/>
                <w:sz w:val="18"/>
                <w:szCs w:val="18"/>
                <w:u w:val="single" w:color="auto"/>
                <w:color w:val="0000EE"/>
              </w:rPr>
            </w:pPr>
            <w:hyperlink w:anchor="page33">
              <w:r>
                <w:rPr>
                  <w:rFonts w:ascii="Times New Roman" w:cs="Times New Roman" w:eastAsia="Times New Roman" w:hAnsi="Times New Roman"/>
                  <w:sz w:val="18"/>
                  <w:szCs w:val="18"/>
                  <w:u w:val="single" w:color="auto"/>
                  <w:color w:val="0000EE"/>
                </w:rPr>
                <w:t>INCORPORATION OF CERTAIN DOCUMENTS BY REFERENCE</w:t>
              </w:r>
            </w:hyperlink>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0200" w:type="dxa"/>
            <w:vAlign w:val="bottom"/>
          </w:tcPr>
          <w:p>
            <w:pPr>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u w:val="single" w:color="auto"/>
                  <w:color w:val="0000EE"/>
                </w:rPr>
                <w:t>CAUTIONARY NOTE REGARDING FORWARD-LOOKING STATEMENTS AND INDUSTRY</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DATA</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0200" w:type="dxa"/>
            <w:vAlign w:val="bottom"/>
          </w:tcPr>
          <w:p>
            <w:pPr>
              <w:spacing w:after="0"/>
              <w:rPr>
                <w:rFonts w:ascii="Times New Roman" w:cs="Times New Roman" w:eastAsia="Times New Roman" w:hAnsi="Times New Roman"/>
                <w:sz w:val="18"/>
                <w:szCs w:val="18"/>
                <w:u w:val="single" w:color="auto"/>
                <w:color w:val="0000EE"/>
              </w:rPr>
            </w:pPr>
            <w:hyperlink w:anchor="page35">
              <w:r>
                <w:rPr>
                  <w:rFonts w:ascii="Times New Roman" w:cs="Times New Roman" w:eastAsia="Times New Roman" w:hAnsi="Times New Roman"/>
                  <w:sz w:val="18"/>
                  <w:szCs w:val="18"/>
                  <w:u w:val="single" w:color="auto"/>
                  <w:color w:val="0000EE"/>
                </w:rPr>
                <w:t>ABOUT FULCRUM THERAPEUTICS, INC</w:t>
              </w:r>
            </w:hyperlink>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0200" w:type="dxa"/>
            <w:vAlign w:val="bottom"/>
          </w:tcPr>
          <w:p>
            <w:pPr>
              <w:spacing w:after="0"/>
              <w:rPr>
                <w:rFonts w:ascii="Times New Roman" w:cs="Times New Roman" w:eastAsia="Times New Roman" w:hAnsi="Times New Roman"/>
                <w:sz w:val="18"/>
                <w:szCs w:val="18"/>
                <w:u w:val="single" w:color="auto"/>
                <w:color w:val="0000EE"/>
              </w:rPr>
            </w:pPr>
            <w:hyperlink w:anchor="page36">
              <w:r>
                <w:rPr>
                  <w:rFonts w:ascii="Times New Roman" w:cs="Times New Roman" w:eastAsia="Times New Roman" w:hAnsi="Times New Roman"/>
                  <w:sz w:val="18"/>
                  <w:szCs w:val="18"/>
                  <w:u w:val="single" w:color="auto"/>
                  <w:color w:val="0000EE"/>
                </w:rPr>
                <w:t>RISK FACTORS</w:t>
              </w:r>
            </w:hyperlink>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0200" w:type="dxa"/>
            <w:vAlign w:val="bottom"/>
          </w:tcPr>
          <w:p>
            <w:pPr>
              <w:spacing w:after="0"/>
              <w:rPr>
                <w:rFonts w:ascii="Times New Roman" w:cs="Times New Roman" w:eastAsia="Times New Roman" w:hAnsi="Times New Roman"/>
                <w:sz w:val="18"/>
                <w:szCs w:val="18"/>
                <w:u w:val="single" w:color="auto"/>
                <w:color w:val="0000EE"/>
              </w:rPr>
            </w:pPr>
            <w:hyperlink w:anchor="page37">
              <w:r>
                <w:rPr>
                  <w:rFonts w:ascii="Times New Roman" w:cs="Times New Roman" w:eastAsia="Times New Roman" w:hAnsi="Times New Roman"/>
                  <w:sz w:val="18"/>
                  <w:szCs w:val="18"/>
                  <w:u w:val="single" w:color="auto"/>
                  <w:color w:val="0000EE"/>
                </w:rPr>
                <w:t>USE OF PROCEEDS</w:t>
              </w:r>
            </w:hyperlink>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0200" w:type="dxa"/>
            <w:vAlign w:val="bottom"/>
          </w:tcPr>
          <w:p>
            <w:pPr>
              <w:spacing w:after="0"/>
              <w:rPr>
                <w:rFonts w:ascii="Times New Roman" w:cs="Times New Roman" w:eastAsia="Times New Roman" w:hAnsi="Times New Roman"/>
                <w:sz w:val="18"/>
                <w:szCs w:val="18"/>
                <w:u w:val="single" w:color="auto"/>
                <w:color w:val="0000EE"/>
              </w:rPr>
            </w:pPr>
            <w:hyperlink w:anchor="page38">
              <w:r>
                <w:rPr>
                  <w:rFonts w:ascii="Times New Roman" w:cs="Times New Roman" w:eastAsia="Times New Roman" w:hAnsi="Times New Roman"/>
                  <w:sz w:val="18"/>
                  <w:szCs w:val="18"/>
                  <w:u w:val="single" w:color="auto"/>
                  <w:color w:val="0000EE"/>
                </w:rPr>
                <w:t>DESCRIPTION OF DEBT SECURITIES</w:t>
              </w:r>
            </w:hyperlink>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0200" w:type="dxa"/>
            <w:vAlign w:val="bottom"/>
          </w:tcPr>
          <w:p>
            <w:pPr>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DESCRIPTION OF CAPITAL STOCK</w:t>
              </w:r>
            </w:hyperlink>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0200" w:type="dxa"/>
            <w:vAlign w:val="bottom"/>
          </w:tcPr>
          <w:p>
            <w:pPr>
              <w:spacing w:after="0"/>
              <w:rPr>
                <w:rFonts w:ascii="Times New Roman" w:cs="Times New Roman" w:eastAsia="Times New Roman" w:hAnsi="Times New Roman"/>
                <w:sz w:val="18"/>
                <w:szCs w:val="18"/>
                <w:u w:val="single" w:color="auto"/>
                <w:color w:val="0000EE"/>
              </w:rPr>
            </w:pPr>
            <w:hyperlink w:anchor="page55">
              <w:r>
                <w:rPr>
                  <w:rFonts w:ascii="Times New Roman" w:cs="Times New Roman" w:eastAsia="Times New Roman" w:hAnsi="Times New Roman"/>
                  <w:sz w:val="18"/>
                  <w:szCs w:val="18"/>
                  <w:u w:val="single" w:color="auto"/>
                  <w:color w:val="0000EE"/>
                </w:rPr>
                <w:t>DESCRIPTION OF DEPOSITARY SHARES</w:t>
              </w:r>
            </w:hyperlink>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0200" w:type="dxa"/>
            <w:vAlign w:val="bottom"/>
          </w:tcPr>
          <w:p>
            <w:pPr>
              <w:spacing w:after="0"/>
              <w:rPr>
                <w:rFonts w:ascii="Times New Roman" w:cs="Times New Roman" w:eastAsia="Times New Roman" w:hAnsi="Times New Roman"/>
                <w:sz w:val="18"/>
                <w:szCs w:val="18"/>
                <w:u w:val="single" w:color="auto"/>
                <w:color w:val="0000EE"/>
              </w:rPr>
            </w:pPr>
            <w:hyperlink w:anchor="page58">
              <w:r>
                <w:rPr>
                  <w:rFonts w:ascii="Times New Roman" w:cs="Times New Roman" w:eastAsia="Times New Roman" w:hAnsi="Times New Roman"/>
                  <w:sz w:val="18"/>
                  <w:szCs w:val="18"/>
                  <w:u w:val="single" w:color="auto"/>
                  <w:color w:val="0000EE"/>
                </w:rPr>
                <w:t>DESCRIPTION OF UNITS</w:t>
              </w:r>
            </w:hyperlink>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0200" w:type="dxa"/>
            <w:vAlign w:val="bottom"/>
          </w:tcPr>
          <w:p>
            <w:pPr>
              <w:spacing w:after="0"/>
              <w:rPr>
                <w:rFonts w:ascii="Times New Roman" w:cs="Times New Roman" w:eastAsia="Times New Roman" w:hAnsi="Times New Roman"/>
                <w:sz w:val="18"/>
                <w:szCs w:val="18"/>
                <w:u w:val="single" w:color="auto"/>
                <w:color w:val="0000EE"/>
              </w:rPr>
            </w:pPr>
            <w:hyperlink w:anchor="page59">
              <w:r>
                <w:rPr>
                  <w:rFonts w:ascii="Times New Roman" w:cs="Times New Roman" w:eastAsia="Times New Roman" w:hAnsi="Times New Roman"/>
                  <w:sz w:val="18"/>
                  <w:szCs w:val="18"/>
                  <w:u w:val="single" w:color="auto"/>
                  <w:color w:val="0000EE"/>
                </w:rPr>
                <w:t>DESCRIPTION OF WARRANTS</w:t>
              </w:r>
            </w:hyperlink>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0200" w:type="dxa"/>
            <w:vAlign w:val="bottom"/>
          </w:tcPr>
          <w:p>
            <w:pPr>
              <w:spacing w:after="0"/>
              <w:rPr>
                <w:rFonts w:ascii="Times New Roman" w:cs="Times New Roman" w:eastAsia="Times New Roman" w:hAnsi="Times New Roman"/>
                <w:sz w:val="18"/>
                <w:szCs w:val="18"/>
                <w:u w:val="single" w:color="auto"/>
                <w:color w:val="0000EE"/>
              </w:rPr>
            </w:pPr>
            <w:hyperlink w:anchor="page60">
              <w:r>
                <w:rPr>
                  <w:rFonts w:ascii="Times New Roman" w:cs="Times New Roman" w:eastAsia="Times New Roman" w:hAnsi="Times New Roman"/>
                  <w:sz w:val="18"/>
                  <w:szCs w:val="18"/>
                  <w:u w:val="single" w:color="auto"/>
                  <w:color w:val="0000EE"/>
                </w:rPr>
                <w:t>FORMS OF SECURITIES</w:t>
              </w:r>
            </w:hyperlink>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0200" w:type="dxa"/>
            <w:vAlign w:val="bottom"/>
          </w:tcPr>
          <w:p>
            <w:pPr>
              <w:spacing w:after="0"/>
              <w:rPr>
                <w:rFonts w:ascii="Times New Roman" w:cs="Times New Roman" w:eastAsia="Times New Roman" w:hAnsi="Times New Roman"/>
                <w:sz w:val="18"/>
                <w:szCs w:val="18"/>
                <w:u w:val="single" w:color="auto"/>
                <w:color w:val="0000EE"/>
              </w:rPr>
            </w:pPr>
            <w:hyperlink w:anchor="page62">
              <w:r>
                <w:rPr>
                  <w:rFonts w:ascii="Times New Roman" w:cs="Times New Roman" w:eastAsia="Times New Roman" w:hAnsi="Times New Roman"/>
                  <w:sz w:val="18"/>
                  <w:szCs w:val="18"/>
                  <w:u w:val="single" w:color="auto"/>
                  <w:color w:val="0000EE"/>
                </w:rPr>
                <w:t>PLAN OF DISTRIBUTION</w:t>
              </w:r>
            </w:hyperlink>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0200" w:type="dxa"/>
            <w:vAlign w:val="bottom"/>
          </w:tcPr>
          <w:p>
            <w:pPr>
              <w:spacing w:after="0"/>
              <w:rPr>
                <w:rFonts w:ascii="Times New Roman" w:cs="Times New Roman" w:eastAsia="Times New Roman" w:hAnsi="Times New Roman"/>
                <w:sz w:val="18"/>
                <w:szCs w:val="18"/>
                <w:u w:val="single" w:color="auto"/>
                <w:color w:val="0000EE"/>
              </w:rPr>
            </w:pPr>
            <w:hyperlink w:anchor="page65">
              <w:r>
                <w:rPr>
                  <w:rFonts w:ascii="Times New Roman" w:cs="Times New Roman" w:eastAsia="Times New Roman" w:hAnsi="Times New Roman"/>
                  <w:sz w:val="18"/>
                  <w:szCs w:val="18"/>
                  <w:u w:val="single" w:color="auto"/>
                  <w:color w:val="0000EE"/>
                </w:rPr>
                <w:t>LEGAL MATTERS</w:t>
              </w:r>
            </w:hyperlink>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4"/>
        </w:trPr>
        <w:tc>
          <w:tcPr>
            <w:tcW w:w="10200" w:type="dxa"/>
            <w:vAlign w:val="bottom"/>
          </w:tcPr>
          <w:p>
            <w:pPr>
              <w:spacing w:after="0"/>
              <w:rPr>
                <w:rFonts w:ascii="Times New Roman" w:cs="Times New Roman" w:eastAsia="Times New Roman" w:hAnsi="Times New Roman"/>
                <w:sz w:val="18"/>
                <w:szCs w:val="18"/>
                <w:u w:val="single" w:color="auto"/>
                <w:color w:val="0000EE"/>
              </w:rPr>
            </w:pPr>
            <w:hyperlink w:anchor="page65">
              <w:r>
                <w:rPr>
                  <w:rFonts w:ascii="Times New Roman" w:cs="Times New Roman" w:eastAsia="Times New Roman" w:hAnsi="Times New Roman"/>
                  <w:sz w:val="18"/>
                  <w:szCs w:val="18"/>
                  <w:u w:val="single" w:color="auto"/>
                  <w:color w:val="0000EE"/>
                </w:rPr>
                <w:t>EXPERTS</w:t>
              </w:r>
            </w:hyperlink>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bl>
    <w:p>
      <w:pPr>
        <w:spacing w:after="0" w:line="1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080"/>
          </w:cols>
          <w:pgMar w:left="320" w:top="455" w:right="49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This document is in two parts. The first part is this prospectus supplement, which describes the specific terms of this common stock offering and also adds to and updates information contained in the accompanying prospectus and the documents incorporated by reference herein. The second part, the accompanying prospectus, provides more general information. Generally, when we refer to this prospectus, we are referring to both parts of this document combined. To the extent there is a conflict between the information contained in this prospectus supplement and the information contained in the accompanying prospectus or any document incorporated by reference therein filed prior to the date of this prospectus supplement, you should rely on the information in this prospectus supplement; provided that if any statement in one of these documents is inconsistent with a statement in another document having a later date—for example, a document incorporated by reference in the accompanying prospectus—the statement in the document having the later date modifies or supersedes the earlier statement.</w:t>
      </w:r>
    </w:p>
    <w:p>
      <w:pPr>
        <w:spacing w:after="0" w:line="192" w:lineRule="exact"/>
        <w:rPr>
          <w:sz w:val="20"/>
          <w:szCs w:val="20"/>
          <w:color w:val="auto"/>
        </w:rPr>
      </w:pPr>
    </w:p>
    <w:p>
      <w:pPr>
        <w:ind w:left="120" w:right="340"/>
        <w:spacing w:after="0" w:line="258"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3"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Neither we nor the underwriters have authorized anyone to provide any information other than that contained or incorporated by reference into this prospectus supplement, the accompanying prospectus or in any free writing prospectus prepared by or on behalf of us or to which we have referred you. We and the underwriters take no responsibility for, and can provide no assurance as to the reliability of, any other information that others may give you. This prospectus supplement and the accompanying prospectus do not constitute an offer to sell, or a solicitation of an offer to purchase, the securities offered by this prospectus supplement and the accompanying prospectus in any jurisdiction to or from any person to whom or from whom it is unlawful to make such offer or solicitation of an offer in such jurisdiction. The information contained in this prospectus supplement or the accompanying prospectus, or incorporated by reference herein or therein is accurate only as of the respective dates thereof, regardless of the time of delivery of this prospectus supplement and the accompanying prospectus or of any sale of our common stock. It is important for you to read and consider all information contained in this prospectus supplement and the accompanying prospectus, including the documents incorporated by reference herein and therein, in making your investment decision. You should also read and consider the information in the documents to which we have referred you in the sections entitled “Where You Can Find More Information” and “Incorporation of Certain Information By Reference” in this prospectus supplement and in the accompanying prospectus.</w:t>
      </w:r>
    </w:p>
    <w:p>
      <w:pPr>
        <w:spacing w:after="0" w:line="190"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We are offering to sell, and seeking offers to buy, shares of our common stock only in jurisdictions where offers and sales are permitted. The distribution of this prospectus supplement and the accompanying prospectus and the offering of the common stock in certain jurisdictions may be restricted by law. Persons outside the United States who come into possession of this prospectus supplement and the accompanying prospectus must inform themselves about, and observe any restrictions relating to, the offering of the common stock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w:t>
      </w:r>
    </w:p>
    <w:p>
      <w:pPr>
        <w:spacing w:after="0" w:line="189" w:lineRule="exact"/>
        <w:rPr>
          <w:sz w:val="20"/>
          <w:szCs w:val="20"/>
          <w:color w:val="auto"/>
        </w:rPr>
      </w:pPr>
    </w:p>
    <w:p>
      <w:pPr>
        <w:ind w:left="120" w:right="660"/>
        <w:spacing w:after="0" w:line="282" w:lineRule="auto"/>
        <w:rPr>
          <w:sz w:val="20"/>
          <w:szCs w:val="20"/>
          <w:color w:val="auto"/>
        </w:rPr>
      </w:pPr>
      <w:r>
        <w:rPr>
          <w:rFonts w:ascii="Times New Roman" w:cs="Times New Roman" w:eastAsia="Times New Roman" w:hAnsi="Times New Roman"/>
          <w:sz w:val="18"/>
          <w:szCs w:val="18"/>
          <w:color w:val="auto"/>
        </w:rPr>
        <w:t>Unless the context otherwise indicates, references in this prospectus to “we,” “our” and “us” refer, collectively, to Fulcrum Therapeutics, Inc., a Delaware corporation, and its consolidated subsidiary.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S-ii</w:t>
      </w:r>
    </w:p>
    <w:p>
      <w:pPr>
        <w:sectPr>
          <w:pgSz w:w="11900" w:h="16838" w:orient="portrait"/>
          <w:cols w:equalWidth="0" w:num="1">
            <w:col w:w="11120"/>
          </w:cols>
          <w:pgMar w:left="320" w:top="455" w:right="45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79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8970" cy="597916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119" w:lineRule="exact"/>
        <w:rPr>
          <w:sz w:val="20"/>
          <w:szCs w:val="20"/>
          <w:color w:val="auto"/>
        </w:rPr>
      </w:pPr>
    </w:p>
    <w:p>
      <w:pPr>
        <w:ind w:left="300"/>
        <w:spacing w:after="0" w:line="256"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in this prospectus supplement and the accompanying prospectus and in the documents we incorporate by reference herein and therein. This summary does not contain all of the information you should consider before investing in our common stock. You should read this entire prospectus supplement and accompanying prospectus carefully, especially the risks of investing in our common stock discussed under “Risk Factors” beginning on page S-7 of this prospectus supplement and in our Annual Report on Form 10-K for the year ended December 31, 2019 and our Quarterly Report on Form 10-Q for the period ended September 30, 2020, along with our consolidated financial statements and notes to those consolidated financial statements and the other information incorporated by reference into this prospectus supplement and the accompanying prospectus, before making an investment decision.</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300" w:right="20"/>
        <w:spacing w:after="0" w:line="253"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improving the lives of patients with genetically defined rare diseases in areas of high unmet medical need. We have developed a proprietary product engine that we employ to systematically identify and validate cellular drug targets that can potentially modulate gene expression to treat the known root cause of genetically defined diseases. We are using our product engine to identify targets that can be drugged by small molecules regardless of the underlying mechanism of gene mis-expression. We have identified drug targets to treat the root causes of facioscapulohumeral muscular dystrophy, or FSHD, and certain hemoglobinopathies, namely sickle cell disease, or SCD, and ß-thalassemia. In August 2019, we initiated a Phase 2b clinical trial, known as ReDUX4, and a Phase 2 open label clinical trial of losmapimod, our product candidate for FSHD, to evaluate the efficacy and safety of losmapimod in addressing the underlying cause of FSHD. In the fourth quarter of 2020, we initiated a Phase 1 clinical trial of FTX-6058, our product candidate for certain hemoglobinopathies and a novel upregulator of fetal hemoglobin, to evaluate the safety, tolerability and pharmacokinetics of FTX-6058 in healthy volunteers. In addition, we anticipate initiating a clinical trial of FTX-6058 in patients with SCD in the second half of 2021.</w:t>
      </w:r>
    </w:p>
    <w:p>
      <w:pPr>
        <w:spacing w:after="0" w:line="194" w:lineRule="exact"/>
        <w:rPr>
          <w:sz w:val="20"/>
          <w:szCs w:val="20"/>
          <w:color w:val="auto"/>
        </w:rPr>
      </w:pPr>
    </w:p>
    <w:p>
      <w:pPr>
        <w:ind w:left="300"/>
        <w:spacing w:after="0" w:line="272" w:lineRule="auto"/>
        <w:rPr>
          <w:sz w:val="20"/>
          <w:szCs w:val="20"/>
          <w:color w:val="auto"/>
        </w:rPr>
      </w:pPr>
      <w:r>
        <w:rPr>
          <w:rFonts w:ascii="Times New Roman" w:cs="Times New Roman" w:eastAsia="Times New Roman" w:hAnsi="Times New Roman"/>
          <w:sz w:val="17"/>
          <w:szCs w:val="17"/>
          <w:color w:val="auto"/>
        </w:rPr>
        <w:t>ReDUX4 is a randomized, double-blind, placebo-controlled multicenter international Phase 2b clinical trial in 80 subjects with FSHD to investigate the efficacy and safety of oral administration of losmapimod 15 mg twice per day. The primary endpoint is to evaluate the reduction of DUX4-driven gene expression in affected skeletal muscle biopsies. The original design of ReDUX4 included a muscle biopsy at week 16 during the</w:t>
      </w:r>
    </w:p>
    <w:p>
      <w:pPr>
        <w:spacing w:after="0" w:line="2" w:lineRule="exact"/>
        <w:rPr>
          <w:sz w:val="20"/>
          <w:szCs w:val="20"/>
          <w:color w:val="auto"/>
        </w:rPr>
      </w:pPr>
    </w:p>
    <w:p>
      <w:pPr>
        <w:ind w:left="300" w:right="100"/>
        <w:spacing w:after="0" w:line="260" w:lineRule="auto"/>
        <w:rPr>
          <w:sz w:val="20"/>
          <w:szCs w:val="20"/>
          <w:color w:val="auto"/>
        </w:rPr>
      </w:pPr>
      <w:r>
        <w:rPr>
          <w:rFonts w:ascii="Times New Roman" w:cs="Times New Roman" w:eastAsia="Times New Roman" w:hAnsi="Times New Roman"/>
          <w:sz w:val="18"/>
          <w:szCs w:val="18"/>
          <w:color w:val="auto"/>
        </w:rPr>
        <w:t>24-week treatment period followed by an open label extension. Sixteen of the 80 subjects have completed the 24-week treatment period and rolled over to the open label extension portion of the trial.</w:t>
      </w:r>
    </w:p>
    <w:p>
      <w:pPr>
        <w:spacing w:after="0" w:line="181" w:lineRule="exact"/>
        <w:rPr>
          <w:sz w:val="20"/>
          <w:szCs w:val="20"/>
          <w:color w:val="auto"/>
        </w:rPr>
      </w:pPr>
    </w:p>
    <w:p>
      <w:pPr>
        <w:ind w:left="300" w:right="60"/>
        <w:spacing w:after="0" w:line="254" w:lineRule="auto"/>
        <w:rPr>
          <w:sz w:val="20"/>
          <w:szCs w:val="20"/>
          <w:color w:val="auto"/>
        </w:rPr>
      </w:pPr>
      <w:r>
        <w:rPr>
          <w:rFonts w:ascii="Times New Roman" w:cs="Times New Roman" w:eastAsia="Times New Roman" w:hAnsi="Times New Roman"/>
          <w:sz w:val="18"/>
          <w:szCs w:val="18"/>
          <w:color w:val="auto"/>
        </w:rPr>
        <w:t>As a result of the COVID-19 pandemic, we have extended the ReDUX4 treatment period from 24 to 48 weeks through a protocol amendment to ensure the safety of the subjects and to allow for the opportunity for a biopsy at week 16 as originally intended or at week 36. Approximately 68 subjects who did not complete the original 24-week treatment period remain active in the randomized portion of the trial. The extension from 24 to 48 weeks also allows for a longer assessment in a placebo-controlled design of the skeletal muscle MRI secondary endpoint and the various exploratory clinical endpoints, such as reachable workspace, optimized time up and go test for FSHD, muscle function measures and patient reported outcomes. We expect to present full data from the trial in the second quarter of 2021. We believe that the amendment to the trial protocol provides flexibility to address the challenges presented by the COVID-19 pandemic and supports collection of efficacy and safety data to support continued discussions with regulatory agencies regarding potential registration strategies.</w:t>
      </w:r>
    </w:p>
    <w:p>
      <w:pPr>
        <w:spacing w:after="0" w:line="192" w:lineRule="exact"/>
        <w:rPr>
          <w:sz w:val="20"/>
          <w:szCs w:val="20"/>
          <w:color w:val="auto"/>
        </w:rPr>
      </w:pPr>
    </w:p>
    <w:p>
      <w:pPr>
        <w:ind w:left="300" w:right="20"/>
        <w:spacing w:after="0" w:line="261" w:lineRule="auto"/>
        <w:rPr>
          <w:sz w:val="20"/>
          <w:szCs w:val="20"/>
          <w:color w:val="auto"/>
        </w:rPr>
      </w:pPr>
      <w:r>
        <w:rPr>
          <w:rFonts w:ascii="Times New Roman" w:cs="Times New Roman" w:eastAsia="Times New Roman" w:hAnsi="Times New Roman"/>
          <w:sz w:val="18"/>
          <w:szCs w:val="18"/>
          <w:color w:val="auto"/>
        </w:rPr>
        <w:t>In August 2020, we announced results from a pre-specified interim analysis of the primary endpoint of the ReDUX4 trial, which is the reduction from baseline of DUX4-driven gene expression in affected skeletal muscle after subjects have been treated with losmapimod or placebo. Secondary and exploratory endpoints were not assessed as part of this analysis. Results from the interim analysis in the first 29 randomized subjects indicate that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0940"/>
          </w:cols>
          <w:pgMar w:left="320" w:top="455" w:right="6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10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8970" cy="59105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60"/>
        <w:spacing w:after="0" w:line="261" w:lineRule="auto"/>
        <w:rPr>
          <w:sz w:val="20"/>
          <w:szCs w:val="20"/>
          <w:color w:val="auto"/>
        </w:rPr>
      </w:pPr>
      <w:r>
        <w:rPr>
          <w:rFonts w:ascii="Times New Roman" w:cs="Times New Roman" w:eastAsia="Times New Roman" w:hAnsi="Times New Roman"/>
          <w:sz w:val="18"/>
          <w:szCs w:val="18"/>
          <w:color w:val="auto"/>
        </w:rPr>
        <w:t>DUX4-driven gene expression did not show a separation from placebo at 16 weeks. However, in a pre-specified sensitivity analysis, those with the highest pre-treatment DUX4-driven gene expression in their muscle biopsy sample showed a large reduction in DUX4-driven gene expression following treatment with losmapimod compared to placebo. The highest expressing muscle biopsies represent the top quartile of biopsies assessed based on baseline DUX4-driven gene expression.</w:t>
      </w:r>
    </w:p>
    <w:p>
      <w:pPr>
        <w:spacing w:after="0" w:line="180" w:lineRule="exact"/>
        <w:rPr>
          <w:sz w:val="20"/>
          <w:szCs w:val="20"/>
          <w:color w:val="auto"/>
        </w:rPr>
      </w:pPr>
    </w:p>
    <w:p>
      <w:pPr>
        <w:ind w:left="300"/>
        <w:spacing w:after="0" w:line="254" w:lineRule="auto"/>
        <w:rPr>
          <w:sz w:val="20"/>
          <w:szCs w:val="20"/>
          <w:color w:val="auto"/>
        </w:rPr>
      </w:pPr>
      <w:r>
        <w:rPr>
          <w:rFonts w:ascii="Times New Roman" w:cs="Times New Roman" w:eastAsia="Times New Roman" w:hAnsi="Times New Roman"/>
          <w:sz w:val="18"/>
          <w:szCs w:val="18"/>
          <w:color w:val="auto"/>
        </w:rPr>
        <w:t>The interim results included an analysis of the first 29 subjects who completed their 16-week biopsy out of the 80 subjects enrolled. Pharmacokinetics, demographics and the primary endpoint were assessed. The interim analysis was not powered for statistical significance and did not include individual patient level data. Subjects were randomized to receive an oral dose of losmapimod 15mg (n=15) or placebo (n=14) twice per day. While results showed a significant reduction in DUX4-driven gene expression in the muscle biopsies of subjects whose baseline biopsy showed the highest levels of DUX4 gene expression (38-fold decrease with losmapimod, n=3, and 5.4 fold-decrease with placebo, n=5), the population level data analysis of the reduction in DUX4-driven gene expression from all 29 subjects did not show a separation of losmapimod from placebo (3.7 fold increase with losmapimod, n=15, and 2.8 fold increase with placebo, n=14). Results indicated that muscle biopsies within the higher range of DUX4-driven gene expression at baseline may be needed to observe a reduction.</w:t>
      </w:r>
    </w:p>
    <w:p>
      <w:pPr>
        <w:spacing w:after="0" w:line="192" w:lineRule="exact"/>
        <w:rPr>
          <w:sz w:val="20"/>
          <w:szCs w:val="20"/>
          <w:color w:val="auto"/>
        </w:rPr>
      </w:pPr>
    </w:p>
    <w:p>
      <w:pPr>
        <w:ind w:left="300" w:right="60"/>
        <w:spacing w:after="0" w:line="253" w:lineRule="auto"/>
        <w:rPr>
          <w:sz w:val="20"/>
          <w:szCs w:val="20"/>
          <w:color w:val="auto"/>
        </w:rPr>
      </w:pPr>
      <w:r>
        <w:rPr>
          <w:rFonts w:ascii="Times New Roman" w:cs="Times New Roman" w:eastAsia="Times New Roman" w:hAnsi="Times New Roman"/>
          <w:sz w:val="18"/>
          <w:szCs w:val="18"/>
          <w:color w:val="auto"/>
        </w:rPr>
        <w:t>In June 2020, we announced plans to evaluate losmapimod as a potential treatment for patients with COVID-19. On June 24, 2020, we announced that we received notification from the U.S. Food and Drug Administration, or FDA, that we may proceed with initiating a Phase 3, randomized, double-blind, placebo-controlled trial of losmapimod in higher risk hospitalized adults with COVID-19, or the LOSVID trial. The LOSVID trial is a Phase 3, international, multicenter trial designed to assess the safety and efficacy of a 15 mg twice per day oral dose of losmapimod compared to placebo for 14 days on top of standard of care in approximately 400 patients hospitalized with COVID-19 and at risk of progression to critical illness based on older age and elevated systemic inflammation. We began enrolling patients in the fourth quarter of 2020. The primary endpoint of the trial is the proportion of patients who progress to death or respiratory failure by day 28. The trial’s secondary endpoints include clinical status on days seven and 14 as measured on the nine point World Health Organization ordinal scale of COVID-19 severity, total number of study days free of oxygen supplementation, all-cause mortality, length of hospitalization and intensive care unit stay, adverse events and viral clearance. We intend to conduct an interim analysis for futility and sample size re-estimation using an independent data monitoring committee when approximately 50 percent of subjects complete the 28-day visit. We expect to provide an update regarding the timing of the LOSVID trial by the end of the first quarter of 2021.</w:t>
      </w:r>
    </w:p>
    <w:p>
      <w:pPr>
        <w:spacing w:after="0" w:line="190" w:lineRule="exact"/>
        <w:rPr>
          <w:sz w:val="20"/>
          <w:szCs w:val="20"/>
          <w:color w:val="auto"/>
        </w:rPr>
      </w:pPr>
    </w:p>
    <w:p>
      <w:pPr>
        <w:ind w:left="300" w:right="240"/>
        <w:spacing w:after="0" w:line="256" w:lineRule="auto"/>
        <w:rPr>
          <w:sz w:val="20"/>
          <w:szCs w:val="20"/>
          <w:color w:val="auto"/>
        </w:rPr>
      </w:pPr>
      <w:r>
        <w:rPr>
          <w:rFonts w:ascii="Times New Roman" w:cs="Times New Roman" w:eastAsia="Times New Roman" w:hAnsi="Times New Roman"/>
          <w:sz w:val="18"/>
          <w:szCs w:val="18"/>
          <w:color w:val="auto"/>
        </w:rPr>
        <w:t>In the fourth quarter of 2020, we initiated our Phase 1 clinical trial of FTX-6058 in healthy adult volunteers. In this trial, we are evaluating the safety, tolerability and pharmacokinetics of FTX-6058. The trial is comprised of four parts. Part A will be a randomized, double-blind, placebo-controlled, single ascending dose (SAD) study in up to six cohorts. Part B will be a randomized, double-blind, placebo-controlled, multiple ascending dose (MAD) study in up to four cohorts dosed once daily for 14 days. Part C will be an open label pilot food effect study in subjects randomized to take FTX-6058 with and without a high-fat meal, and Part D will be an open label study to evaluate the potential of FTX-6058 to induce a liver enzyme known as CYP3A, which is involved in drug metabolism.</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21" w:lineRule="exact"/>
        <w:rPr>
          <w:sz w:val="20"/>
          <w:szCs w:val="20"/>
          <w:color w:val="auto"/>
        </w:rPr>
      </w:pPr>
    </w:p>
    <w:p>
      <w:pPr>
        <w:ind w:left="300" w:right="200"/>
        <w:spacing w:after="0" w:line="282" w:lineRule="auto"/>
        <w:rPr>
          <w:sz w:val="20"/>
          <w:szCs w:val="20"/>
          <w:color w:val="auto"/>
        </w:rPr>
      </w:pPr>
      <w:r>
        <w:rPr>
          <w:rFonts w:ascii="Times New Roman" w:cs="Times New Roman" w:eastAsia="Times New Roman" w:hAnsi="Times New Roman"/>
          <w:sz w:val="18"/>
          <w:szCs w:val="18"/>
          <w:color w:val="auto"/>
        </w:rPr>
        <w:t>Although we have not finalized our full financial results for the fourth quarter and fiscal year ended December 31, 2020, we expect to report that we had cash, cash equivalents and marketable securities of approximately $112.9 million as of December 31, 2020.</w:t>
      </w:r>
    </w:p>
    <w:p>
      <w:pPr>
        <w:spacing w:after="0" w:line="162" w:lineRule="exact"/>
        <w:rPr>
          <w:sz w:val="20"/>
          <w:szCs w:val="20"/>
          <w:color w:val="auto"/>
        </w:rPr>
      </w:pPr>
    </w:p>
    <w:p>
      <w:pPr>
        <w:ind w:left="300" w:right="440"/>
        <w:spacing w:after="0" w:line="282" w:lineRule="auto"/>
        <w:rPr>
          <w:sz w:val="20"/>
          <w:szCs w:val="20"/>
          <w:color w:val="auto"/>
        </w:rPr>
      </w:pPr>
      <w:r>
        <w:rPr>
          <w:rFonts w:ascii="Times New Roman" w:cs="Times New Roman" w:eastAsia="Times New Roman" w:hAnsi="Times New Roman"/>
          <w:sz w:val="18"/>
          <w:szCs w:val="18"/>
          <w:color w:val="auto"/>
        </w:rPr>
        <w:t>The estimated cash figure is preliminary and unaudited, represents a management estimate as of the date of this prospectus supplement and is subject to completion of our financial closing procedures. Our independent</w:t>
      </w:r>
    </w:p>
    <w:p>
      <w:pPr>
        <w:spacing w:after="0" w:line="200" w:lineRule="exact"/>
        <w:rPr>
          <w:sz w:val="20"/>
          <w:szCs w:val="20"/>
          <w:color w:val="auto"/>
        </w:rPr>
      </w:pPr>
    </w:p>
    <w:p>
      <w:pPr>
        <w:spacing w:after="0" w:line="39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0920"/>
          </w:cols>
          <w:pgMar w:left="320" w:top="455" w:right="65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931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61931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360"/>
        <w:spacing w:after="0" w:line="282" w:lineRule="auto"/>
        <w:rPr>
          <w:sz w:val="20"/>
          <w:szCs w:val="20"/>
          <w:color w:val="auto"/>
        </w:rPr>
      </w:pPr>
      <w:r>
        <w:rPr>
          <w:rFonts w:ascii="Times New Roman" w:cs="Times New Roman" w:eastAsia="Times New Roman" w:hAnsi="Times New Roman"/>
          <w:sz w:val="18"/>
          <w:szCs w:val="18"/>
          <w:color w:val="auto"/>
        </w:rPr>
        <w:t>registered public accounting firm has not conducted an audit or review of, and does not express an opinion or any other form of assurance with respect to, the estimated cash figure.</w:t>
      </w:r>
    </w:p>
    <w:p>
      <w:pPr>
        <w:spacing w:after="0" w:line="162" w:lineRule="exact"/>
        <w:rPr>
          <w:sz w:val="20"/>
          <w:szCs w:val="20"/>
          <w:color w:val="auto"/>
        </w:rPr>
      </w:pPr>
    </w:p>
    <w:p>
      <w:pPr>
        <w:ind w:left="300" w:right="340"/>
        <w:spacing w:after="0" w:line="282" w:lineRule="auto"/>
        <w:rPr>
          <w:sz w:val="20"/>
          <w:szCs w:val="20"/>
          <w:color w:val="auto"/>
        </w:rPr>
      </w:pPr>
      <w:r>
        <w:rPr>
          <w:rFonts w:ascii="Times New Roman" w:cs="Times New Roman" w:eastAsia="Times New Roman" w:hAnsi="Times New Roman"/>
          <w:sz w:val="18"/>
          <w:szCs w:val="18"/>
          <w:color w:val="auto"/>
        </w:rPr>
        <w:t>From October 1, 2020 through December 31, 2020, we sold 550,000 shares of our common stock in an at-the-market offering for aggregate net proceeds of $5.7 million.</w:t>
      </w:r>
    </w:p>
    <w:p>
      <w:pPr>
        <w:spacing w:after="0" w:line="162" w:lineRule="exact"/>
        <w:rPr>
          <w:sz w:val="20"/>
          <w:szCs w:val="20"/>
          <w:color w:val="auto"/>
        </w:rPr>
      </w:pPr>
    </w:p>
    <w:p>
      <w:pPr>
        <w:ind w:left="300" w:right="80"/>
        <w:spacing w:after="0" w:line="261" w:lineRule="auto"/>
        <w:rPr>
          <w:sz w:val="20"/>
          <w:szCs w:val="20"/>
          <w:color w:val="auto"/>
        </w:rPr>
      </w:pPr>
      <w:r>
        <w:rPr>
          <w:rFonts w:ascii="Times New Roman" w:cs="Times New Roman" w:eastAsia="Times New Roman" w:hAnsi="Times New Roman"/>
          <w:sz w:val="18"/>
          <w:szCs w:val="18"/>
          <w:color w:val="auto"/>
        </w:rPr>
        <w:t>On January 15, 2021, Owen Wallace, our chief scientific officer, notified us of his intent to resign to pursue a new career opportunity. Dr. Wallace is expected to continue in his current role until February 5, 2021. Following his resignation, Dr. Wallace will join our scientific advisory board. We expect Christopher Moxham to serve as chief scientific officer following the effective date of Dr. Wallace’s resignation. Dr. Moxham currently serves as our senior vice president of discovery.</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Associated with Our Business</w:t>
      </w:r>
    </w:p>
    <w:p>
      <w:pPr>
        <w:spacing w:after="0" w:line="121" w:lineRule="exact"/>
        <w:rPr>
          <w:sz w:val="20"/>
          <w:szCs w:val="20"/>
          <w:color w:val="auto"/>
        </w:rPr>
      </w:pPr>
    </w:p>
    <w:p>
      <w:pPr>
        <w:ind w:left="300" w:right="120"/>
        <w:spacing w:after="0" w:line="261" w:lineRule="auto"/>
        <w:rPr>
          <w:sz w:val="20"/>
          <w:szCs w:val="20"/>
          <w:color w:val="auto"/>
        </w:rPr>
      </w:pPr>
      <w:r>
        <w:rPr>
          <w:rFonts w:ascii="Times New Roman" w:cs="Times New Roman" w:eastAsia="Times New Roman" w:hAnsi="Times New Roman"/>
          <w:sz w:val="18"/>
          <w:szCs w:val="18"/>
          <w:color w:val="auto"/>
        </w:rPr>
        <w:t>Our business is subject to a number of risks of which you should be aware before making an investment decision. These risks are discussed more fully in the “Risk Factors” section of this prospectus supplement immediately following this prospectus supplement summary, in our Annual Report on Form 10-K for the year ended December 31, 2019 and in our Quarterly Report on Form 10-Q for the period ended September 30, 2020, which are incorporated by reference herein. These risks include, but are not limited to, the following:</w:t>
      </w:r>
    </w:p>
    <w:p>
      <w:pPr>
        <w:spacing w:after="0" w:line="85" w:lineRule="exact"/>
        <w:rPr>
          <w:sz w:val="20"/>
          <w:szCs w:val="20"/>
          <w:color w:val="auto"/>
        </w:rPr>
      </w:pPr>
    </w:p>
    <w:p>
      <w:pPr>
        <w:ind w:left="1240" w:right="180" w:hanging="415"/>
        <w:spacing w:after="0" w:line="282"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our inception. We expect to incur losses over the next several years and may never achieve or maintain profitability. As of September 30, 2020, we had an accumulated deficit of $203.9 million.</w:t>
      </w:r>
    </w:p>
    <w:p>
      <w:pPr>
        <w:spacing w:after="0" w:line="67" w:lineRule="exact"/>
        <w:rPr>
          <w:rFonts w:ascii="Times New Roman" w:cs="Times New Roman" w:eastAsia="Times New Roman" w:hAnsi="Times New Roman"/>
          <w:sz w:val="18"/>
          <w:szCs w:val="18"/>
          <w:color w:val="auto"/>
        </w:rPr>
      </w:pPr>
    </w:p>
    <w:p>
      <w:pPr>
        <w:ind w:left="1240" w:right="400" w:hanging="415"/>
        <w:spacing w:after="0" w:line="282"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substantial additional funding. If we are unable to raise capital when needed, we could be forced to delay, reduce or eliminate our product development programs or commercialization efforts.</w:t>
      </w:r>
    </w:p>
    <w:p>
      <w:pPr>
        <w:spacing w:after="0" w:line="67" w:lineRule="exact"/>
        <w:rPr>
          <w:rFonts w:ascii="Times New Roman" w:cs="Times New Roman" w:eastAsia="Times New Roman" w:hAnsi="Times New Roman"/>
          <w:sz w:val="18"/>
          <w:szCs w:val="18"/>
          <w:color w:val="auto"/>
        </w:rPr>
      </w:pPr>
    </w:p>
    <w:p>
      <w:pPr>
        <w:ind w:left="1240" w:right="360" w:hanging="415"/>
        <w:spacing w:after="0" w:line="261"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COVID-19 pandemic has and may continue to affect our ability to initiate and complete current or future preclinical studies or clinical trials, disrupt regulatory activities or have other adverse effects on our business and operations. In addition, this pandemic may continue to adversely impact economies worldwide, which could result in adverse effects on our business and operations.</w:t>
      </w:r>
    </w:p>
    <w:p>
      <w:pPr>
        <w:spacing w:after="0" w:line="85" w:lineRule="exact"/>
        <w:rPr>
          <w:rFonts w:ascii="Times New Roman" w:cs="Times New Roman" w:eastAsia="Times New Roman" w:hAnsi="Times New Roman"/>
          <w:sz w:val="18"/>
          <w:szCs w:val="18"/>
          <w:color w:val="auto"/>
        </w:rPr>
      </w:pPr>
    </w:p>
    <w:p>
      <w:pPr>
        <w:ind w:left="1240" w:right="80" w:hanging="415"/>
        <w:spacing w:after="0" w:line="282"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early in our development efforts, and we only have two product candidates in clinical trials. If we are unable to commercialize our product candidates or experience significant delays in doing so, our business will be materially harmed.</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our efforts to develop losmapimod for the treatment of patients with COVID-19.</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our efforts to use our product engine to build a pipeline of product candidates.</w:t>
      </w:r>
    </w:p>
    <w:p>
      <w:pPr>
        <w:spacing w:after="0" w:line="130" w:lineRule="exact"/>
        <w:rPr>
          <w:rFonts w:ascii="Times New Roman" w:cs="Times New Roman" w:eastAsia="Times New Roman" w:hAnsi="Times New Roman"/>
          <w:sz w:val="18"/>
          <w:szCs w:val="18"/>
          <w:color w:val="auto"/>
        </w:rPr>
      </w:pPr>
    </w:p>
    <w:p>
      <w:pPr>
        <w:ind w:left="1240" w:right="40" w:hanging="415"/>
        <w:spacing w:after="0" w:line="266"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drug development involves a lengthy and expensive process, with an uncertain outcome.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spacing w:after="0" w:line="81" w:lineRule="exact"/>
        <w:rPr>
          <w:rFonts w:ascii="Times New Roman" w:cs="Times New Roman" w:eastAsia="Times New Roman" w:hAnsi="Times New Roman"/>
          <w:sz w:val="18"/>
          <w:szCs w:val="18"/>
          <w:color w:val="auto"/>
        </w:rPr>
      </w:pPr>
    </w:p>
    <w:p>
      <w:pPr>
        <w:ind w:left="1240" w:hanging="415"/>
        <w:spacing w:after="0" w:line="261"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are developing some of our product candidates for the treatment of diseases in which there is little clinical experience and, in some cases, using new endpoints or methodologies, such as the measurement of DUX4-driven gene expression in muscle biopsies in our Phase 2b clinical trial of losmapimod for the treatment of FSHD, the FDA or other regulatory authorities may not consider the endpoints of our clinical trials to predict or provide clinically meaningful results.</w:t>
      </w:r>
    </w:p>
    <w:p>
      <w:pPr>
        <w:spacing w:after="0" w:line="85" w:lineRule="exact"/>
        <w:rPr>
          <w:rFonts w:ascii="Times New Roman" w:cs="Times New Roman" w:eastAsia="Times New Roman" w:hAnsi="Times New Roman"/>
          <w:sz w:val="18"/>
          <w:szCs w:val="18"/>
          <w:color w:val="auto"/>
        </w:rPr>
      </w:pPr>
    </w:p>
    <w:p>
      <w:pPr>
        <w:ind w:left="1240" w:right="40" w:hanging="415"/>
        <w:spacing w:after="0" w:line="282"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serious adverse events or unacceptable side effects are identified during the development of our product candidates, we may need to abandon or limit our development of some of our product candidates.</w:t>
      </w:r>
    </w:p>
    <w:p>
      <w:pPr>
        <w:spacing w:after="0" w:line="200" w:lineRule="exact"/>
        <w:rPr>
          <w:sz w:val="20"/>
          <w:szCs w:val="20"/>
          <w:color w:val="auto"/>
        </w:rPr>
      </w:pPr>
    </w:p>
    <w:p>
      <w:pPr>
        <w:spacing w:after="0" w:line="39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0940"/>
          </w:cols>
          <w:pgMar w:left="320" w:top="455" w:right="6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2191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8970" cy="62191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400" w:hanging="415"/>
        <w:spacing w:after="0" w:line="282"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which may result in others discovering, developing or commercializing products before or more successfully than we do.</w:t>
      </w:r>
    </w:p>
    <w:p>
      <w:pPr>
        <w:spacing w:after="0" w:line="67" w:lineRule="exact"/>
        <w:rPr>
          <w:rFonts w:ascii="Times New Roman" w:cs="Times New Roman" w:eastAsia="Times New Roman" w:hAnsi="Times New Roman"/>
          <w:sz w:val="18"/>
          <w:szCs w:val="18"/>
          <w:color w:val="auto"/>
        </w:rPr>
      </w:pPr>
    </w:p>
    <w:p>
      <w:pPr>
        <w:ind w:left="1240" w:right="80" w:hanging="415"/>
        <w:spacing w:after="0" w:line="266"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and expect to continue to rely, on contract manufacturing organizations to manufacture our product candidates. If we are unable to enter into such arrangements as expected or if such organizations do not meet our supply requirements, development and/or commercialization of our product candidates may be delayed.</w:t>
      </w:r>
    </w:p>
    <w:p>
      <w:pPr>
        <w:spacing w:after="0" w:line="81" w:lineRule="exact"/>
        <w:rPr>
          <w:rFonts w:ascii="Times New Roman" w:cs="Times New Roman" w:eastAsia="Times New Roman" w:hAnsi="Times New Roman"/>
          <w:sz w:val="18"/>
          <w:szCs w:val="18"/>
          <w:color w:val="auto"/>
        </w:rPr>
      </w:pPr>
    </w:p>
    <w:p>
      <w:pPr>
        <w:ind w:left="1240" w:right="740" w:hanging="415"/>
        <w:spacing w:after="0" w:line="282"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and expect to continue to rely, on third parties to conduct our clinical trials, and those third parties may not perform satisfactorily, including failing to meet deadlines for the completion of such trials, which may harm our business.</w:t>
      </w:r>
    </w:p>
    <w:p>
      <w:pPr>
        <w:spacing w:after="0" w:line="67" w:lineRule="exact"/>
        <w:rPr>
          <w:rFonts w:ascii="Times New Roman" w:cs="Times New Roman" w:eastAsia="Times New Roman" w:hAnsi="Times New Roman"/>
          <w:sz w:val="18"/>
          <w:szCs w:val="18"/>
          <w:color w:val="auto"/>
        </w:rPr>
      </w:pPr>
    </w:p>
    <w:p>
      <w:pPr>
        <w:ind w:left="1240" w:right="40" w:hanging="415"/>
        <w:spacing w:after="0" w:line="261"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maintain, enforce and protect patent protection for our technology and product candidates or if the scope of the patent protection obtained is not sufficiently broad, our competitors could develop and commercialize technology and products similar or identical to ours, and our ability to successfully develop and commercialize our technology and product candidates may be adversely affected.</w:t>
      </w:r>
    </w:p>
    <w:p>
      <w:pPr>
        <w:spacing w:after="0" w:line="85" w:lineRule="exact"/>
        <w:rPr>
          <w:rFonts w:ascii="Times New Roman" w:cs="Times New Roman" w:eastAsia="Times New Roman" w:hAnsi="Times New Roman"/>
          <w:sz w:val="18"/>
          <w:szCs w:val="18"/>
          <w:color w:val="auto"/>
        </w:rPr>
      </w:pPr>
    </w:p>
    <w:p>
      <w:pPr>
        <w:ind w:left="1240" w:hanging="415"/>
        <w:spacing w:after="0" w:line="266"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our obligations in our intellectual property licenses and funding arrangements with third parties, or otherwise experience disruptions to our business relationships with our licensors, we could lose intellectual property rights that are important to our business.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Corporate Information</w:t>
      </w:r>
    </w:p>
    <w:p>
      <w:pPr>
        <w:spacing w:after="0" w:line="121" w:lineRule="exact"/>
        <w:rPr>
          <w:sz w:val="20"/>
          <w:szCs w:val="20"/>
          <w:color w:val="auto"/>
        </w:rPr>
      </w:pPr>
    </w:p>
    <w:p>
      <w:pPr>
        <w:jc w:val="both"/>
        <w:ind w:left="300" w:right="460"/>
        <w:spacing w:after="0" w:line="261" w:lineRule="auto"/>
        <w:rPr>
          <w:sz w:val="20"/>
          <w:szCs w:val="20"/>
          <w:color w:val="auto"/>
        </w:rPr>
      </w:pPr>
      <w:r>
        <w:rPr>
          <w:rFonts w:ascii="Times New Roman" w:cs="Times New Roman" w:eastAsia="Times New Roman" w:hAnsi="Times New Roman"/>
          <w:sz w:val="18"/>
          <w:szCs w:val="18"/>
          <w:color w:val="auto"/>
        </w:rPr>
        <w:t>We were incorporated under the laws of the State of Delaware on August 18, 2015 under the name Fulcrum Therapeutics, Inc. Our principal executive offices are located at 26 Landsdowne Street, Cambridge, Massachusetts 02139, and our telephone number is (617) 651-8851. Our website address is http://www.fulcrumtx.com. The information contained on, or that can be accessed through, our website is not a part of this prospectus. We have included our website address in this prospectus solely as an inactive textual reference.</w:t>
      </w:r>
    </w:p>
    <w:p>
      <w:pPr>
        <w:spacing w:after="0" w:line="180" w:lineRule="exact"/>
        <w:rPr>
          <w:sz w:val="20"/>
          <w:szCs w:val="20"/>
          <w:color w:val="auto"/>
        </w:rPr>
      </w:pPr>
    </w:p>
    <w:p>
      <w:pPr>
        <w:ind w:left="300" w:right="220"/>
        <w:spacing w:after="0" w:line="258" w:lineRule="auto"/>
        <w:rPr>
          <w:sz w:val="20"/>
          <w:szCs w:val="20"/>
          <w:color w:val="auto"/>
        </w:rPr>
      </w:pPr>
      <w:r>
        <w:rPr>
          <w:rFonts w:ascii="Times New Roman" w:cs="Times New Roman" w:eastAsia="Times New Roman" w:hAnsi="Times New Roman"/>
          <w:sz w:val="18"/>
          <w:szCs w:val="18"/>
          <w:color w:val="auto"/>
        </w:rPr>
        <w:t xml:space="preserve">We own or have rights, or have applied for, to trademarks, service marks and trade names that we use in connection with the operation of our business, including our corporate name, logos and website names. Other trademarks, service marks and trade names appearing in this prospectus are the property of their respective owners. Solely for convenience, some of the trademarks, service marks and trade names referred to in this prospectus are listed without the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symbols, but we will assert, to the fullest extent under applicable law, our rights to our trademarks, service marks and trade names.</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a Smaller Reporting Company</w:t>
      </w:r>
    </w:p>
    <w:p>
      <w:pPr>
        <w:spacing w:after="0" w:line="121" w:lineRule="exact"/>
        <w:rPr>
          <w:sz w:val="20"/>
          <w:szCs w:val="20"/>
          <w:color w:val="auto"/>
        </w:rPr>
      </w:pPr>
    </w:p>
    <w:p>
      <w:pPr>
        <w:ind w:left="300"/>
        <w:spacing w:after="0" w:line="257" w:lineRule="auto"/>
        <w:rPr>
          <w:sz w:val="20"/>
          <w:szCs w:val="20"/>
          <w:color w:val="auto"/>
        </w:rPr>
      </w:pPr>
      <w:r>
        <w:rPr>
          <w:rFonts w:ascii="Times New Roman" w:cs="Times New Roman" w:eastAsia="Times New Roman" w:hAnsi="Times New Roman"/>
          <w:sz w:val="18"/>
          <w:szCs w:val="18"/>
          <w:color w:val="auto"/>
        </w:rPr>
        <w:t>As a company with less than $1.07 billion in revenue during our last fiscal year, we qualify as an “emerging growth company” as defined in the Jumpstart Our Business Startups Act of 2012, or the JOBS Act, and we may remain an emerging growth company until December 31, 2024 or until such earlier time as we have more than $1.07 billion in annual revenue, the market value of our stock held by non-affiliates is more than</w:t>
      </w:r>
    </w:p>
    <w:p>
      <w:pPr>
        <w:spacing w:after="0" w:line="1" w:lineRule="exact"/>
        <w:rPr>
          <w:sz w:val="20"/>
          <w:szCs w:val="20"/>
          <w:color w:val="auto"/>
        </w:rPr>
      </w:pPr>
    </w:p>
    <w:p>
      <w:pPr>
        <w:jc w:val="both"/>
        <w:ind w:left="300" w:right="320"/>
        <w:spacing w:after="0" w:line="255" w:lineRule="auto"/>
        <w:rPr>
          <w:sz w:val="20"/>
          <w:szCs w:val="20"/>
          <w:color w:val="auto"/>
        </w:rPr>
      </w:pPr>
      <w:r>
        <w:rPr>
          <w:rFonts w:ascii="Times New Roman" w:cs="Times New Roman" w:eastAsia="Times New Roman" w:hAnsi="Times New Roman"/>
          <w:sz w:val="18"/>
          <w:szCs w:val="18"/>
          <w:color w:val="auto"/>
        </w:rPr>
        <w:t>$700 million as of our most recently completed second fiscal quarter or we issue more than $1 billion of non-convertible debt over a three-year period. For so long as we remain an emerging growth company, we are permitted and intend to rely on exemptions from certain disclosure and other requirements that are applicable to public companies that are not emerging growth companies.</w:t>
      </w:r>
    </w:p>
    <w:p>
      <w:pPr>
        <w:spacing w:after="0" w:line="186" w:lineRule="exact"/>
        <w:rPr>
          <w:sz w:val="20"/>
          <w:szCs w:val="20"/>
          <w:color w:val="auto"/>
        </w:rPr>
      </w:pPr>
    </w:p>
    <w:p>
      <w:pPr>
        <w:ind w:left="300" w:right="180"/>
        <w:spacing w:after="0" w:line="261" w:lineRule="auto"/>
        <w:rPr>
          <w:sz w:val="20"/>
          <w:szCs w:val="20"/>
          <w:color w:val="auto"/>
        </w:rPr>
      </w:pPr>
      <w:r>
        <w:rPr>
          <w:rFonts w:ascii="Times New Roman" w:cs="Times New Roman" w:eastAsia="Times New Roman" w:hAnsi="Times New Roman"/>
          <w:sz w:val="18"/>
          <w:szCs w:val="18"/>
          <w:color w:val="auto"/>
        </w:rPr>
        <w:t>We are also a “smaller reporting company,” meaning that the market value of our stock held by non-affiliates is less than $700 million as of our most recently completed second fiscal quarter and our annual revenue was less than $100 million during our most recently completed fiscal year. We may continue to be a smaller reporting company if either (i) the market value of our stock held by non-affiliates is less than $250 million or (ii) our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0920"/>
          </w:cols>
          <w:pgMar w:left="320" w:top="455" w:right="65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8356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8970" cy="8356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61" w:lineRule="auto"/>
        <w:rPr>
          <w:sz w:val="20"/>
          <w:szCs w:val="20"/>
          <w:color w:val="auto"/>
        </w:rPr>
      </w:pPr>
      <w:r>
        <w:rPr>
          <w:rFonts w:ascii="Times New Roman" w:cs="Times New Roman" w:eastAsia="Times New Roman" w:hAnsi="Times New Roman"/>
          <w:sz w:val="18"/>
          <w:szCs w:val="18"/>
          <w:color w:val="auto"/>
        </w:rPr>
        <w:t>annual revenue was less than $100 million during the most recently completed fiscal year and the market value of our stock held by non-affiliates is less than $700 million as of our most recently completed second fiscal quarter. If we are a smaller reporting company at the time we cease to be an emerging growth company, we may continue to rely on exemptions from certain disclosure requirements that are available to smaller reporting companies.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0940"/>
          </w:cols>
          <w:pgMar w:left="320" w:top="455" w:right="6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7163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8970" cy="671639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38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THE OFFERING</w:t>
            </w:r>
          </w:p>
        </w:tc>
        <w:tc>
          <w:tcPr>
            <w:tcW w:w="3380" w:type="dxa"/>
            <w:vAlign w:val="bottom"/>
          </w:tcPr>
          <w:p>
            <w:pPr>
              <w:spacing w:after="0"/>
              <w:rPr>
                <w:sz w:val="20"/>
                <w:szCs w:val="20"/>
                <w:color w:val="auto"/>
              </w:rPr>
            </w:pPr>
          </w:p>
        </w:tc>
      </w:tr>
      <w:tr>
        <w:trPr>
          <w:trHeight w:val="459"/>
        </w:trPr>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Common Stock Offered</w:t>
            </w:r>
          </w:p>
        </w:tc>
        <w:tc>
          <w:tcPr>
            <w:tcW w:w="560" w:type="dxa"/>
            <w:vAlign w:val="bottom"/>
          </w:tcPr>
          <w:p>
            <w:pPr>
              <w:spacing w:after="0"/>
              <w:rPr>
                <w:sz w:val="24"/>
                <w:szCs w:val="24"/>
                <w:color w:val="auto"/>
              </w:rPr>
            </w:pPr>
          </w:p>
        </w:tc>
        <w:tc>
          <w:tcPr>
            <w:tcW w:w="1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shares.</w:t>
            </w:r>
          </w:p>
        </w:tc>
        <w:tc>
          <w:tcPr>
            <w:tcW w:w="154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450"/>
        </w:trPr>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Common Stock to be Outstanding Immediately</w:t>
            </w:r>
          </w:p>
        </w:tc>
        <w:tc>
          <w:tcPr>
            <w:tcW w:w="560" w:type="dxa"/>
            <w:vAlign w:val="bottom"/>
          </w:tcPr>
          <w:p>
            <w:pPr>
              <w:spacing w:after="0"/>
              <w:rPr>
                <w:sz w:val="24"/>
                <w:szCs w:val="24"/>
                <w:color w:val="auto"/>
              </w:rPr>
            </w:pPr>
          </w:p>
        </w:tc>
        <w:tc>
          <w:tcPr>
            <w:tcW w:w="1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shares.</w:t>
            </w:r>
          </w:p>
        </w:tc>
        <w:tc>
          <w:tcPr>
            <w:tcW w:w="154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38"/>
        </w:trPr>
        <w:tc>
          <w:tcPr>
            <w:tcW w:w="38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Following this Offering</w:t>
            </w:r>
          </w:p>
        </w:tc>
        <w:tc>
          <w:tcPr>
            <w:tcW w:w="5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380" w:type="dxa"/>
            <w:vAlign w:val="bottom"/>
          </w:tcPr>
          <w:p>
            <w:pPr>
              <w:spacing w:after="0"/>
              <w:rPr>
                <w:sz w:val="20"/>
                <w:szCs w:val="20"/>
                <w:color w:val="auto"/>
              </w:rPr>
            </w:pPr>
          </w:p>
        </w:tc>
      </w:tr>
      <w:tr>
        <w:trPr>
          <w:trHeight w:val="454"/>
        </w:trPr>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Option to Purchase Additional Shares</w:t>
            </w:r>
          </w:p>
        </w:tc>
        <w:tc>
          <w:tcPr>
            <w:tcW w:w="674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w w:val="99"/>
              </w:rPr>
              <w:t>We have granted the underwriters an option for a period of 30 days to purchase from us up</w:t>
            </w:r>
          </w:p>
        </w:tc>
      </w:tr>
      <w:tr>
        <w:trPr>
          <w:trHeight w:val="234"/>
        </w:trPr>
        <w:tc>
          <w:tcPr>
            <w:tcW w:w="3820" w:type="dxa"/>
            <w:vAlign w:val="bottom"/>
          </w:tcPr>
          <w:p>
            <w:pPr>
              <w:spacing w:after="0"/>
              <w:rPr>
                <w:sz w:val="20"/>
                <w:szCs w:val="20"/>
                <w:color w:val="auto"/>
              </w:rPr>
            </w:pPr>
          </w:p>
        </w:tc>
        <w:tc>
          <w:tcPr>
            <w:tcW w:w="1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 an additional</w:t>
            </w:r>
          </w:p>
        </w:tc>
        <w:tc>
          <w:tcPr>
            <w:tcW w:w="49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shares of our common stock.</w:t>
            </w:r>
          </w:p>
        </w:tc>
      </w:tr>
      <w:tr>
        <w:trPr>
          <w:trHeight w:val="441"/>
        </w:trPr>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674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We estimate that the net proceeds to us from this offering will be approximately</w:t>
            </w:r>
          </w:p>
        </w:tc>
      </w:tr>
      <w:tr>
        <w:trPr>
          <w:trHeight w:val="216"/>
        </w:trPr>
        <w:tc>
          <w:tcPr>
            <w:tcW w:w="3820" w:type="dxa"/>
            <w:vAlign w:val="bottom"/>
          </w:tcPr>
          <w:p>
            <w:pPr>
              <w:spacing w:after="0"/>
              <w:rPr>
                <w:sz w:val="18"/>
                <w:szCs w:val="18"/>
                <w:color w:val="auto"/>
              </w:rPr>
            </w:pPr>
          </w:p>
        </w:tc>
        <w:tc>
          <w:tcPr>
            <w:tcW w:w="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million, or approximately $</w:t>
            </w:r>
          </w:p>
        </w:tc>
        <w:tc>
          <w:tcPr>
            <w:tcW w:w="3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million if the underwriters exercise their</w:t>
            </w:r>
          </w:p>
        </w:tc>
      </w:tr>
      <w:tr>
        <w:trPr>
          <w:trHeight w:val="216"/>
        </w:trPr>
        <w:tc>
          <w:tcPr>
            <w:tcW w:w="3820" w:type="dxa"/>
            <w:vAlign w:val="bottom"/>
          </w:tcPr>
          <w:p>
            <w:pPr>
              <w:spacing w:after="0"/>
              <w:rPr>
                <w:sz w:val="18"/>
                <w:szCs w:val="18"/>
                <w:color w:val="auto"/>
              </w:rPr>
            </w:pPr>
          </w:p>
        </w:tc>
        <w:tc>
          <w:tcPr>
            <w:tcW w:w="674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option to purchase additional shares in full, in each case after deducting estimated</w:t>
            </w:r>
          </w:p>
        </w:tc>
      </w:tr>
      <w:tr>
        <w:trPr>
          <w:trHeight w:val="234"/>
        </w:trPr>
        <w:tc>
          <w:tcPr>
            <w:tcW w:w="3820" w:type="dxa"/>
            <w:vAlign w:val="bottom"/>
          </w:tcPr>
          <w:p>
            <w:pPr>
              <w:spacing w:after="0"/>
              <w:rPr>
                <w:sz w:val="20"/>
                <w:szCs w:val="20"/>
                <w:color w:val="auto"/>
              </w:rPr>
            </w:pPr>
          </w:p>
        </w:tc>
        <w:tc>
          <w:tcPr>
            <w:tcW w:w="674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underwriting discounts and commissions and estimated offering expenses payable by us.</w:t>
            </w:r>
          </w:p>
        </w:tc>
      </w:tr>
      <w:tr>
        <w:trPr>
          <w:trHeight w:val="441"/>
        </w:trPr>
        <w:tc>
          <w:tcPr>
            <w:tcW w:w="3820" w:type="dxa"/>
            <w:vAlign w:val="bottom"/>
          </w:tcPr>
          <w:p>
            <w:pPr>
              <w:spacing w:after="0"/>
              <w:rPr>
                <w:sz w:val="24"/>
                <w:szCs w:val="24"/>
                <w:color w:val="auto"/>
              </w:rPr>
            </w:pPr>
          </w:p>
        </w:tc>
        <w:tc>
          <w:tcPr>
            <w:tcW w:w="674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We intend to use the net proceeds from this offering, together with our existing cash, cash</w:t>
            </w:r>
          </w:p>
        </w:tc>
      </w:tr>
      <w:tr>
        <w:trPr>
          <w:trHeight w:val="216"/>
        </w:trPr>
        <w:tc>
          <w:tcPr>
            <w:tcW w:w="3820" w:type="dxa"/>
            <w:vAlign w:val="bottom"/>
          </w:tcPr>
          <w:p>
            <w:pPr>
              <w:spacing w:after="0"/>
              <w:rPr>
                <w:sz w:val="18"/>
                <w:szCs w:val="18"/>
                <w:color w:val="auto"/>
              </w:rPr>
            </w:pPr>
          </w:p>
        </w:tc>
        <w:tc>
          <w:tcPr>
            <w:tcW w:w="674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equivalents and marketable securities, to advance losmapimod for FSHD and COVID-19,</w:t>
            </w:r>
          </w:p>
        </w:tc>
      </w:tr>
      <w:tr>
        <w:trPr>
          <w:trHeight w:val="216"/>
        </w:trPr>
        <w:tc>
          <w:tcPr>
            <w:tcW w:w="3820" w:type="dxa"/>
            <w:vAlign w:val="bottom"/>
          </w:tcPr>
          <w:p>
            <w:pPr>
              <w:spacing w:after="0"/>
              <w:rPr>
                <w:sz w:val="18"/>
                <w:szCs w:val="18"/>
                <w:color w:val="auto"/>
              </w:rPr>
            </w:pPr>
          </w:p>
        </w:tc>
        <w:tc>
          <w:tcPr>
            <w:tcW w:w="674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w w:val="99"/>
              </w:rPr>
              <w:t>to advance FTX-6058 for certain hemoglobinopathies, to fund our ongoing product engine</w:t>
            </w:r>
          </w:p>
        </w:tc>
      </w:tr>
      <w:tr>
        <w:trPr>
          <w:trHeight w:val="216"/>
        </w:trPr>
        <w:tc>
          <w:tcPr>
            <w:tcW w:w="3820" w:type="dxa"/>
            <w:vAlign w:val="bottom"/>
          </w:tcPr>
          <w:p>
            <w:pPr>
              <w:spacing w:after="0"/>
              <w:rPr>
                <w:sz w:val="18"/>
                <w:szCs w:val="18"/>
                <w:color w:val="auto"/>
              </w:rPr>
            </w:pPr>
          </w:p>
        </w:tc>
        <w:tc>
          <w:tcPr>
            <w:tcW w:w="674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and discovery efforts and for working capital and other general corporate purposes. See</w:t>
            </w:r>
          </w:p>
        </w:tc>
      </w:tr>
      <w:tr>
        <w:trPr>
          <w:trHeight w:val="234"/>
        </w:trPr>
        <w:tc>
          <w:tcPr>
            <w:tcW w:w="3820" w:type="dxa"/>
            <w:vAlign w:val="bottom"/>
          </w:tcPr>
          <w:p>
            <w:pPr>
              <w:spacing w:after="0"/>
              <w:rPr>
                <w:sz w:val="20"/>
                <w:szCs w:val="20"/>
                <w:color w:val="auto"/>
              </w:rPr>
            </w:pPr>
          </w:p>
        </w:tc>
        <w:tc>
          <w:tcPr>
            <w:tcW w:w="1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“Use of Proceeds.”</w:t>
            </w:r>
          </w:p>
        </w:tc>
        <w:tc>
          <w:tcPr>
            <w:tcW w:w="1540" w:type="dxa"/>
            <w:vAlign w:val="bottom"/>
          </w:tcPr>
          <w:p>
            <w:pPr>
              <w:spacing w:after="0"/>
              <w:rPr>
                <w:sz w:val="20"/>
                <w:szCs w:val="20"/>
                <w:color w:val="auto"/>
              </w:rPr>
            </w:pPr>
          </w:p>
        </w:tc>
        <w:tc>
          <w:tcPr>
            <w:tcW w:w="3380" w:type="dxa"/>
            <w:vAlign w:val="bottom"/>
          </w:tcPr>
          <w:p>
            <w:pPr>
              <w:spacing w:after="0"/>
              <w:rPr>
                <w:sz w:val="20"/>
                <w:szCs w:val="20"/>
                <w:color w:val="auto"/>
              </w:rPr>
            </w:pPr>
          </w:p>
        </w:tc>
      </w:tr>
      <w:tr>
        <w:trPr>
          <w:trHeight w:val="441"/>
        </w:trPr>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674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You should read the “Risk Factors” section of this prospectus supplement beginning on</w:t>
            </w:r>
          </w:p>
        </w:tc>
      </w:tr>
      <w:tr>
        <w:trPr>
          <w:trHeight w:val="216"/>
        </w:trPr>
        <w:tc>
          <w:tcPr>
            <w:tcW w:w="3820" w:type="dxa"/>
            <w:vAlign w:val="bottom"/>
          </w:tcPr>
          <w:p>
            <w:pPr>
              <w:spacing w:after="0"/>
              <w:rPr>
                <w:sz w:val="18"/>
                <w:szCs w:val="18"/>
                <w:color w:val="auto"/>
              </w:rPr>
            </w:pPr>
          </w:p>
        </w:tc>
        <w:tc>
          <w:tcPr>
            <w:tcW w:w="674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page S-7 and in our Annual Report on Form 10-K for the year ended December 31, 2019</w:t>
            </w:r>
          </w:p>
        </w:tc>
      </w:tr>
      <w:tr>
        <w:trPr>
          <w:trHeight w:val="216"/>
        </w:trPr>
        <w:tc>
          <w:tcPr>
            <w:tcW w:w="3820" w:type="dxa"/>
            <w:vAlign w:val="bottom"/>
          </w:tcPr>
          <w:p>
            <w:pPr>
              <w:spacing w:after="0"/>
              <w:rPr>
                <w:sz w:val="18"/>
                <w:szCs w:val="18"/>
                <w:color w:val="auto"/>
              </w:rPr>
            </w:pPr>
          </w:p>
        </w:tc>
        <w:tc>
          <w:tcPr>
            <w:tcW w:w="674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and our Quarterly Report on Form 10-Q for the period ended September 30, 2020 for a</w:t>
            </w:r>
          </w:p>
        </w:tc>
      </w:tr>
      <w:tr>
        <w:trPr>
          <w:trHeight w:val="216"/>
        </w:trPr>
        <w:tc>
          <w:tcPr>
            <w:tcW w:w="3820" w:type="dxa"/>
            <w:vAlign w:val="bottom"/>
          </w:tcPr>
          <w:p>
            <w:pPr>
              <w:spacing w:after="0"/>
              <w:rPr>
                <w:sz w:val="18"/>
                <w:szCs w:val="18"/>
                <w:color w:val="auto"/>
              </w:rPr>
            </w:pPr>
          </w:p>
        </w:tc>
        <w:tc>
          <w:tcPr>
            <w:tcW w:w="674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discussion of factors to consider carefully before deciding to invest in shares of our</w:t>
            </w:r>
          </w:p>
        </w:tc>
      </w:tr>
      <w:tr>
        <w:trPr>
          <w:trHeight w:val="234"/>
        </w:trPr>
        <w:tc>
          <w:tcPr>
            <w:tcW w:w="3820" w:type="dxa"/>
            <w:vAlign w:val="bottom"/>
          </w:tcPr>
          <w:p>
            <w:pPr>
              <w:spacing w:after="0"/>
              <w:rPr>
                <w:sz w:val="20"/>
                <w:szCs w:val="20"/>
                <w:color w:val="auto"/>
              </w:rPr>
            </w:pPr>
          </w:p>
        </w:tc>
        <w:tc>
          <w:tcPr>
            <w:tcW w:w="1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common stock.</w:t>
            </w:r>
          </w:p>
        </w:tc>
        <w:tc>
          <w:tcPr>
            <w:tcW w:w="1540" w:type="dxa"/>
            <w:vAlign w:val="bottom"/>
          </w:tcPr>
          <w:p>
            <w:pPr>
              <w:spacing w:after="0"/>
              <w:rPr>
                <w:sz w:val="20"/>
                <w:szCs w:val="20"/>
                <w:color w:val="auto"/>
              </w:rPr>
            </w:pPr>
          </w:p>
        </w:tc>
        <w:tc>
          <w:tcPr>
            <w:tcW w:w="3380" w:type="dxa"/>
            <w:vAlign w:val="bottom"/>
          </w:tcPr>
          <w:p>
            <w:pPr>
              <w:spacing w:after="0"/>
              <w:rPr>
                <w:sz w:val="20"/>
                <w:szCs w:val="20"/>
                <w:color w:val="auto"/>
              </w:rPr>
            </w:pPr>
          </w:p>
        </w:tc>
      </w:tr>
      <w:tr>
        <w:trPr>
          <w:trHeight w:val="459"/>
        </w:trPr>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Nasdaq Global Market Symbol</w:t>
            </w:r>
          </w:p>
        </w:tc>
        <w:tc>
          <w:tcPr>
            <w:tcW w:w="1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“FULC”</w:t>
            </w:r>
          </w:p>
        </w:tc>
        <w:tc>
          <w:tcPr>
            <w:tcW w:w="1540" w:type="dxa"/>
            <w:vAlign w:val="bottom"/>
          </w:tcPr>
          <w:p>
            <w:pPr>
              <w:spacing w:after="0"/>
              <w:rPr>
                <w:sz w:val="24"/>
                <w:szCs w:val="24"/>
                <w:color w:val="auto"/>
              </w:rPr>
            </w:pPr>
          </w:p>
        </w:tc>
        <w:tc>
          <w:tcPr>
            <w:tcW w:w="3380" w:type="dxa"/>
            <w:vAlign w:val="bottom"/>
          </w:tcPr>
          <w:p>
            <w:pPr>
              <w:spacing w:after="0"/>
              <w:rPr>
                <w:sz w:val="24"/>
                <w:szCs w:val="24"/>
                <w:color w:val="auto"/>
              </w:rPr>
            </w:pPr>
          </w:p>
        </w:tc>
      </w:tr>
    </w:tbl>
    <w:p>
      <w:pPr>
        <w:spacing w:after="0" w:line="211" w:lineRule="exact"/>
        <w:rPr>
          <w:sz w:val="20"/>
          <w:szCs w:val="20"/>
          <w:color w:val="auto"/>
        </w:rPr>
      </w:pPr>
    </w:p>
    <w:p>
      <w:pPr>
        <w:jc w:val="both"/>
        <w:ind w:left="300" w:right="100"/>
        <w:spacing w:after="0" w:line="266" w:lineRule="auto"/>
        <w:rPr>
          <w:sz w:val="20"/>
          <w:szCs w:val="20"/>
          <w:color w:val="auto"/>
        </w:rPr>
      </w:pPr>
      <w:r>
        <w:rPr>
          <w:rFonts w:ascii="Times New Roman" w:cs="Times New Roman" w:eastAsia="Times New Roman" w:hAnsi="Times New Roman"/>
          <w:sz w:val="18"/>
          <w:szCs w:val="18"/>
          <w:color w:val="auto"/>
        </w:rPr>
        <w:t>The number of shares of our common stock to be outstanding immediately after this offering is based on 28,067,434 shares of our common stock outstanding as of January 8, 2021, including 115,646 shares of unvested restricted stock subject to repurchase by us. The number of shares of our common stock to be outstanding after this offering excludes:</w:t>
      </w:r>
    </w:p>
    <w:p>
      <w:pPr>
        <w:spacing w:after="0" w:line="81" w:lineRule="exact"/>
        <w:rPr>
          <w:sz w:val="20"/>
          <w:szCs w:val="20"/>
          <w:color w:val="auto"/>
        </w:rPr>
      </w:pPr>
    </w:p>
    <w:p>
      <w:pPr>
        <w:ind w:left="1240" w:right="14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2,962,315 shares of common stock issuable upon exercise of stock options outstanding as of January 8, 2021, at a weighted average exercise price of $11.57 per share; and</w:t>
      </w:r>
    </w:p>
    <w:p>
      <w:pPr>
        <w:spacing w:after="0" w:line="67" w:lineRule="exact"/>
        <w:rPr>
          <w:rFonts w:ascii="Times New Roman" w:cs="Times New Roman" w:eastAsia="Times New Roman" w:hAnsi="Times New Roman"/>
          <w:sz w:val="18"/>
          <w:szCs w:val="18"/>
          <w:color w:val="auto"/>
        </w:rPr>
      </w:pPr>
    </w:p>
    <w:p>
      <w:pPr>
        <w:ind w:left="1240" w:right="48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2,851,312 and 746,673 shares of common stock reserved for future issuance under our 2019 Stock Incentive Plan and our 2019 Employee Stock Purchase Plan, respectively, as of January 8, 2021.</w:t>
      </w:r>
    </w:p>
    <w:p>
      <w:pPr>
        <w:spacing w:after="0" w:line="1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Unless otherwise indicated, all information in this prospectus supplement:</w:t>
      </w:r>
    </w:p>
    <w:p>
      <w:pPr>
        <w:spacing w:after="0" w:line="131" w:lineRule="exact"/>
        <w:rPr>
          <w:sz w:val="20"/>
          <w:szCs w:val="20"/>
          <w:color w:val="auto"/>
        </w:rPr>
      </w:pPr>
    </w:p>
    <w:p>
      <w:pPr>
        <w:ind w:left="1240" w:hanging="415"/>
        <w:spacing w:after="0"/>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no exercise of the outstanding stock options described above;</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no exercise by the underwriters of their option to purchase additional shares of our common stock; and</w:t>
      </w:r>
    </w:p>
    <w:p>
      <w:pPr>
        <w:spacing w:after="0" w:line="130" w:lineRule="exact"/>
        <w:rPr>
          <w:rFonts w:ascii="Times New Roman" w:cs="Times New Roman" w:eastAsia="Times New Roman" w:hAnsi="Times New Roman"/>
          <w:sz w:val="18"/>
          <w:szCs w:val="18"/>
          <w:color w:val="auto"/>
        </w:rPr>
      </w:pPr>
    </w:p>
    <w:p>
      <w:pPr>
        <w:ind w:left="1240" w:right="80" w:hanging="415"/>
        <w:spacing w:after="0" w:line="266"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reflect the potential issuance of shares of our common stock that remain available for sale as of the date of this prospectus supplement under our “at-the-market” offering program, pursuant to which we may sell common stock for remaining gross proceeds of up to $69.1 million from time to time under our equity distribution agreement with Piper Sandler &amp; Co.</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0860"/>
          </w:cols>
          <w:pgMar w:left="320" w:top="455" w:right="71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120"/>
        <w:spacing w:after="0" w:line="275" w:lineRule="auto"/>
        <w:rPr>
          <w:sz w:val="20"/>
          <w:szCs w:val="20"/>
          <w:color w:val="auto"/>
        </w:rPr>
      </w:pPr>
      <w:r>
        <w:rPr>
          <w:rFonts w:ascii="Times New Roman" w:cs="Times New Roman" w:eastAsia="Times New Roman" w:hAnsi="Times New Roman"/>
          <w:sz w:val="17"/>
          <w:szCs w:val="17"/>
          <w:i w:val="1"/>
          <w:iCs w:val="1"/>
          <w:color w:val="auto"/>
        </w:rPr>
        <w:t>Investing in our common stock involves a high degree of risk. Before you decide to invest in our common stock, you should carefully consider the risks and uncertainties described below and in our Annual Report on Form 10-K for the year ended December 31, 2019 and our Quarterly Report on Form 10-Q for the period ended September 30, 2020, together with all other information contained in this prospectus supplement, the accompanying prospectus and in our filings with the Securities and Exchange Commission, or SEC, that we have incorporated by reference into this prospectus supplement and the accompanying prospectus. If any of the following risks actually occurs, our business, prospects, operating results and financial condition could suffer materially. In such event, the trading price of our common stock could decline and you might lose all or part of your investment.</w:t>
      </w:r>
    </w:p>
    <w:p>
      <w:pPr>
        <w:spacing w:after="0" w:line="2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Common Stock and This Offering</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you purchase shares of common stock in this offering, you will suffer immediate dilution of your investment.</w:t>
      </w:r>
    </w:p>
    <w:p>
      <w:pPr>
        <w:spacing w:after="0" w:line="121" w:lineRule="exact"/>
        <w:rPr>
          <w:sz w:val="20"/>
          <w:szCs w:val="20"/>
          <w:color w:val="auto"/>
        </w:rPr>
      </w:pPr>
    </w:p>
    <w:p>
      <w:pPr>
        <w:ind w:left="120" w:right="200"/>
        <w:spacing w:after="0" w:line="276" w:lineRule="auto"/>
        <w:rPr>
          <w:sz w:val="20"/>
          <w:szCs w:val="20"/>
          <w:color w:val="auto"/>
        </w:rPr>
      </w:pPr>
      <w:r>
        <w:rPr>
          <w:rFonts w:ascii="Times New Roman" w:cs="Times New Roman" w:eastAsia="Times New Roman" w:hAnsi="Times New Roman"/>
          <w:sz w:val="17"/>
          <w:szCs w:val="17"/>
          <w:color w:val="auto"/>
        </w:rPr>
        <w:t>The price of our common stock to be sold in this offering is substantially higher than the net tangible book value per share of our common stock. Therefore, if you purchase shares of our common stock in this offering, you will pay a price per share that substantially exceeds our net tangible book</w:t>
      </w:r>
    </w:p>
    <w:p>
      <w:pPr>
        <w:spacing w:after="0" w:line="1" w:lineRule="exact"/>
        <w:rPr>
          <w:sz w:val="20"/>
          <w:szCs w:val="20"/>
          <w:color w:val="auto"/>
        </w:rPr>
      </w:pPr>
    </w:p>
    <w:p>
      <w:pPr>
        <w:ind w:left="120"/>
        <w:spacing w:after="0" w:line="250" w:lineRule="auto"/>
        <w:rPr>
          <w:sz w:val="20"/>
          <w:szCs w:val="20"/>
          <w:color w:val="auto"/>
        </w:rPr>
      </w:pPr>
      <w:r>
        <w:rPr>
          <w:rFonts w:ascii="Times New Roman" w:cs="Times New Roman" w:eastAsia="Times New Roman" w:hAnsi="Times New Roman"/>
          <w:sz w:val="18"/>
          <w:szCs w:val="18"/>
          <w:color w:val="auto"/>
        </w:rPr>
        <w:t>value per share after this offering. Based on the public offering price of $ per share, you will experience immediate dilution of $ per share, representing the difference between our as adjusted net tangible book value per share after giving effect to the sale by us of shares in this</w:t>
      </w:r>
    </w:p>
    <w:p>
      <w:pPr>
        <w:spacing w:after="0" w:line="1" w:lineRule="exact"/>
        <w:rPr>
          <w:sz w:val="20"/>
          <w:szCs w:val="20"/>
          <w:color w:val="auto"/>
        </w:rPr>
      </w:pPr>
    </w:p>
    <w:p>
      <w:pPr>
        <w:ind w:left="120" w:right="200"/>
        <w:spacing w:after="0" w:line="260" w:lineRule="auto"/>
        <w:rPr>
          <w:sz w:val="20"/>
          <w:szCs w:val="20"/>
          <w:color w:val="auto"/>
        </w:rPr>
      </w:pPr>
      <w:r>
        <w:rPr>
          <w:rFonts w:ascii="Times New Roman" w:cs="Times New Roman" w:eastAsia="Times New Roman" w:hAnsi="Times New Roman"/>
          <w:sz w:val="18"/>
          <w:szCs w:val="18"/>
          <w:color w:val="auto"/>
        </w:rPr>
        <w:t>offering at the public offering price. For additional information on the dilution that you will experience immediately after this offering, see the section titled “Dilution” in this prospectus supplement.</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be volatile and fluctuate substantially, which could result in substantial losses for our stockholders.</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trading price of our common stock has been, and is likely to continue to be, volatile and could be subject to wide fluctuations in response to various factors, some of which are beyond our control. During the period from July 18, 2019 to January 15, 2021, the closing price of our common stock ranged from a high of $22.06 per share to a low of $4.46 per share. The stock market in general and the market for smaller biopharmaceutical companies in particular have experienced extreme volatility that has often been unrelated to the operating performance of particular companies.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the net proceeds from this offering and may not use them effectively.</w:t>
      </w:r>
    </w:p>
    <w:p>
      <w:pPr>
        <w:spacing w:after="0" w:line="121"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Although we currently intend to use the net proceeds from this offering, together with our existing cash, cash equivalents and marketable securities, in the manner described in the section titled “Use of Proceeds” in this prospectus supplement, our management will have broad discretion in the application of the net proceeds from this offering and could spend the proceeds in ways that do not improve our results of operations or enhance the value of our common stock. The failure by our management to apply these funds effectively could result in financial losses that could cause the price of our common stock to decline and delay the development of our product candidates. Pending their use, we may invest the net proceeds from this offering in a manner that does not produce income or that loses value.</w:t>
      </w:r>
    </w:p>
    <w:p>
      <w:pPr>
        <w:spacing w:after="0" w:line="291"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5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of our future earnings, if any, to finance the growth, operation and development of our business. As a result, capital appreciation, if any, of our common stock will be your sole source of gain for the foreseeable future.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100"/>
          </w:cols>
          <w:pgMar w:left="320" w:top="455" w:right="47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 AND INDUSTRY DATA</w:t>
      </w:r>
    </w:p>
    <w:p>
      <w:pPr>
        <w:spacing w:after="0" w:line="229" w:lineRule="exact"/>
        <w:rPr>
          <w:sz w:val="20"/>
          <w:szCs w:val="20"/>
          <w:color w:val="auto"/>
        </w:rPr>
      </w:pPr>
    </w:p>
    <w:p>
      <w:pPr>
        <w:ind w:left="120" w:right="160"/>
        <w:spacing w:after="0" w:line="254"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information incorporated by reference herein and therein contain forward-looking statements within the meaning of Section 27A of the Securities Act and Section 21E of the Securities Exchange Act of 1934, as amended, that involve substantial risks and uncertainties. All statements, other than statements of historical facts, contained in this prospectus supplement, the accompanying prospectus and the information incorporated by reference herein and therein, including statements regarding our strategy, future operations, future financial position, future revenue, projected costs, prospects, plans and objectives of management and expected market growth are forward-looking statements. The words “anticipate,” “believe,” “continue,” “could,” “estimate,” “expect,” “intend,” “may,” “plan,” “potential,” “predict,” “project,” “should,” “target,” “would” and similar expressions are intended to identify forward-looking statements, although not all forward-looking statements contain these identifying words.</w:t>
      </w:r>
    </w:p>
    <w:p>
      <w:pPr>
        <w:spacing w:after="0" w:line="192"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The forward-looking statements in this prospectus supplement, the accompanying prospectus and the information incorporated by reference herein and therein include, among other things, statements about:</w:t>
      </w:r>
    </w:p>
    <w:p>
      <w:pPr>
        <w:spacing w:after="0" w:line="67" w:lineRule="exact"/>
        <w:rPr>
          <w:sz w:val="20"/>
          <w:szCs w:val="20"/>
          <w:color w:val="auto"/>
        </w:rPr>
      </w:pPr>
    </w:p>
    <w:p>
      <w:pPr>
        <w:ind w:left="1080" w:right="100" w:hanging="424"/>
        <w:spacing w:after="0" w:line="312" w:lineRule="auto"/>
        <w:tabs>
          <w:tab w:leader="none" w:pos="10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ongoing clinical trials of losmapimod, including our ongoing Phase 2b and Phase 2 open label clinical trials for the treatment of facioscapulohumeral muscular dystrophy, and our ongoing Phase 3 clinical trial for the treatment of the novel coronavirus, or COVID-19;</w:t>
      </w:r>
    </w:p>
    <w:p>
      <w:pPr>
        <w:spacing w:after="0" w:line="45"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ongoing Phase 1 clinical trial of FTX-6058 and our planned clinical trial of FTX-6058 in patients with SCD;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on our business and operations and our future financial results;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drug target discovery screening programs;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current and future preclinical studies and clinical trials and our research and development programs;</w:t>
      </w:r>
    </w:p>
    <w:p>
      <w:pPr>
        <w:spacing w:after="0" w:line="67" w:lineRule="exact"/>
        <w:rPr>
          <w:rFonts w:ascii="Times New Roman" w:cs="Times New Roman" w:eastAsia="Times New Roman" w:hAnsi="Times New Roman"/>
          <w:sz w:val="18"/>
          <w:szCs w:val="18"/>
          <w:color w:val="auto"/>
        </w:rPr>
      </w:pPr>
    </w:p>
    <w:p>
      <w:pPr>
        <w:ind w:left="1080" w:right="88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develop and, if approved, subsequently commercialize losmapimod and any other product candidates, including in combination with other drugs and therapies;</w:t>
      </w:r>
    </w:p>
    <w:p>
      <w:pPr>
        <w:spacing w:after="0" w:line="67"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submit applications for, obtain and maintain regulatory approvals for losmapimod and other product candidates;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fund our operating expenses and capital expenditure requirements with our cash, cash equivalents, and marketable securities and proceeds of this offering;</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advantages of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of our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the potential market opportunity for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marketing and manufacturing capabilities and strategy;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and results of our collaborations with Acceleron Pharma Inc. and MyoKardia, Inc.;</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additional products, product candidates or technologies with significant commercial potential that are consistent with our commercial objectives;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related to the use of proceeds from this offering;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timing of any future revenue, capital requirements and needs for additional financing;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 laws and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100"/>
          </w:cols>
          <w:pgMar w:left="320" w:top="455" w:right="47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establish collaborations or obtain additional funding; and</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time during which we will be an emerging growth company or a smaller reporting company as defined under the federal securities laws.</w:t>
      </w:r>
    </w:p>
    <w:p>
      <w:pPr>
        <w:spacing w:after="0" w:line="162"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prospectus supplement, particularly in the “Risk Factors” section in this prospectus supplement and in our Annual Report on Form 10-K for the year ended December 31, 2019 and our Quarterly Report on Form 10-Q for the period ended September 30, 2020, which are incorporated by reference herein, that could cause actual results or events to differ materially from the forward-looking statements that we make. Our forward-looking statements do not reflect the potential impact of any future acquisitions, mergers, dispositions, collaborations, joint ventures or investments that we may make or enter into.</w:t>
      </w:r>
    </w:p>
    <w:p>
      <w:pPr>
        <w:spacing w:after="0" w:line="189"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You should read this prospectus supplement, the accompanying prospectus and the information incorporated by reference herein and therein completely and with the understanding that our actual future results may be materially different from what we expect. We do not assume any obligation to update any forward-looking statements, whether as a result of new information, future events or otherwise, except as required by law.</w:t>
      </w:r>
    </w:p>
    <w:p>
      <w:pPr>
        <w:spacing w:after="0" w:line="176"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information incorporated by reference herein and therein include statistical and other industry and market data that we obtained from industry publications and research, surveys and studies conducted by third parties. All of the market data used in this prospectus supplement, the accompanying prospectus and the information incorporated by reference herein and therein involves a number of assumptions and limitations, and you are cautioned not to give undue weight to such data. Industry publications and third-party research, surveys and studies generally indicate that their information has been obtained from sources believed to be reliable, although they do not guarantee the accuracy or completeness of such information. Our estimates of the potential market opportunities for our product candidates include several key assumptions based on our industry knowledge, industry publications, third-party research and other surveys, which may be based on a small sample size and may fail to accurately reflect market opportunities. While we believe that our internal assumptions are reasonable, no independent source has verified such assumptions.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120"/>
          </w:cols>
          <w:pgMar w:left="320" w:top="455" w:right="45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spacing w:after="0"/>
        <w:tabs>
          <w:tab w:leader="none" w:pos="5760" w:val="left"/>
        </w:tabs>
        <w:rPr>
          <w:sz w:val="20"/>
          <w:szCs w:val="20"/>
          <w:color w:val="auto"/>
        </w:rPr>
      </w:pPr>
      <w:r>
        <w:rPr>
          <w:rFonts w:ascii="Times New Roman" w:cs="Times New Roman" w:eastAsia="Times New Roman" w:hAnsi="Times New Roman"/>
          <w:sz w:val="18"/>
          <w:szCs w:val="18"/>
          <w:color w:val="auto"/>
        </w:rPr>
        <w:t>We estimate that the net proceeds to us from the issuance and sale of</w:t>
      </w:r>
      <w:r>
        <w:rPr>
          <w:sz w:val="20"/>
          <w:szCs w:val="20"/>
          <w:color w:val="auto"/>
        </w:rPr>
        <w:tab/>
      </w:r>
      <w:r>
        <w:rPr>
          <w:rFonts w:ascii="Times New Roman" w:cs="Times New Roman" w:eastAsia="Times New Roman" w:hAnsi="Times New Roman"/>
          <w:sz w:val="17"/>
          <w:szCs w:val="17"/>
          <w:color w:val="auto"/>
        </w:rPr>
        <w:t>shares of common stock in this offering will be approximately</w:t>
      </w:r>
    </w:p>
    <w:p>
      <w:pPr>
        <w:spacing w:after="0" w:line="27" w:lineRule="exact"/>
        <w:rPr>
          <w:sz w:val="20"/>
          <w:szCs w:val="20"/>
          <w:color w:val="auto"/>
        </w:rPr>
      </w:pPr>
    </w:p>
    <w:p>
      <w:pPr>
        <w:ind w:left="120"/>
        <w:spacing w:after="0"/>
        <w:tabs>
          <w:tab w:leader="none" w:pos="900" w:val="left"/>
          <w:tab w:leader="none" w:pos="36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million, or approximately $</w:t>
      </w:r>
      <w:r>
        <w:rPr>
          <w:sz w:val="20"/>
          <w:szCs w:val="20"/>
          <w:color w:val="auto"/>
        </w:rPr>
        <w:tab/>
      </w:r>
      <w:r>
        <w:rPr>
          <w:rFonts w:ascii="Times New Roman" w:cs="Times New Roman" w:eastAsia="Times New Roman" w:hAnsi="Times New Roman"/>
          <w:sz w:val="18"/>
          <w:szCs w:val="18"/>
          <w:color w:val="auto"/>
        </w:rPr>
        <w:t>million if the underwriters exercise their option to purchase additional shares in full, in each case after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deducting estimated underwriting discounts and commissions and estimated offering expenses payable by us.</w:t>
      </w:r>
    </w:p>
    <w:p>
      <w:pPr>
        <w:spacing w:after="0" w:line="207"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We expect to use the net proceeds from this offering, together with our existing cash, cash equivalents and marketable securities, to advance losmapimod for FSHD and COVID-19, to advance FTX-6058 for certain hemoglobinopathies, to fund our ongoing product engine and discovery efforts and for working capital and other general corporate purposes.</w:t>
      </w:r>
    </w:p>
    <w:p>
      <w:pPr>
        <w:spacing w:after="0" w:line="176"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As of September 30, 2020, we had cash, cash equivalents and marketable securities of $127.0 million. From October through December 2020, we sold 550,000 shares of our common stock in an at-the-market offering for aggregate net proceeds of $5.7 million.</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We believe that the net proceeds from this offering, together with our existing cash, cash equivalents and marketable securities will enable us to fund our</w:t>
      </w:r>
    </w:p>
    <w:p>
      <w:pPr>
        <w:spacing w:after="0" w:line="39" w:lineRule="exact"/>
        <w:rPr>
          <w:sz w:val="20"/>
          <w:szCs w:val="20"/>
          <w:color w:val="auto"/>
        </w:rPr>
      </w:pPr>
    </w:p>
    <w:p>
      <w:pPr>
        <w:ind w:left="120" w:right="220"/>
        <w:spacing w:after="0" w:line="260" w:lineRule="auto"/>
        <w:rPr>
          <w:sz w:val="20"/>
          <w:szCs w:val="20"/>
          <w:color w:val="auto"/>
        </w:rPr>
      </w:pPr>
      <w:r>
        <w:rPr>
          <w:rFonts w:ascii="Times New Roman" w:cs="Times New Roman" w:eastAsia="Times New Roman" w:hAnsi="Times New Roman"/>
          <w:sz w:val="18"/>
          <w:szCs w:val="18"/>
          <w:color w:val="auto"/>
        </w:rPr>
        <w:t>operating expenses and capital expenditure requirements into . We have based this estimate on assumptions that may prove to be wrong, and we could use our available capital resources sooner than we currently expect.</w:t>
      </w:r>
    </w:p>
    <w:p>
      <w:pPr>
        <w:spacing w:after="0" w:line="181" w:lineRule="exact"/>
        <w:rPr>
          <w:sz w:val="20"/>
          <w:szCs w:val="20"/>
          <w:color w:val="auto"/>
        </w:rPr>
      </w:pPr>
    </w:p>
    <w:p>
      <w:pPr>
        <w:ind w:left="120" w:right="740"/>
        <w:spacing w:after="0" w:line="282" w:lineRule="auto"/>
        <w:rPr>
          <w:sz w:val="20"/>
          <w:szCs w:val="20"/>
          <w:color w:val="auto"/>
        </w:rPr>
      </w:pPr>
      <w:r>
        <w:rPr>
          <w:rFonts w:ascii="Times New Roman" w:cs="Times New Roman" w:eastAsia="Times New Roman" w:hAnsi="Times New Roman"/>
          <w:sz w:val="18"/>
          <w:szCs w:val="18"/>
          <w:color w:val="auto"/>
        </w:rPr>
        <w:t>We will require additional capital to complete clinical development of each of our product candidates and to commercialize any of our product candidates, if we receive regulatory approval.</w:t>
      </w:r>
    </w:p>
    <w:p>
      <w:pPr>
        <w:spacing w:after="0" w:line="162"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This expected use of net proceeds from this offering and our existing cash, cash equivalents and marketable securities represents our intentions based upon our current plans and business conditions, which could change in the future as our plans and business conditions evolve. The amounts and timing of our actual expenditures may vary significantly depending on numerous factors, including the progress of our development, the status of and results from clinical trials, the timing of regulatory submissions and the outcome of regulatory review, as well as any collaborations that we may enter into with third parties for our product candidates, and any unforeseen cash needs. As a result, our management will retain broad discretion over the allocation of the net proceeds from this offering. We have no current agreements, commitments or understandings for any material acquisitions or licenses of any products, businesses or technologies.</w:t>
      </w:r>
    </w:p>
    <w:p>
      <w:pPr>
        <w:spacing w:after="0" w:line="189"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Pending our use of the net proceeds from this offering, we intend to invest the net proceeds in a variety of capital preservation investments, including short-term, investment-grade, interest-bearing instruments and U.S. government securities.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120"/>
          </w:cols>
          <w:pgMar w:left="320" w:top="455" w:right="45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have never declared or paid cash dividends on our common stock. We currently intend to retain all available funds and any future earnings to fund the development and expansion of our business and we do not anticipate paying any cash dividends in the foreseeable future. Any future determination to declare and pay dividends will be made at the discretion of our board of directors and will depend on then-existing conditions, including our results of operations, financial condition, contractual restrictions, capital requirements, business prospects and other factors our board of directors may deem relevant.</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100"/>
          </w:cols>
          <w:pgMar w:left="320" w:top="455" w:right="47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If you invest in our common stock in this offering, your ownership interest will be diluted immediately to the extent of the difference between the public offering price per share of our common stock you will pay in this offering and the as adjusted net tangible book value per share of our common stock immediately after this offering.</w:t>
      </w:r>
    </w:p>
    <w:p>
      <w:pPr>
        <w:spacing w:after="0" w:line="176" w:lineRule="exact"/>
        <w:rPr>
          <w:sz w:val="20"/>
          <w:szCs w:val="20"/>
          <w:color w:val="auto"/>
        </w:rPr>
      </w:pPr>
    </w:p>
    <w:p>
      <w:pPr>
        <w:jc w:val="both"/>
        <w:ind w:left="120" w:right="320"/>
        <w:spacing w:after="0" w:line="261" w:lineRule="auto"/>
        <w:rPr>
          <w:sz w:val="20"/>
          <w:szCs w:val="20"/>
          <w:color w:val="auto"/>
        </w:rPr>
      </w:pPr>
      <w:r>
        <w:rPr>
          <w:rFonts w:ascii="Times New Roman" w:cs="Times New Roman" w:eastAsia="Times New Roman" w:hAnsi="Times New Roman"/>
          <w:sz w:val="18"/>
          <w:szCs w:val="18"/>
          <w:color w:val="auto"/>
        </w:rPr>
        <w:t>Our historical net tangible book value as of September 30, 2020 was $105.0 million, or $3.82 per share of common stock. Our historical net tangible book value is the amount of our total tangible assets less our total liabilities. Historical net tangible book value per share represents our historical net tangible book value divided by the 27,459,196 shares of common stock outstanding as of September 30, 2020, including 181,213 shares of unvested restricted stock subject to repurchase by us.</w:t>
      </w:r>
    </w:p>
    <w:p>
      <w:pPr>
        <w:spacing w:after="0" w:line="180" w:lineRule="exact"/>
        <w:rPr>
          <w:sz w:val="20"/>
          <w:szCs w:val="20"/>
          <w:color w:val="auto"/>
        </w:rPr>
      </w:pPr>
    </w:p>
    <w:p>
      <w:pPr>
        <w:jc w:val="both"/>
        <w:ind w:left="120" w:right="340"/>
        <w:spacing w:after="0" w:line="261" w:lineRule="auto"/>
        <w:rPr>
          <w:sz w:val="20"/>
          <w:szCs w:val="20"/>
          <w:color w:val="auto"/>
        </w:rPr>
      </w:pPr>
      <w:r>
        <w:rPr>
          <w:rFonts w:ascii="Times New Roman" w:cs="Times New Roman" w:eastAsia="Times New Roman" w:hAnsi="Times New Roman"/>
          <w:sz w:val="18"/>
          <w:szCs w:val="18"/>
          <w:color w:val="auto"/>
        </w:rPr>
        <w:t>After giving effect to the issuance and sale of shares of common stock that we are offering at the public offering price of $ per share, and after deducting the estimated underwriting discounts and commissions and estimated offering expenses payable by us, our as adjusted net</w:t>
      </w:r>
    </w:p>
    <w:p>
      <w:pPr>
        <w:ind w:left="120" w:right="200"/>
        <w:spacing w:after="0" w:line="250" w:lineRule="auto"/>
        <w:rPr>
          <w:sz w:val="20"/>
          <w:szCs w:val="20"/>
          <w:color w:val="auto"/>
        </w:rPr>
      </w:pPr>
      <w:r>
        <w:rPr>
          <w:rFonts w:ascii="Times New Roman" w:cs="Times New Roman" w:eastAsia="Times New Roman" w:hAnsi="Times New Roman"/>
          <w:sz w:val="18"/>
          <w:szCs w:val="18"/>
          <w:color w:val="auto"/>
        </w:rPr>
        <w:t>tangible book value as of September 30, 2020 would have been $ million, or $ per share. This represents an immediate increase of $ in as adjusted net tangible book value per share to existing stockholders and immediate dilution of $ in as adjusted net tangible</w:t>
      </w:r>
    </w:p>
    <w:p>
      <w:pPr>
        <w:spacing w:after="0" w:line="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book value per share to investors purchasing shares of our common stock in this offering. Dilution per share to new investors is determined by subtracting as adjusted net tangible book value per share after this offering from the public offering price per share paid by new investors. The following table illustrates this dilution:</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 per share</w:t>
            </w:r>
          </w:p>
        </w:tc>
        <w:tc>
          <w:tcPr>
            <w:tcW w:w="1820" w:type="dxa"/>
            <w:vAlign w:val="bottom"/>
            <w:gridSpan w:val="4"/>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r>
      <w:tr>
        <w:trPr>
          <w:trHeight w:val="216"/>
        </w:trPr>
        <w:tc>
          <w:tcPr>
            <w:tcW w:w="6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Historical net tangible book value per share as of September 30, 2020</w:t>
            </w:r>
          </w:p>
        </w:tc>
        <w:tc>
          <w:tcPr>
            <w:tcW w:w="112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$3.82</w:t>
            </w: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8"/>
        </w:trPr>
        <w:tc>
          <w:tcPr>
            <w:tcW w:w="65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Increase in as adjusted net tangible book value per share attributable to new</w:t>
            </w: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4"/>
        </w:trPr>
        <w:tc>
          <w:tcPr>
            <w:tcW w:w="65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investors purchasing shares of common stock in this offering</w:t>
            </w:r>
          </w:p>
        </w:tc>
        <w:tc>
          <w:tcPr>
            <w:tcW w:w="24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30"/>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As adjusted net tangible book value per share immediately after this offering</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new investors purchasing shares of common stock in this offering</w:t>
            </w:r>
          </w:p>
        </w:tc>
        <w:tc>
          <w:tcPr>
            <w:tcW w:w="1820" w:type="dxa"/>
            <w:vAlign w:val="bottom"/>
            <w:gridSpan w:val="4"/>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r>
      <w:tr>
        <w:trPr>
          <w:trHeight w:val="20"/>
        </w:trPr>
        <w:tc>
          <w:tcPr>
            <w:tcW w:w="6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 the underwriters exercise their option to purchase additional shares in full the immediate dilution in as adjusted net tangible book value per share to</w:t>
      </w:r>
    </w:p>
    <w:p>
      <w:pPr>
        <w:spacing w:after="0" w:line="27" w:lineRule="exact"/>
        <w:rPr>
          <w:sz w:val="20"/>
          <w:szCs w:val="20"/>
          <w:color w:val="auto"/>
        </w:rPr>
      </w:pPr>
    </w:p>
    <w:p>
      <w:pPr>
        <w:ind w:left="120"/>
        <w:spacing w:after="0"/>
        <w:tabs>
          <w:tab w:leader="none" w:pos="3420" w:val="left"/>
        </w:tabs>
        <w:rPr>
          <w:sz w:val="20"/>
          <w:szCs w:val="20"/>
          <w:color w:val="auto"/>
        </w:rPr>
      </w:pPr>
      <w:r>
        <w:rPr>
          <w:rFonts w:ascii="Times New Roman" w:cs="Times New Roman" w:eastAsia="Times New Roman" w:hAnsi="Times New Roman"/>
          <w:sz w:val="18"/>
          <w:szCs w:val="18"/>
          <w:color w:val="auto"/>
        </w:rPr>
        <w:t>investors in this offering would be $</w:t>
      </w:r>
      <w:r>
        <w:rPr>
          <w:sz w:val="20"/>
          <w:szCs w:val="20"/>
          <w:color w:val="auto"/>
        </w:rPr>
        <w:tab/>
      </w:r>
      <w:r>
        <w:rPr>
          <w:rFonts w:ascii="Times New Roman" w:cs="Times New Roman" w:eastAsia="Times New Roman" w:hAnsi="Times New Roman"/>
          <w:sz w:val="17"/>
          <w:szCs w:val="17"/>
          <w:color w:val="auto"/>
        </w:rPr>
        <w:t>per share.</w:t>
      </w:r>
    </w:p>
    <w:p>
      <w:pPr>
        <w:spacing w:after="0" w:line="207"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The table and discussion above are based on the number of shares of our common stock outstanding as of September 30, 2020, including 181,213 shares of unvested restricted stock subject to repurchase by us, and exclude:</w:t>
      </w:r>
    </w:p>
    <w:p>
      <w:pPr>
        <w:spacing w:after="0" w:line="67" w:lineRule="exact"/>
        <w:rPr>
          <w:sz w:val="20"/>
          <w:szCs w:val="20"/>
          <w:color w:val="auto"/>
        </w:rPr>
      </w:pPr>
    </w:p>
    <w:p>
      <w:pPr>
        <w:ind w:left="1080" w:right="24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2,868,693 shares of common stock issuable upon exercise of stock options outstanding as of September 30, 2020, at a weighted average exercise price of $11.62 per share;</w:t>
      </w:r>
    </w:p>
    <w:p>
      <w:pPr>
        <w:spacing w:after="0" w:line="67"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319,800 shares of common stock issuable upon exercise of stock options granted after September 30, 2020 at a weighted average exercise price of $10.94 per share;</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1,860,978 and 485,497 shares of common stock reserved for future issuance as of September 30, 2020 under our 2019 Stock Incentive Plan and our 2019 Employee Stock Purchase Plan, respectively; and</w:t>
      </w:r>
    </w:p>
    <w:p>
      <w:pPr>
        <w:spacing w:after="0" w:line="67"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550,000 shares of common stock issued and sold after September 30, 2020 pursuant to our “at-the-market” offering program for aggregate gross sale proceeds of $5.9 million, before deducting sales commissions and offering expenses, and the potential issuance of shares of common stock that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120"/>
          </w:cols>
          <w:pgMar w:left="320" w:top="455" w:right="45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line="266" w:lineRule="auto"/>
        <w:rPr>
          <w:sz w:val="20"/>
          <w:szCs w:val="20"/>
          <w:color w:val="auto"/>
        </w:rPr>
      </w:pPr>
      <w:r>
        <w:rPr>
          <w:rFonts w:ascii="Times New Roman" w:cs="Times New Roman" w:eastAsia="Times New Roman" w:hAnsi="Times New Roman"/>
          <w:sz w:val="18"/>
          <w:szCs w:val="18"/>
          <w:color w:val="auto"/>
        </w:rPr>
        <w:t>remain available for sale as of the date of this prospectus supplement under our “at-the-market” offering program, pursuant to which we may sell common stock for remaining gross proceeds of up to $69.1 million from time to time under our equity distribution agreement with Piper Sandler &amp; Co.</w:t>
      </w:r>
    </w:p>
    <w:p>
      <w:pPr>
        <w:spacing w:after="0" w:line="176"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To the extent that outstanding stock options are exercised, new stock options are issued, or we issue additional shares of common stock in the future, including pursuant to our equity distribution agreement with Piper Sandler &amp; Co., there will be further dilution to investors purchasing shares of common stock in this offering.</w:t>
      </w:r>
    </w:p>
    <w:p>
      <w:pPr>
        <w:spacing w:after="0" w:line="176"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The as adjusted information discussed above will be based on the actual number of shares, the offering price and other terms determined at pricing of this offering.</w:t>
      </w:r>
    </w:p>
    <w:p>
      <w:pPr>
        <w:spacing w:after="0" w:line="9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0880"/>
          </w:cols>
          <w:pgMar w:left="320" w:top="455" w:right="69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MATERIAL U.S. FEDERAL INCOME AND ESTATE TAX CONSIDERATIONS FOR NON-U.S. HOLDERS OF COMMON STOCK</w:t>
      </w:r>
    </w:p>
    <w:p>
      <w:pPr>
        <w:spacing w:after="0" w:line="229" w:lineRule="exact"/>
        <w:rPr>
          <w:sz w:val="20"/>
          <w:szCs w:val="20"/>
          <w:color w:val="auto"/>
        </w:rPr>
      </w:pPr>
    </w:p>
    <w:p>
      <w:pPr>
        <w:jc w:val="both"/>
        <w:ind w:left="120" w:right="320"/>
        <w:spacing w:after="0" w:line="266" w:lineRule="auto"/>
        <w:rPr>
          <w:sz w:val="20"/>
          <w:szCs w:val="20"/>
          <w:color w:val="auto"/>
        </w:rPr>
      </w:pPr>
      <w:r>
        <w:rPr>
          <w:rFonts w:ascii="Times New Roman" w:cs="Times New Roman" w:eastAsia="Times New Roman" w:hAnsi="Times New Roman"/>
          <w:sz w:val="18"/>
          <w:szCs w:val="18"/>
          <w:color w:val="auto"/>
        </w:rPr>
        <w:t>The following is a discussion of material U.S. federal income and estate tax considerations relating to the ownership and disposition of shares of our common stock acquired in this offering by a non-U.S. holder. For purposes of this discussion, the term “non-U.S. holder” means a beneficial owner (other than a partnership or other pass-through entity) of our common stock that is not, for U.S. federal income tax purposes:</w:t>
      </w:r>
    </w:p>
    <w:p>
      <w:pPr>
        <w:spacing w:after="0" w:line="81" w:lineRule="exact"/>
        <w:rPr>
          <w:sz w:val="20"/>
          <w:szCs w:val="20"/>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or organized in or under the laws of the United States or of any political subdivision of the United States;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66"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(1) a U.S. court is able to exercise primary supervision over the administration of the trust and one or more U.S. persons has authority to control all substantial decisions of the trust or (2) the trust has a valid election in effect under applicable U.S. Treasury Regulations to be treated as a U.S. person.</w:t>
      </w:r>
    </w:p>
    <w:p>
      <w:pPr>
        <w:spacing w:after="0" w:line="176"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This discussion does not address the tax treatment of partnerships or other entities that are pass-through entities for U.S. federal income tax purposes or persons who hold shares of our common stock through partnerships or such other pass-through entities. The tax treatment of a partner in a partnership or other entity that is treated as a pass-through entity for U.S. federal income tax purposes generally will depend upon the status of the partner and the activities of the partnership. A partner in a partnership or other pass-through entity that will hold our common stock should consult his, her or its own tax advisor regarding the tax consequences of the purchase, ownership and disposition of our common stock through a partnership or other pass-through entity, as applicable.</w:t>
      </w:r>
    </w:p>
    <w:p>
      <w:pPr>
        <w:spacing w:after="0" w:line="187"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This discussion is based on current provisions of the U.S. Internal Revenue Code of 1986, as amended, which we refer to as the Code, existing and proposed U.S. Treasury Regulations promulgated thereunder, current administrative rulings and judicial decisions, all as in effect as of the date of this prospectus supplement and all of which are subject to change or to differing interpretation, possibly with retroactive effect. Any change or differing interpretation could alter the tax consequences to non-U.S. holders described in this prospectus supplement. There can be no assurance that the Internal Revenue Service, or the IRS, will not challenge one or more of the tax consequences described in this prospectus supplement.</w:t>
      </w:r>
    </w:p>
    <w:p>
      <w:pPr>
        <w:spacing w:after="0" w:line="183" w:lineRule="exact"/>
        <w:rPr>
          <w:sz w:val="20"/>
          <w:szCs w:val="20"/>
          <w:color w:val="auto"/>
        </w:rPr>
      </w:pPr>
    </w:p>
    <w:p>
      <w:pPr>
        <w:ind w:left="120" w:right="300"/>
        <w:spacing w:after="0" w:line="258" w:lineRule="auto"/>
        <w:rPr>
          <w:sz w:val="20"/>
          <w:szCs w:val="20"/>
          <w:color w:val="auto"/>
        </w:rPr>
      </w:pPr>
      <w:r>
        <w:rPr>
          <w:rFonts w:ascii="Times New Roman" w:cs="Times New Roman" w:eastAsia="Times New Roman" w:hAnsi="Times New Roman"/>
          <w:sz w:val="18"/>
          <w:szCs w:val="18"/>
          <w:color w:val="auto"/>
        </w:rPr>
        <w:t>This discussion addresses only non-U.S. holders that hold shares of our common stock as a capital asset (generally, property held for investment) for U.S. federal income tax purposes. This discussion does not address all aspects of U.S. federal income and estate taxation that may be relevant to a particular non-U.S. holder in light of that non-U.S. holder’s individual circumstances nor does it address any aspects of U.S. state, local or non-U.S. taxes, the alternative minimum tax, or the Medicare tax on net investment income. This discussion also does not consider any specific facts or circumstances that may apply to a non-U.S. holder and does not address the special tax rules applicable to particular non-U.S. holders, such as:</w:t>
      </w:r>
    </w:p>
    <w:p>
      <w:pPr>
        <w:spacing w:after="0" w:line="89" w:lineRule="exact"/>
        <w:rPr>
          <w:sz w:val="20"/>
          <w:szCs w:val="20"/>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or dealers in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 governmental organizations;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 that hold our common stock as part of a straddle, hedge, conversion transaction, synthetic security or other integrated investment or who have elected to mark securities to market;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120"/>
          </w:cols>
          <w:pgMar w:left="320" w:top="455" w:right="45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non-U.S. governments;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passive foreign investment companies;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U.S. expatriates.</w:t>
      </w:r>
    </w:p>
    <w:p>
      <w:pPr>
        <w:spacing w:after="0" w:line="329" w:lineRule="exact"/>
        <w:rPr>
          <w:sz w:val="20"/>
          <w:szCs w:val="20"/>
          <w:color w:val="auto"/>
        </w:rPr>
      </w:pPr>
    </w:p>
    <w:p>
      <w:pPr>
        <w:ind w:left="120" w:right="160"/>
        <w:spacing w:after="0" w:line="262" w:lineRule="auto"/>
        <w:rPr>
          <w:sz w:val="20"/>
          <w:szCs w:val="20"/>
          <w:color w:val="auto"/>
        </w:rPr>
      </w:pPr>
      <w:r>
        <w:rPr>
          <w:rFonts w:ascii="Times New Roman" w:cs="Times New Roman" w:eastAsia="Times New Roman" w:hAnsi="Times New Roman"/>
          <w:sz w:val="18"/>
          <w:szCs w:val="18"/>
          <w:b w:val="1"/>
          <w:bCs w:val="1"/>
          <w:color w:val="auto"/>
        </w:rPr>
        <w:t>THIS DISCUSSION IS FOR INFORMATION ONLY AND IS NOT, AND IS NOT INTENDED TO BE, LEGAL OR TAX ADVICE. PROSPECTIVE INVESTORS SHOULD CONSULT THEIR OWN TAX ADVISORS REGARDING THE U.S. FEDERAL, STATE, LOCAL, ESTATE AND NON-U.S. INCOME AND OTHER TAX CONSIDERATIONS OF ACQUIRING, HOLDING AND DISPOSING OF OUR COMMON STOCK, INCLUDING THE CONSEQUENCES OF ANY PROPOSED CHANGES IN APPLICABLE LAWS.</w:t>
      </w:r>
    </w:p>
    <w:p>
      <w:pPr>
        <w:spacing w:after="0" w:line="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12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As discussed under the heading “Dividend Policy” above, we do not expect to pay cash dividends to holders of our common stock in the foreseeable future. If we make distributions in respect of our common stock, those distributions generally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tax-free return of the non-U.S. holder’s investment, up to the non-U.S. holder’s tax basis in the common stock. Any remaining excess will be treated as capital gain, subject to the tax treatment described below under the heading “Gain on Sale, Exchange or Other Taxable Disposition of Our Common Stock.” Any such distributions will also be subject to the discussions below under the headings “Information Reporting and Backup Withholding” and “FATCA.”</w:t>
      </w:r>
    </w:p>
    <w:p>
      <w:pPr>
        <w:spacing w:after="0" w:line="189"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Dividends paid to a non-U.S. holder generally will be subject to withholding of U.S. federal income tax at a 30% rate or such lower rate as may be specified by an applicable income tax treaty between the United States and such holder’s country of residence.</w:t>
      </w:r>
    </w:p>
    <w:p>
      <w:pPr>
        <w:spacing w:after="0" w:line="16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Dividends that are treated as effectively connected with a trade or business conducted by a non-U.S. holder within the United States, and, if an applicable income tax treaty so provides, that are attributable to a permanent establishment or a fixed base maintained by the non-U.S. holder within the United States, are generally exempt from the 30% withholding tax if the non-U.S. holder satisfies applicable certification and disclosure requirements (generally including provision of a properly executed IRS Form W-8ECI (or applicable successor form) certifying that the dividends are effectively connected with the non-U.S. holder’s conduct of a trade or business within the United States). However, such U.S. effectively connected income is taxed on a net income basis at the same U.S. federal income tax rates applicable to U.S. persons (as defined in the Code). Any U.S. effectively connected income received by a non-U.S. holder that is classified as a corporation for U.S. federal income tax purposes may also, under certain circumstances, be subject to an additional “branch profits tax” at a 30% rate or such lower rate as may be specified by an applicable income tax treaty between the United States and such holder’s country of residence.</w:t>
      </w:r>
    </w:p>
    <w:p>
      <w:pPr>
        <w:spacing w:after="0" w:line="188"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A non-U.S. holder of our common stock who claims the benefit of an applicable income tax treaty between the United States and such holder’s country of residence generally will be required to provide a properly executed IRS Form W-8BEN or W-8BEN-E (or successor form) and satisfy applicable certification and other requirements.</w:t>
      </w:r>
    </w:p>
    <w:p>
      <w:pPr>
        <w:spacing w:after="0" w:line="176"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Non-U.S. holders are urged to consult their own tax advisors regarding their entitlement to benefits under a relevant income tax treaty and the specific methods available to them to satisfy these requirements.</w:t>
      </w:r>
    </w:p>
    <w:p>
      <w:pPr>
        <w:spacing w:after="0" w:line="162"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A non-U.S. holder that is eligible for a reduced rate of U.S. withholding tax under an income tax treaty may obtain a refund or credit of any excess amounts withheld by timely filing an appropriate claim with the IRS.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120"/>
          </w:cols>
          <w:pgMar w:left="320" w:top="455" w:right="45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Gain on Sale, Exchange or Other Taxable Disposition of Our Common Stock</w:t>
      </w:r>
    </w:p>
    <w:p>
      <w:pPr>
        <w:spacing w:after="0" w:line="121"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Subject to the discussion below under the headings “Information Reporting and Backup Withholding” and “FATCA,” a non-U.S. holder generally will not be subject to U.S. federal income tax or withholding tax on any gain realized upon such non-U.S. holder’s sale, exchange or other disposition of our common stock unless:</w:t>
      </w:r>
    </w:p>
    <w:p>
      <w:pPr>
        <w:spacing w:after="0" w:line="81" w:lineRule="exact"/>
        <w:rPr>
          <w:sz w:val="20"/>
          <w:szCs w:val="20"/>
          <w:color w:val="auto"/>
        </w:rPr>
      </w:pPr>
    </w:p>
    <w:p>
      <w:pPr>
        <w:ind w:left="1080" w:right="20" w:hanging="424"/>
        <w:spacing w:after="0" w:line="25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non-U.S. holder’s conduct of a trade or business in the United States, and, if an applicable income tax treaty so provides, the gain is attributable to a permanent establishment or fixed base maintained by the non-U.S. holder in the United States, in which case, the non-U.S. holder generally will be taxed on a net income basis at the U.S. federal income tax rates applicable to U.S. persons with respect to the gain, and, if the non-U.S. holder is a foreign corporation, an additional branch profits tax at a rate of 30% (or a lower rate as may be specified by an applicable income tax treaty between the United States and such holder’s country of residence) may also apply;</w:t>
      </w:r>
    </w:p>
    <w:p>
      <w:pPr>
        <w:spacing w:after="0" w:line="92" w:lineRule="exact"/>
        <w:rPr>
          <w:rFonts w:ascii="Times New Roman" w:cs="Times New Roman" w:eastAsia="Times New Roman" w:hAnsi="Times New Roman"/>
          <w:sz w:val="18"/>
          <w:szCs w:val="18"/>
          <w:color w:val="auto"/>
        </w:rPr>
      </w:pPr>
    </w:p>
    <w:p>
      <w:pPr>
        <w:ind w:left="1080" w:right="100" w:hanging="424"/>
        <w:spacing w:after="0" w:line="261"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 non-resident alien present in the United States for 183 days or more in the taxable year of the disposition and certain other requirements are met, in which case the non-U.S. holder will be subject to a 30% tax (or such lower rate as may be specified by an applicable income tax treaty between the United States and such holder’s country of residence) on the net gain derived from the disposition, which may be offset by certain U.S.-source capital losses of the non-U.S. holder, if any; or</w:t>
      </w:r>
    </w:p>
    <w:p>
      <w:pPr>
        <w:spacing w:after="0" w:line="85" w:lineRule="exact"/>
        <w:rPr>
          <w:rFonts w:ascii="Times New Roman" w:cs="Times New Roman" w:eastAsia="Times New Roman" w:hAnsi="Times New Roman"/>
          <w:sz w:val="18"/>
          <w:szCs w:val="18"/>
          <w:color w:val="auto"/>
        </w:rPr>
      </w:pPr>
    </w:p>
    <w:p>
      <w:pPr>
        <w:ind w:left="1080" w:right="80" w:hanging="424"/>
        <w:spacing w:after="0" w:line="253"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at any time during the five-year period preceding such disposition (or the non-U.S. holder’s holding period, if shorter) a “U.S. real property holding corporation,” unless our common stock is regularly traded on an established securities market and the non-U.S. holder held no more than 5% of our outstanding common stock, directly or indirectly, during the shorter of the five-year period ending on the date of the disposition or the period that the non-U.S. holder held our common stock. If we are determined to be a “U.S. real property holding corporation” and the foregoing exception does not apply, then the non-U.S. holder generally will be taxed on its net gain derived from the disposition at the U.S. federal income tax rates applicable to U.S. persons. Generally, a corporation is a “U.S. real property holding corporation” only if the fair market value of its “U.S. real property interests” (as defined in the Code and applicable Treasury Regulations) equals or exceeds 50% of the sum of the fair market value of its worldwide real property interests plus its other assets used or held for use in a trade or business. Although there can be no assurance, we do not believe that we are, or have been, a “U.S. real property holding corporation” for U.S. federal income tax purposes, or that we are likely to become one in the future. No assurance can be provided that our common stock will be regularly traded on an established securities market for purposes of the rule described above.</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 Federal Estate Tax</w:t>
      </w:r>
    </w:p>
    <w:p>
      <w:pPr>
        <w:spacing w:after="0" w:line="121"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Shares of our common stock that are owned or treated as owned by an individual who is a non-U.S. holder (as specially defined for U.S. federal estate tax purposes) at the time of death are considered U.S.-situs assets and will be included in the individual’s gross estate for U.S. federal estate tax purposes. Such shares, therefore, may be subject to U.S. federal estate tax, unless an applicable estate tax or other treaty provides otherwise.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We must report annually to the IRS and to each non-U.S. holder the gross amount of the distributions on our common stock paid to such holder and the tax withheld, if any, with respect to such distributions. Non-U.S. holders generally will have to comply with specific certification procedures to establish that the holder is not a U.S. person (as defined in the Code) in order to avoid backup withholding at the applicable rate with respect to dividends on our common stock. Generally, a non-U.S. holder will comply with such procedures if it provides a properly executed IRS Form W-8BEN or W-8BEN-E (or other applicable IRS Form W-8), or otherwise meets documentary evidence requirements for establishing that it is a non-U.S. holder, or otherwise establishes an exemption. Dividends paid to non-U.S. holders subject to withholding of U.S. federal income tax, as described above under the heading “—Distributions,” will generally be exempt from U.S. backup withholding.</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100"/>
          </w:cols>
          <w:pgMar w:left="320" w:top="455" w:right="47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Information reporting and backup withholding generally will apply to the proceeds of a disposition of our common stock by a non-U.S. holder effected by or through the U.S. office of any broker, U.S. or non-U.S.,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non-U.S. office of a broker. However, for information reporting purposes, dispositions effected through a non-U.S. office of a broker with substantial U.S. ownership or operations generally will be treated in a manner similar to dispositions effected through a U.S. office of a broker. Non-U.S. holders should consult their own tax advisors regarding the application of the information reporting and backup withholding rules to them.</w:t>
      </w:r>
    </w:p>
    <w:p>
      <w:pPr>
        <w:spacing w:after="0" w:line="189"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Copies of information returns may be made available to the tax authorities of the country in which the non-U.S. holder resides or is incorporated under the provisions of a specific treaty or agreement.</w:t>
      </w:r>
    </w:p>
    <w:p>
      <w:pPr>
        <w:spacing w:after="0" w:line="162" w:lineRule="exact"/>
        <w:rPr>
          <w:sz w:val="20"/>
          <w:szCs w:val="20"/>
          <w:color w:val="auto"/>
        </w:rPr>
      </w:pPr>
    </w:p>
    <w:p>
      <w:pPr>
        <w:jc w:val="both"/>
        <w:ind w:left="120" w:right="320"/>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from a payment to a non-U.S. holder can be refunded or credited against the non-U.S. holder’s U.S. federal income tax liability, if any, provided that an appropriate claim is timely filed with the IRS.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FATCA</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Provisions of the Code commonly referred to as the Foreign Account Tax Compliance Act, or FATCA, generally impose a 30% withholding tax on dividends on, and gross proceeds from the sale or other disposition of, our common stock if paid to a foreign entity unless (i) if the foreign entity is a “foreign financial institution,” the foreign entity undertakes certain due diligence, reporting, withholding and certification obligations, (ii) if the foreign entity is not a “foreign financial institution,” the foreign entity identifies certain of its U.S. investors, if any, or (iii) the foreign entity is otherwise exempt under FATCA.</w:t>
      </w:r>
    </w:p>
    <w:p>
      <w:pPr>
        <w:spacing w:after="0" w:line="183"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Withholding under FATCA generally applies to payments of dividends on our common stock. While withholding under FATCA may also apply to payments of gross proceeds from a sale or other disposition of our common stock, under proposed U.S. Treasury Regulations, withholding on payments of gross proceeds is not required. Although such proposed regulations are not final, applicable withholding agents may rely on the proposed regulations until final regulations are issued.</w:t>
      </w:r>
    </w:p>
    <w:p>
      <w:pPr>
        <w:spacing w:after="0" w:line="180"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If withholding under FATCA is required on any payment related to our common stock, investors not otherwise subject to withholding (or that otherwise would be entitled to a reduced rate of withholding) on such payment may be required to seek a refund or credit from the IRS. An intergovernmental agreement between the United States and an applicable foreign country may modify the requirements described in this section. Non-U.S. holders should consult their own tax advisors regarding the possible implications of FATCA on their investment in our common stock and the entities through which they hold our common stock.</w:t>
      </w:r>
    </w:p>
    <w:p>
      <w:pPr>
        <w:spacing w:after="0" w:line="179" w:lineRule="exact"/>
        <w:rPr>
          <w:sz w:val="20"/>
          <w:szCs w:val="20"/>
          <w:color w:val="auto"/>
        </w:rPr>
      </w:pPr>
    </w:p>
    <w:p>
      <w:pPr>
        <w:ind w:left="120" w:right="420"/>
        <w:spacing w:after="0" w:line="262" w:lineRule="auto"/>
        <w:rPr>
          <w:sz w:val="20"/>
          <w:szCs w:val="20"/>
          <w:color w:val="auto"/>
        </w:rPr>
      </w:pPr>
      <w:r>
        <w:rPr>
          <w:rFonts w:ascii="Times New Roman" w:cs="Times New Roman" w:eastAsia="Times New Roman" w:hAnsi="Times New Roman"/>
          <w:sz w:val="18"/>
          <w:szCs w:val="18"/>
          <w:b w:val="1"/>
          <w:bCs w:val="1"/>
          <w:color w:val="auto"/>
        </w:rPr>
        <w:t>The preceding discussion of material U.S. federal tax considerations is for information only. It is not, and is not intended to be, legal or tax advice. Prospective investors should consult their own tax advisors regarding the particular U.S. federal, state, local, estate and non-U.S. income and other tax consequences of acquiring, holding and disposing of our common stock, including the consequences of any proposed changes in applicable laws.</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120"/>
          </w:cols>
          <w:pgMar w:left="320" w:top="455" w:right="45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SVB Leerink LLC, Piper Sandler &amp; Co. and Credit Suisse Securities (USA) LLC are acting as the representatives of each of the underwriters named below and as joint bookrunning managers for this offering. Subject to the terms and conditions set forth in the underwriting agreement among us and the underwriters, we have agreed to sell to the underwriters, and each of the underwriters has agreed, severally and not jointly, to purchase from us, the number of shares of common stock set forth opposite its name below.</w:t>
      </w:r>
    </w:p>
    <w:p>
      <w:pPr>
        <w:spacing w:after="0" w:line="188"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6460" w:type="dxa"/>
            <w:vAlign w:val="bottom"/>
          </w:tcPr>
          <w:p>
            <w:pPr>
              <w:jc w:val="center"/>
              <w:ind w:left="572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65"/>
        </w:trPr>
        <w:tc>
          <w:tcPr>
            <w:tcW w:w="780" w:type="dxa"/>
            <w:vAlign w:val="bottom"/>
            <w:tcBorders>
              <w:bottom w:val="single" w:sz="8" w:color="auto"/>
            </w:tcBorders>
            <w:vMerge w:val="continue"/>
          </w:tcPr>
          <w:p>
            <w:pPr>
              <w:spacing w:after="0"/>
              <w:rPr>
                <w:sz w:val="13"/>
                <w:szCs w:val="13"/>
                <w:color w:val="auto"/>
              </w:rPr>
            </w:pPr>
          </w:p>
        </w:tc>
        <w:tc>
          <w:tcPr>
            <w:tcW w:w="6460" w:type="dxa"/>
            <w:vAlign w:val="bottom"/>
          </w:tcPr>
          <w:p>
            <w:pPr>
              <w:jc w:val="center"/>
              <w:ind w:left="5748"/>
              <w:spacing w:after="0" w:line="160"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0</wp:posOffset>
            </wp:positionV>
            <wp:extent cx="4749165"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749165" cy="146050"/>
                    </a:xfrm>
                    <a:prstGeom prst="rect">
                      <a:avLst/>
                    </a:prstGeom>
                    <a:noFill/>
                  </pic:spPr>
                </pic:pic>
              </a:graphicData>
            </a:graphic>
          </wp:anchor>
        </w:drawing>
      </w:r>
    </w:p>
    <w:p>
      <w:pPr>
        <w:ind w:left="1880"/>
        <w:spacing w:after="0"/>
        <w:rPr>
          <w:sz w:val="20"/>
          <w:szCs w:val="20"/>
          <w:color w:val="auto"/>
        </w:rPr>
      </w:pPr>
      <w:r>
        <w:rPr>
          <w:rFonts w:ascii="Times New Roman" w:cs="Times New Roman" w:eastAsia="Times New Roman" w:hAnsi="Times New Roman"/>
          <w:sz w:val="18"/>
          <w:szCs w:val="18"/>
          <w:color w:val="auto"/>
        </w:rPr>
        <w:t>SVB Leerink LLC</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Piper Sandler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14605</wp:posOffset>
            </wp:positionV>
            <wp:extent cx="4749165"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3"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Credit Suisse Securities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5715</wp:posOffset>
            </wp:positionV>
            <wp:extent cx="6172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ind w:left="188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17145</wp:posOffset>
            </wp:positionV>
            <wp:extent cx="6172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1722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34290</wp:posOffset>
            </wp:positionV>
            <wp:extent cx="6172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25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Subject to the terms and conditions set forth in the underwriting agreement, the underwriters have agreed, severally and not jointly, to purchase all of the shares sold under the underwriting agreement if any of the shares are purchased. If an underwriter defaults, the underwriting agreement provides that the purchase commitments of the non-defaulting underwriters may be increased or the underwriting agreement may be terminated.</w:t>
      </w:r>
    </w:p>
    <w:p>
      <w:pPr>
        <w:spacing w:after="0" w:line="176"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62" w:lineRule="exact"/>
        <w:rPr>
          <w:sz w:val="20"/>
          <w:szCs w:val="20"/>
          <w:color w:val="auto"/>
        </w:rPr>
      </w:pPr>
    </w:p>
    <w:p>
      <w:pPr>
        <w:ind w:left="120" w:right="280"/>
        <w:spacing w:after="0" w:line="261" w:lineRule="auto"/>
        <w:rPr>
          <w:sz w:val="20"/>
          <w:szCs w:val="20"/>
          <w:color w:val="auto"/>
        </w:rPr>
      </w:pPr>
      <w:r>
        <w:rPr>
          <w:rFonts w:ascii="Times New Roman" w:cs="Times New Roman" w:eastAsia="Times New Roman" w:hAnsi="Times New Roman"/>
          <w:sz w:val="18"/>
          <w:szCs w:val="18"/>
          <w:color w:val="auto"/>
        </w:rPr>
        <w:t>The underwriters are offering the shares, subject to prior sale, when, as and if issued to and accepted by them, subject to approval of legal matters by their counsel, including the validity of the shares, and subject to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Discounts and Commissions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representatives have advised us that the underwriters propose initially to offer the shares to the public at the public offering price set forth on the</w:t>
      </w:r>
    </w:p>
    <w:p>
      <w:pPr>
        <w:spacing w:after="0" w:line="27" w:lineRule="exact"/>
        <w:rPr>
          <w:sz w:val="20"/>
          <w:szCs w:val="20"/>
          <w:color w:val="auto"/>
        </w:rPr>
      </w:pPr>
    </w:p>
    <w:p>
      <w:pPr>
        <w:ind w:left="120" w:right="160"/>
        <w:spacing w:after="0" w:line="260" w:lineRule="auto"/>
        <w:rPr>
          <w:sz w:val="20"/>
          <w:szCs w:val="20"/>
          <w:color w:val="auto"/>
        </w:rPr>
      </w:pPr>
      <w:r>
        <w:rPr>
          <w:rFonts w:ascii="Times New Roman" w:cs="Times New Roman" w:eastAsia="Times New Roman" w:hAnsi="Times New Roman"/>
          <w:sz w:val="18"/>
          <w:szCs w:val="18"/>
          <w:color w:val="auto"/>
        </w:rPr>
        <w:t>cover page of this prospectus supplement and to dealers at that price less a concession not in excess of $ per share. After the initial offering of the shares, the public offering price, concession or any other term of this offering may be changed by the representatives.</w:t>
      </w:r>
    </w:p>
    <w:p>
      <w:pPr>
        <w:spacing w:after="0" w:line="181"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The following table shows the public offering price, underwriting discounts and commissions and proceeds, before expenses, to us. The information assumes either no exercise or full exercise by the underwriters of their option to purchase additional shares of our common stock.</w:t>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6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700" w:type="dxa"/>
            <w:vAlign w:val="bottom"/>
            <w:vMerge w:val="restart"/>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Per</w:t>
            </w: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7"/>
        </w:trPr>
        <w:tc>
          <w:tcPr>
            <w:tcW w:w="46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Borders>
              <w:top w:val="single" w:sz="8" w:color="auto"/>
            </w:tcBorders>
          </w:tcPr>
          <w:p>
            <w:pPr>
              <w:jc w:val="right"/>
              <w:ind w:right="26"/>
              <w:spacing w:after="0" w:line="118" w:lineRule="exact"/>
              <w:rPr>
                <w:sz w:val="20"/>
                <w:szCs w:val="20"/>
                <w:color w:val="auto"/>
              </w:rPr>
            </w:pPr>
            <w:r>
              <w:rPr>
                <w:rFonts w:ascii="Times New Roman" w:cs="Times New Roman" w:eastAsia="Times New Roman" w:hAnsi="Times New Roman"/>
                <w:sz w:val="13"/>
                <w:szCs w:val="13"/>
                <w:b w:val="1"/>
                <w:bCs w:val="1"/>
                <w:color w:val="auto"/>
              </w:rPr>
              <w:t>Without</w:t>
            </w:r>
          </w:p>
        </w:tc>
        <w:tc>
          <w:tcPr>
            <w:tcW w:w="4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With</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6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700" w:type="dxa"/>
            <w:vAlign w:val="bottom"/>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Share</w:t>
            </w:r>
          </w:p>
        </w:tc>
        <w:tc>
          <w:tcPr>
            <w:tcW w:w="420" w:type="dxa"/>
            <w:vAlign w:val="bottom"/>
          </w:tcPr>
          <w:p>
            <w:pPr>
              <w:spacing w:after="0"/>
              <w:rPr>
                <w:sz w:val="15"/>
                <w:szCs w:val="15"/>
                <w:color w:val="auto"/>
              </w:rPr>
            </w:pPr>
          </w:p>
        </w:tc>
        <w:tc>
          <w:tcPr>
            <w:tcW w:w="680" w:type="dxa"/>
            <w:vAlign w:val="bottom"/>
          </w:tcPr>
          <w:p>
            <w:pPr>
              <w:jc w:val="right"/>
              <w:ind w:right="66"/>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420" w:type="dxa"/>
            <w:vAlign w:val="bottom"/>
          </w:tcPr>
          <w:p>
            <w:pPr>
              <w:spacing w:after="0"/>
              <w:rPr>
                <w:sz w:val="15"/>
                <w:szCs w:val="15"/>
                <w:color w:val="auto"/>
              </w:rPr>
            </w:pP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0" w:type="dxa"/>
            <w:vAlign w:val="bottom"/>
          </w:tcPr>
          <w:p>
            <w:pPr>
              <w:spacing w:after="0"/>
              <w:rPr>
                <w:sz w:val="1"/>
                <w:szCs w:val="1"/>
                <w:color w:val="auto"/>
              </w:rPr>
            </w:pPr>
          </w:p>
        </w:tc>
      </w:tr>
      <w:tr>
        <w:trPr>
          <w:trHeight w:val="210"/>
        </w:trPr>
        <w:tc>
          <w:tcPr>
            <w:tcW w:w="4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6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44"/>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526"/>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526"/>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w:t>
            </w:r>
          </w:p>
        </w:tc>
        <w:tc>
          <w:tcPr>
            <w:tcW w:w="2340" w:type="dxa"/>
            <w:vAlign w:val="bottom"/>
            <w:gridSpan w:val="2"/>
          </w:tcPr>
          <w:p>
            <w:pPr>
              <w:jc w:val="right"/>
              <w:ind w:right="54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52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526"/>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2340" w:type="dxa"/>
            <w:vAlign w:val="bottom"/>
            <w:gridSpan w:val="2"/>
            <w:shd w:val="clear" w:color="auto" w:fill="CCEEFF"/>
          </w:tcPr>
          <w:p>
            <w:pPr>
              <w:jc w:val="right"/>
              <w:ind w:right="54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52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526"/>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We estimate expenses payable by us in connection with this offering, other than the underwriting discounts and commissions referred to above, will be approximately $ . We also have agreed to reimburse the underwriters for up to $10,000 for their FINRA counsel fee. In accordance with FINRA Rule 5110, this reimbursed fee is deemed underwriting compensation for this offering.</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100"/>
          </w:cols>
          <w:pgMar w:left="320" w:top="455" w:right="47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Option to Purchase Additional Shares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granted an option to the underwriters, exercisable for 30 days after the date of this prospectus supplement, to purchase up to</w:t>
      </w:r>
    </w:p>
    <w:p>
      <w:pPr>
        <w:spacing w:after="0" w:line="27" w:lineRule="exact"/>
        <w:rPr>
          <w:sz w:val="20"/>
          <w:szCs w:val="20"/>
          <w:color w:val="auto"/>
        </w:rPr>
      </w:pPr>
    </w:p>
    <w:p>
      <w:pPr>
        <w:jc w:val="both"/>
        <w:ind w:left="120" w:right="300"/>
        <w:spacing w:after="0" w:line="255" w:lineRule="auto"/>
        <w:rPr>
          <w:sz w:val="20"/>
          <w:szCs w:val="20"/>
          <w:color w:val="auto"/>
        </w:rPr>
      </w:pPr>
      <w:r>
        <w:rPr>
          <w:rFonts w:ascii="Times New Roman" w:cs="Times New Roman" w:eastAsia="Times New Roman" w:hAnsi="Times New Roman"/>
          <w:sz w:val="18"/>
          <w:szCs w:val="18"/>
          <w:color w:val="auto"/>
        </w:rPr>
        <w:t>additional shares at the public offering price, less underwriting discounts and commissions. If the underwriters exercise this option, each underwriter will be obligated, subject to the conditions contained in the underwriting agreement, to purchase a number of additional shares proportionate to that underwriter’s initial amount reflected in the above table.</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Sales of Similar Securities</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We, our executive officers and directors and certain of our other existing security holders have agreed not to sell or transfer any common stock or securities convertible into or exchangeable or exercisable for common stock, for 90 days after the date of this prospectus supplement without first obtaining the written consent of SVB Leerink LLC and Piper Sandler &amp; Co. on behalf of the underwriters. Specifically, we and these other persons have agreed, with certain limited exceptions, not to directly or indirectly:</w:t>
      </w:r>
    </w:p>
    <w:p>
      <w:pPr>
        <w:spacing w:after="0" w:line="85" w:lineRule="exact"/>
        <w:rPr>
          <w:sz w:val="20"/>
          <w:szCs w:val="20"/>
          <w:color w:val="auto"/>
        </w:rPr>
      </w:pPr>
    </w:p>
    <w:p>
      <w:pPr>
        <w:ind w:left="1080" w:right="20" w:hanging="424"/>
        <w:spacing w:after="0" w:line="261"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 or make any public announcement of an intention to do any of the foregoing;</w:t>
      </w:r>
    </w:p>
    <w:p>
      <w:pPr>
        <w:spacing w:after="0" w:line="85"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or demand filing of, any registration statement with the SEC relating to the offering of any shares of common stock or any securities convertible into or exercisable or exchangeable for common stock; or</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or other arrangement that transfers to another, in whole or in part, any of the economic consequences of ownership of the common stock,</w:t>
      </w:r>
    </w:p>
    <w:p>
      <w:pPr>
        <w:spacing w:after="0" w:line="162"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whether any such transaction described above is to be settled by delivery of common stock or such other securities, in cash or otherwise. In addition, we and each such person agrees that, without the prior written consent of the underwriters, we or such other person will not, during the restricted period, make any demand for, or exercise any right with respect to, the registration of any shares of common stock or any security convertible into or exercisable or exchangeable for common stock.</w:t>
      </w:r>
    </w:p>
    <w:p>
      <w:pPr>
        <w:spacing w:after="0" w:line="180"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restrictions on transfers or other dispositions by holders of our outstanding securities described in the immediately preceding paragraph do not apply to:</w:t>
      </w:r>
    </w:p>
    <w:p>
      <w:pPr>
        <w:spacing w:after="0" w:line="67" w:lineRule="exact"/>
        <w:rPr>
          <w:sz w:val="20"/>
          <w:szCs w:val="20"/>
          <w:color w:val="auto"/>
        </w:rPr>
      </w:pPr>
    </w:p>
    <w:p>
      <w:pPr>
        <w:ind w:left="1080" w:right="100" w:hanging="424"/>
        <w:spacing w:after="0" w:line="266"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relating to shares of common stock or other securities acquired in this offering or in open market transactions after the completion of this offering, provided that no filing under Section 16(a) of the Exchange Act shall be required or shall be voluntarily made in connection with subsequent sales of common stock or other securities acquired in such open market transactions;</w:t>
      </w:r>
    </w:p>
    <w:p>
      <w:pPr>
        <w:spacing w:after="0" w:line="81"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shares of common stock or any security convertible into or exercisable or exchangeable for common stock as a bona fide gift or gifts, or to a charitable organization or educational institution in a transaction not involving a disposition for value;</w:t>
      </w:r>
    </w:p>
    <w:p>
      <w:pPr>
        <w:spacing w:after="0" w:line="67"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shares of common stock or any security convertible into or exercisable or exchangeable for common stock to any member of the immediate family of the signatory or any trust for the direct or indirect benefit of the signatory or the immediate family of the signatory in a transaction not involving a disposition for value;</w:t>
      </w:r>
    </w:p>
    <w:p>
      <w:pPr>
        <w:spacing w:after="0" w:line="81" w:lineRule="exact"/>
        <w:rPr>
          <w:rFonts w:ascii="Times New Roman" w:cs="Times New Roman" w:eastAsia="Times New Roman" w:hAnsi="Times New Roman"/>
          <w:sz w:val="18"/>
          <w:szCs w:val="18"/>
          <w:color w:val="auto"/>
        </w:rPr>
      </w:pPr>
    </w:p>
    <w:p>
      <w:pPr>
        <w:ind w:left="1080" w:right="220" w:hanging="424"/>
        <w:spacing w:after="0" w:line="261"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shares of common stock or any security convertible into or exercisable or exchangeable for common stock (i) by will, other testamentary document or intestate succession to the legal representative, heir, beneficiary or a member of the immediate family of the signatory upon the death of the signatory or (ii) solely by operation of law pursuant to a qualified domestic order or in connection with a divorce settlement;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120"/>
          </w:cols>
          <w:pgMar w:left="320" w:top="455" w:right="45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right="20" w:hanging="424"/>
        <w:spacing w:after="0" w:line="26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signatory is an entity, transfers or distributions of shares of common stock or any security convertible into common stock to general or limited partners, members or stockholders of the signatory, the signatory’s direct and indirect affiliates, or to an investment fund or other entity that controls or manages, or is under common control with, the signatory;</w:t>
      </w:r>
    </w:p>
    <w:p>
      <w:pPr>
        <w:spacing w:after="0" w:line="81"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or dispositions of shares of common stock or any security convertible into or exercisable or exchangeable for common stock to us pursuant to any contractual arrangement in effect on the date of the lock-up agreement and disclosed to the underwriters that provides for the repurchase of the signatory’s common stock or other securities by us or in connection with the termination of the signatory’s employment with or service to us; provided that, subject to certain limited exceptions, no filing under Section 16(a) of the Exchange Act reporting a reduction in beneficial ownership of shares of common stock shall be required or shall be voluntarily made during the restricted period in connection with any such transfers or dispositions;</w:t>
      </w:r>
    </w:p>
    <w:p>
      <w:pPr>
        <w:spacing w:after="0" w:line="92" w:lineRule="exact"/>
        <w:rPr>
          <w:rFonts w:ascii="Times New Roman" w:cs="Times New Roman" w:eastAsia="Times New Roman" w:hAnsi="Times New Roman"/>
          <w:sz w:val="18"/>
          <w:szCs w:val="18"/>
          <w:color w:val="auto"/>
        </w:rPr>
      </w:pPr>
    </w:p>
    <w:p>
      <w:pPr>
        <w:ind w:left="1080" w:right="40" w:hanging="424"/>
        <w:spacing w:after="0" w:line="258"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of stock options to purchase shares of common stock granted under plans described in this prospectus and any related transfer to us of shares of common stock, subject to certain limitations, including that any shares of common stock received upon exercise shall be subject to the restrictions on transfer set forth in the lock-up agreement; provided that, subject to certain limited exceptions, no filing under Section 16(a) of the Exchange Act reporting a reduction in beneficial ownership of shares of common stock shall be required or shall be voluntarily made during the restricted period;</w:t>
      </w:r>
    </w:p>
    <w:p>
      <w:pPr>
        <w:spacing w:after="0" w:line="88" w:lineRule="exact"/>
        <w:rPr>
          <w:rFonts w:ascii="Times New Roman" w:cs="Times New Roman" w:eastAsia="Times New Roman" w:hAnsi="Times New Roman"/>
          <w:sz w:val="18"/>
          <w:szCs w:val="18"/>
          <w:color w:val="auto"/>
        </w:rPr>
      </w:pPr>
    </w:p>
    <w:p>
      <w:pPr>
        <w:ind w:left="1080" w:right="160" w:hanging="424"/>
        <w:spacing w:after="0" w:line="258"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of a trading plan pursuant to Rule 10b5-1 under the Exchange Act for the transfer of shares of common stock, provided that (i) such plan does not provide for the transfer of common stock during the restricted period and (ii) to the extent a public announcement or filing under the Exchange Act, if any, is required of or voluntarily made regarding the establishment of such plan, such announcement or filing shall include a statement to the effect that no transfer of common stock may be made under such plan during the restricted period;</w:t>
      </w:r>
    </w:p>
    <w:p>
      <w:pPr>
        <w:spacing w:after="0" w:line="88" w:lineRule="exact"/>
        <w:rPr>
          <w:rFonts w:ascii="Times New Roman" w:cs="Times New Roman" w:eastAsia="Times New Roman" w:hAnsi="Times New Roman"/>
          <w:sz w:val="18"/>
          <w:szCs w:val="18"/>
          <w:color w:val="auto"/>
        </w:rPr>
      </w:pPr>
    </w:p>
    <w:p>
      <w:pPr>
        <w:jc w:val="both"/>
        <w:ind w:left="1080" w:right="28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shares of common stock pursuant to a trading plan established pursuant to Rule 10b5-1 under the Exchange Act prior to the date hereof, which trading plan shall not be amended during the restricted period but may be terminated during the restricted period; or</w:t>
      </w:r>
    </w:p>
    <w:p>
      <w:pPr>
        <w:spacing w:after="0" w:line="67" w:lineRule="exact"/>
        <w:rPr>
          <w:rFonts w:ascii="Times New Roman" w:cs="Times New Roman" w:eastAsia="Times New Roman" w:hAnsi="Times New Roman"/>
          <w:sz w:val="18"/>
          <w:szCs w:val="18"/>
          <w:color w:val="auto"/>
        </w:rPr>
      </w:pPr>
    </w:p>
    <w:p>
      <w:pPr>
        <w:ind w:left="1080" w:right="40" w:hanging="424"/>
        <w:spacing w:after="0" w:line="258"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transfers of shares of common stock (or any securities convertible into or exercisable or exchangeable for common stock) pursuant to a bona fide third-party tender offer for shares of our capital stock made to all holders of securities, merger, consolidation or other similar transaction approved by our board of directors the result of which is a change of control or (ii) entry into any lock-up, voting or similar agreement pursuant to which the signatory may agree to transfer, sell, tender or otherwise dispose of shares of common stock or such other securities in connection with such a change of control;</w:t>
      </w:r>
    </w:p>
    <w:p>
      <w:pPr>
        <w:spacing w:after="0" w:line="183" w:lineRule="exact"/>
        <w:rPr>
          <w:sz w:val="20"/>
          <w:szCs w:val="20"/>
          <w:color w:val="auto"/>
        </w:rPr>
      </w:pPr>
    </w:p>
    <w:p>
      <w:pPr>
        <w:ind w:left="120" w:right="260"/>
        <w:spacing w:after="0" w:line="256" w:lineRule="auto"/>
        <w:rPr>
          <w:sz w:val="20"/>
          <w:szCs w:val="20"/>
          <w:color w:val="auto"/>
        </w:rPr>
      </w:pPr>
      <w:r>
        <w:rPr>
          <w:rFonts w:ascii="Times New Roman" w:cs="Times New Roman" w:eastAsia="Times New Roman" w:hAnsi="Times New Roman"/>
          <w:sz w:val="18"/>
          <w:szCs w:val="18"/>
          <w:color w:val="auto"/>
        </w:rPr>
        <w:t>provided that in the case of any transfer, disposition or distribution pursuant to the second, third, fourth or fifth bullet (i) each transferee, donee or distributee shall agree to be subject to the restrictions described in the immediately preceding paragraph and (ii) no filing under Section 16(a) of the Exchange Act, reporting a reduction in beneficial ownership of shares of common stock, shall be required or shall be voluntarily made during the restricted period (other than, in the case of a transfer or other disposition pursuant to the third bullet above, any Form 4 or Form 5 required to be filed under the Exchange Act if the signatory is subject to Section 16 reporting with respect to us under the Exchange Act and indicating by footnote disclosure or otherwise the nature of the transfer or disposition).</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restrictions on transfers or other dispositions by us described in the paragraph above do not apply to:</w:t>
      </w:r>
    </w:p>
    <w:p>
      <w:pPr>
        <w:spacing w:after="0" w:line="131" w:lineRule="exact"/>
        <w:rPr>
          <w:sz w:val="20"/>
          <w:szCs w:val="20"/>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to be sold in this offering;</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by us of shares of common stock upon the exercise of an option or a warrant or the conversion of a security outstanding on the date of this prospectus pursuant to stock plans disclosed in this prospectus;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120"/>
          </w:cols>
          <w:pgMar w:left="320" w:top="455" w:right="45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080" w:right="80" w:hanging="424"/>
        <w:spacing w:after="0" w:line="289" w:lineRule="auto"/>
        <w:tabs>
          <w:tab w:leader="none" w:pos="108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grant by us of any options to purchase shares of common stock or other awards granted under a stock incentive plan or stock purchase plan described in this prospectus, and the issuance by us of shares of common stock upon the exercise thereof, provided that we will cause each recipient of such grant to execute and deliver to the underwriters a lock-up agreement if such recipient has not already delivered one;</w:t>
      </w:r>
    </w:p>
    <w:p>
      <w:pPr>
        <w:spacing w:after="0" w:line="63" w:lineRule="exact"/>
        <w:rPr>
          <w:rFonts w:ascii="Times New Roman" w:cs="Times New Roman" w:eastAsia="Times New Roman" w:hAnsi="Times New Roman"/>
          <w:sz w:val="17"/>
          <w:szCs w:val="17"/>
          <w:color w:val="auto"/>
        </w:rPr>
      </w:pPr>
    </w:p>
    <w:p>
      <w:pPr>
        <w:ind w:left="1080" w:right="22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by the us of any registration statement on Form S-8 or a successor form thereto relating to the shares of common stock granted pursuant to or reserved for issuance under a stock incentive plan or stock purchase plan described in this prospectus; or</w:t>
      </w:r>
    </w:p>
    <w:p>
      <w:pPr>
        <w:spacing w:after="0" w:line="67" w:lineRule="exact"/>
        <w:rPr>
          <w:rFonts w:ascii="Times New Roman" w:cs="Times New Roman" w:eastAsia="Times New Roman" w:hAnsi="Times New Roman"/>
          <w:sz w:val="18"/>
          <w:szCs w:val="18"/>
          <w:color w:val="auto"/>
        </w:rPr>
      </w:pPr>
    </w:p>
    <w:p>
      <w:pPr>
        <w:ind w:left="1080" w:right="20" w:hanging="424"/>
        <w:spacing w:after="0" w:line="258"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or other securities issued in connection with a joint venture, equipment leasing arrangement, licensing or collaboration transaction or other strategic transaction with an unaffiliated third party, provided that (x) the aggregate number of shares issued pursuant to this exception will not exceed 5% of the total number of outstanding shares of common stock immediately following the issuance and sale of the shares to be sold in this offering and (y) the recipient of any such shares of common stock and securities issued pursuant to this exception during the restricted period will enter into a lock-up agreement.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Nasdaq Global Market Listing</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common stock is listed on the Nasdaq Global Market under the symbol “FULC.”</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Price Stabilization, Short Positions and Penalty Bids</w:t>
      </w:r>
    </w:p>
    <w:p>
      <w:pPr>
        <w:spacing w:after="0" w:line="121"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Until the distribution of the shares is completed, SEC rules may limit underwriters and selling group members from bidding for and purchasing our common stock. However, the representatives may engage in transactions that stabilize the price of the common stock, such as bids or purchases to peg, fix or maintain that price.</w:t>
      </w:r>
    </w:p>
    <w:p>
      <w:pPr>
        <w:spacing w:after="0" w:line="176"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In connection with this offering, the underwriters may purchase and sell our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this offering. “Covered” short sales are sales made in an amount not greater than the underwriters’ option to purchase additional shares described above.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to purchase additional shares granted to them under the underwriting agreement described above. “Naked” short sales are sales in excess of such option.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this offering. Stabilizing transactions consist of various bids for or purchases of shares of common stock made by the underwriters in the open market prior to the closing of this offering.</w:t>
      </w:r>
    </w:p>
    <w:p>
      <w:pPr>
        <w:spacing w:after="0" w:line="192" w:lineRule="exact"/>
        <w:rPr>
          <w:sz w:val="20"/>
          <w:szCs w:val="20"/>
          <w:color w:val="auto"/>
        </w:rPr>
      </w:pPr>
    </w:p>
    <w:p>
      <w:pPr>
        <w:ind w:left="120" w:right="400"/>
        <w:spacing w:after="0" w:line="266" w:lineRule="auto"/>
        <w:rPr>
          <w:sz w:val="20"/>
          <w:szCs w:val="20"/>
          <w:color w:val="auto"/>
        </w:rPr>
      </w:pPr>
      <w:r>
        <w:rPr>
          <w:rFonts w:ascii="Times New Roman" w:cs="Times New Roman" w:eastAsia="Times New Roman" w:hAnsi="Times New Roman"/>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76"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underwriters may conduct these transactions on the Nasdaq Global Market, in the over-the-counter market or otherwise.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120"/>
          </w:cols>
          <w:pgMar w:left="320" w:top="455" w:right="45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520"/>
        <w:spacing w:after="0" w:line="266" w:lineRule="auto"/>
        <w:rPr>
          <w:sz w:val="20"/>
          <w:szCs w:val="20"/>
          <w:color w:val="auto"/>
        </w:rPr>
      </w:pPr>
      <w:r>
        <w:rPr>
          <w:rFonts w:ascii="Times New Roman" w:cs="Times New Roman" w:eastAsia="Times New Roman" w:hAnsi="Times New Roman"/>
          <w:sz w:val="18"/>
          <w:szCs w:val="18"/>
          <w:color w:val="auto"/>
        </w:rPr>
        <w:t>Neither we nor any of the underwriters make any representation or prediction as to the direction or magnitude of any effect that the transactions described above may have on the price of our common stock. In addition, neither we nor any of the underwriters make any representation that the representatives will engage in these transactions or that these transactions, once commenced, will not be discontinued without notice.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Electronic Distribution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connection with this offering, certain of the underwriters or securities dealers may distribute prospectuses by electronic means, such as e-mail.</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21"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Some of the underwriters and certain of their affiliates may in the future engage in investment banking and other commercial dealings in the ordinary course of business with us and our affiliates, for which they may in the future receive customary fees, commissions and expenses.</w:t>
      </w:r>
    </w:p>
    <w:p>
      <w:pPr>
        <w:spacing w:after="0" w:line="156"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European Economic Area and the United Kingdom</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and the United Kingdom ,each referred to here as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89" w:lineRule="exact"/>
        <w:rPr>
          <w:sz w:val="20"/>
          <w:szCs w:val="20"/>
          <w:color w:val="auto"/>
        </w:rPr>
      </w:pPr>
    </w:p>
    <w:p>
      <w:pPr>
        <w:ind w:left="1080" w:hanging="532"/>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the Prospectus Regulation;</w:t>
      </w:r>
    </w:p>
    <w:p>
      <w:pPr>
        <w:spacing w:after="0" w:line="130" w:lineRule="exact"/>
        <w:rPr>
          <w:rFonts w:ascii="Times New Roman" w:cs="Times New Roman" w:eastAsia="Times New Roman" w:hAnsi="Times New Roman"/>
          <w:sz w:val="18"/>
          <w:szCs w:val="18"/>
          <w:color w:val="auto"/>
        </w:rPr>
      </w:pPr>
    </w:p>
    <w:p>
      <w:pPr>
        <w:ind w:left="1080" w:right="100" w:hanging="532"/>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Prospectus Regulation), subject to obtaining the prior consent of the underwriters for any such offer;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223" w:lineRule="exact"/>
        <w:rPr>
          <w:sz w:val="20"/>
          <w:szCs w:val="20"/>
          <w:color w:val="auto"/>
        </w:rPr>
      </w:pPr>
    </w:p>
    <w:p>
      <w:pPr>
        <w:ind w:left="120" w:right="8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 such offer of shares shall require us or any of the underwriters to publish a prospectus pursuant to Article 3 of the Prospectus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Regulation or supplement a prospectus pursuant to Article 23 of the Prospectus Regulation.</w:t>
      </w:r>
    </w:p>
    <w:p>
      <w:pPr>
        <w:spacing w:after="0" w:line="120"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Each person in a Relevant State who initially acquires any shares or to whom any offer is made will be deemed to have represented, acknowledged and agreed to and with us and the underwriters that it is a qualified investor within the meaning of the Prospectus Regulation and each person who initially acquires any shares or to whom any offer is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120"/>
          </w:cols>
          <w:pgMar w:left="320" w:top="455" w:right="45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made will be deemed to have represented, acknowledged and agreed to and with each of the underwriters and us that it is a “qualified investor” within the meaning of Article 2(e) of the Prospectus Regulation.</w:t>
      </w:r>
    </w:p>
    <w:p>
      <w:pPr>
        <w:spacing w:after="0" w:line="135"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 the case of any shares being offered to a financial intermediary as that term is used in Article 5(1)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to the public other than their offer or resale in a Relevant State to qualified investors, in circumstances in which the prior consent of the representatives has been obtained to each such proposed offer or resale.</w:t>
      </w:r>
    </w:p>
    <w:p>
      <w:pPr>
        <w:spacing w:after="0" w:line="183"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We, the underwriters and each of our and the underwriters’ respective affiliates will rely upon the truth and accuracy of the foregoing representations, acknowledgements and agreements.</w:t>
      </w:r>
    </w:p>
    <w:p>
      <w:pPr>
        <w:spacing w:after="0" w:line="162"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 as amended.</w:t>
      </w:r>
    </w:p>
    <w:p>
      <w:pPr>
        <w:spacing w:after="0" w:line="176"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References to the Prospectus Regulation include, in relation to the United Kingdom, the Prospectus Regulation as it forms part of United Kingdom domestic law by virtue of the European Union (Withdrawal) Act 2018, as amended.</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above selling restriction is in addition to any other selling restrictions set out below.</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United Kingdom</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In addition, in the United Kingdom, this document is being distributed only to, and is directed only at, and any offer subsequently made may only be directed at persons who are “qualified investors” (as defined in the Prospectus Regulation) (i) who have professional experience in matters relating to investments falling within Article 19(5) of the Financial Services and Markets Act 2000 (Financial Promotion) Order 2005, as amended, or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Financial Services and Markets Act 2000, as amended.</w:t>
      </w:r>
    </w:p>
    <w:p>
      <w:pPr>
        <w:spacing w:after="0" w:line="187"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Canada</w:t>
      </w:r>
    </w:p>
    <w:p>
      <w:pPr>
        <w:spacing w:after="0" w:line="121"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80"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080"/>
          </w:cols>
          <w:pgMar w:left="320" w:top="455" w:right="49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62"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9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000"/>
          </w:cols>
          <w:pgMar w:left="320" w:top="455" w:right="57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700"/>
        <w:spacing w:after="0" w:line="282" w:lineRule="auto"/>
        <w:rPr>
          <w:sz w:val="20"/>
          <w:szCs w:val="20"/>
          <w:color w:val="auto"/>
        </w:rPr>
      </w:pPr>
      <w:r>
        <w:rPr>
          <w:rFonts w:ascii="Times New Roman" w:cs="Times New Roman" w:eastAsia="Times New Roman" w:hAnsi="Times New Roman"/>
          <w:sz w:val="18"/>
          <w:szCs w:val="18"/>
          <w:color w:val="auto"/>
        </w:rPr>
        <w:t>The validity of the shares of common stock offered hereby is being passed upon for us by Wilmer Cutler Pickering Hale and Dorr LLP, Boston, Massachusetts. Ropes &amp; Gray LLP, Boston, Massachusetts is acting as counsel for the underwriters in connection with this offering.</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Fulcrum Therapeutics, Inc. appearing in Fulcrum Therapeutics, Inc.’s Annual Report (Form 10-K) for the year ended December 31, 2019,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Our SEC filings are available to the public over the Internet at the SEC’s website at http://www.sec.gov. Copies of certain information filed by us with the SEC are also available on our website at http://www.fulcrumtx.com. Our website is not a part of this prospectus supplement and is not incorporated by reference in this prospectus supplement.</w:t>
      </w:r>
    </w:p>
    <w:p>
      <w:pPr>
        <w:spacing w:after="0" w:line="176"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This prospectus supplement is part of a registration statement that we filed with the SEC. The registration statement contains more information than this prospectus supplement and the accompanying prospectus regarding us and the securities, including certain exhibits and schedules. You can obtain a copy of the registration statement from the SEC’s internet site.</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left="120" w:right="120"/>
        <w:spacing w:after="0" w:line="253"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prospectus supplement and the accompanying prospectus much of the information we file with the SEC, which means that we can disclose important information to you by referring you to those publicly available documents. The information that we incorporate by reference into this prospectus supplement and the accompanying prospectus is considered to be part of this prospectus supplement and the accompanying prospectus. Because we are incorporating by reference future filings with the SEC, this prospectus supplement and the accompanying prospectus is continually updated and those future filings may modify or supersede some of the information included or incorporated in this prospectus supplement and the accompanying prospectus. This means that you must look at all of the SEC filings that we incorporate by reference to determine if any of the statements in this prospectus supplement, the accompanying prospectus or in any document previously incorporated by reference have been modified or superseded. This prospectus supplement and the accompanying prospectus incorporate by reference the documents listed below (File No. 001-38978) and any future filings we make with the SEC under Sections 13(a), 13(c), 14 or 15(d) of the Securities Exchange Act of 1934, as amended (in each case, other than those documents or the portions of those documents not deemed to be filed), until the offering of the securities under the registration statement is terminated or completed:</w:t>
      </w:r>
    </w:p>
    <w:p>
      <w:pPr>
        <w:spacing w:after="0" w:line="97" w:lineRule="exact"/>
        <w:rPr>
          <w:sz w:val="20"/>
          <w:szCs w:val="20"/>
          <w:color w:val="auto"/>
        </w:rPr>
      </w:pPr>
    </w:p>
    <w:p>
      <w:pPr>
        <w:ind w:left="540" w:right="140" w:hanging="316"/>
        <w:spacing w:after="0" w:line="282" w:lineRule="auto"/>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w:t>
      </w:r>
      <w:hyperlink r:id="rId51">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fiscal year ended December 31, 2019, including the information specifically incorporated by reference into the Annual Report on Form 10-K from our </w:t>
      </w:r>
      <w:hyperlink r:id="rId52">
        <w:r>
          <w:rPr>
            <w:rFonts w:ascii="Times New Roman" w:cs="Times New Roman" w:eastAsia="Times New Roman" w:hAnsi="Times New Roman"/>
            <w:sz w:val="18"/>
            <w:szCs w:val="18"/>
            <w:u w:val="single" w:color="auto"/>
            <w:color w:val="0000EE"/>
          </w:rPr>
          <w:t>definitive proxy statement</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2020 Annual Meeting of Stockholders;</w:t>
      </w:r>
    </w:p>
    <w:p>
      <w:pPr>
        <w:spacing w:after="0" w:line="6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Quarterly Reports on Form 10-Q for the fiscal quarters ended </w:t>
      </w:r>
      <w:hyperlink r:id="rId53">
        <w:r>
          <w:rPr>
            <w:rFonts w:ascii="Times New Roman" w:cs="Times New Roman" w:eastAsia="Times New Roman" w:hAnsi="Times New Roman"/>
            <w:sz w:val="18"/>
            <w:szCs w:val="18"/>
            <w:u w:val="single" w:color="auto"/>
            <w:color w:val="0000EE"/>
          </w:rPr>
          <w:t>March 31, 2020</w:t>
        </w:r>
      </w:hyperlink>
      <w:r>
        <w:rPr>
          <w:rFonts w:ascii="Times New Roman" w:cs="Times New Roman" w:eastAsia="Times New Roman" w:hAnsi="Times New Roman"/>
          <w:sz w:val="18"/>
          <w:szCs w:val="18"/>
          <w:color w:val="auto"/>
        </w:rPr>
        <w:t xml:space="preserve">, </w:t>
      </w:r>
      <w:hyperlink r:id="rId54">
        <w:r>
          <w:rPr>
            <w:rFonts w:ascii="Times New Roman" w:cs="Times New Roman" w:eastAsia="Times New Roman" w:hAnsi="Times New Roman"/>
            <w:sz w:val="18"/>
            <w:szCs w:val="18"/>
            <w:u w:val="single" w:color="auto"/>
            <w:color w:val="0000EE"/>
          </w:rPr>
          <w:t>June 30, 2020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55">
        <w:r>
          <w:rPr>
            <w:rFonts w:ascii="Times New Roman" w:cs="Times New Roman" w:eastAsia="Times New Roman" w:hAnsi="Times New Roman"/>
            <w:sz w:val="18"/>
            <w:szCs w:val="18"/>
            <w:u w:val="single" w:color="auto"/>
            <w:color w:val="0000EE"/>
          </w:rPr>
          <w:t>September 30, 2020</w:t>
        </w:r>
      </w:hyperlink>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140"/>
          </w:cols>
          <w:pgMar w:left="320" w:top="455" w:right="4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40" w:right="80" w:hanging="316"/>
        <w:spacing w:after="0" w:line="282" w:lineRule="auto"/>
        <w:tabs>
          <w:tab w:leader="none" w:pos="540" w:val="left"/>
        </w:tabs>
        <w:numPr>
          <w:ilvl w:val="0"/>
          <w:numId w:val="20"/>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Current Reports on Form 8-K filed on </w:t>
      </w:r>
      <w:hyperlink r:id="rId57">
        <w:r>
          <w:rPr>
            <w:rFonts w:ascii="Times New Roman" w:cs="Times New Roman" w:eastAsia="Times New Roman" w:hAnsi="Times New Roman"/>
            <w:sz w:val="18"/>
            <w:szCs w:val="18"/>
            <w:u w:val="single" w:color="auto"/>
            <w:color w:val="0000EE"/>
          </w:rPr>
          <w:t>January 6, 2020</w:t>
        </w:r>
      </w:hyperlink>
      <w:r>
        <w:rPr>
          <w:rFonts w:ascii="Times New Roman" w:cs="Times New Roman" w:eastAsia="Times New Roman" w:hAnsi="Times New Roman"/>
          <w:sz w:val="18"/>
          <w:szCs w:val="18"/>
          <w:color w:val="auto"/>
        </w:rPr>
        <w:t xml:space="preserve">, </w:t>
      </w:r>
      <w:hyperlink r:id="rId58">
        <w:r>
          <w:rPr>
            <w:rFonts w:ascii="Times New Roman" w:cs="Times New Roman" w:eastAsia="Times New Roman" w:hAnsi="Times New Roman"/>
            <w:sz w:val="18"/>
            <w:szCs w:val="18"/>
            <w:u w:val="single" w:color="auto"/>
            <w:color w:val="0000EE"/>
          </w:rPr>
          <w:t>April 2, 2020</w:t>
        </w:r>
      </w:hyperlink>
      <w:r>
        <w:rPr>
          <w:rFonts w:ascii="Times New Roman" w:cs="Times New Roman" w:eastAsia="Times New Roman" w:hAnsi="Times New Roman"/>
          <w:sz w:val="18"/>
          <w:szCs w:val="18"/>
          <w:color w:val="auto"/>
        </w:rPr>
        <w:t xml:space="preserve">, </w:t>
      </w:r>
      <w:hyperlink r:id="rId59">
        <w:r>
          <w:rPr>
            <w:rFonts w:ascii="Times New Roman" w:cs="Times New Roman" w:eastAsia="Times New Roman" w:hAnsi="Times New Roman"/>
            <w:sz w:val="18"/>
            <w:szCs w:val="18"/>
            <w:u w:val="single" w:color="auto"/>
            <w:color w:val="0000EE"/>
          </w:rPr>
          <w:t>June 10, 2020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(other than Item 7.01), </w:t>
      </w:r>
      <w:hyperlink r:id="rId60">
        <w:r>
          <w:rPr>
            <w:rFonts w:ascii="Times New Roman" w:cs="Times New Roman" w:eastAsia="Times New Roman" w:hAnsi="Times New Roman"/>
            <w:sz w:val="18"/>
            <w:szCs w:val="18"/>
            <w:u w:val="single" w:color="auto"/>
            <w:color w:val="0000EE"/>
          </w:rPr>
          <w:t>June 11, 2020</w:t>
        </w:r>
      </w:hyperlink>
      <w:r>
        <w:rPr>
          <w:rFonts w:ascii="Times New Roman" w:cs="Times New Roman" w:eastAsia="Times New Roman" w:hAnsi="Times New Roman"/>
          <w:sz w:val="18"/>
          <w:szCs w:val="18"/>
          <w:color w:val="auto"/>
        </w:rPr>
        <w:t xml:space="preserve">, </w:t>
      </w:r>
      <w:hyperlink r:id="rId61">
        <w:r>
          <w:rPr>
            <w:rFonts w:ascii="Times New Roman" w:cs="Times New Roman" w:eastAsia="Times New Roman" w:hAnsi="Times New Roman"/>
            <w:sz w:val="18"/>
            <w:szCs w:val="18"/>
            <w:u w:val="single" w:color="auto"/>
            <w:color w:val="0000EE"/>
          </w:rPr>
          <w:t>June 26, 2020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62">
        <w:r>
          <w:rPr>
            <w:rFonts w:ascii="Times New Roman" w:cs="Times New Roman" w:eastAsia="Times New Roman" w:hAnsi="Times New Roman"/>
            <w:sz w:val="18"/>
            <w:szCs w:val="18"/>
            <w:u w:val="single" w:color="auto"/>
            <w:color w:val="0000EE"/>
          </w:rPr>
          <w:t>July 23, 2020</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p>
    <w:p>
      <w:pPr>
        <w:spacing w:after="0" w:line="67" w:lineRule="exact"/>
        <w:rPr>
          <w:rFonts w:ascii="Times New Roman" w:cs="Times New Roman" w:eastAsia="Times New Roman" w:hAnsi="Times New Roman"/>
          <w:sz w:val="18"/>
          <w:szCs w:val="18"/>
          <w:color w:val="0000EE"/>
        </w:rPr>
      </w:pPr>
    </w:p>
    <w:p>
      <w:pPr>
        <w:ind w:left="540" w:hanging="316"/>
        <w:spacing w:after="0" w:line="282" w:lineRule="auto"/>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Registration Statement on </w:t>
      </w:r>
      <w:hyperlink r:id="rId63">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July 12, 2019, including any amendments or reports filed for the purpose of updating such description.</w:t>
      </w:r>
    </w:p>
    <w:p>
      <w:pPr>
        <w:spacing w:after="0" w:line="162" w:lineRule="exact"/>
        <w:rPr>
          <w:rFonts w:ascii="Times New Roman" w:cs="Times New Roman" w:eastAsia="Times New Roman" w:hAnsi="Times New Roman"/>
          <w:sz w:val="18"/>
          <w:szCs w:val="18"/>
          <w:color w:val="auto"/>
        </w:rPr>
      </w:pPr>
    </w:p>
    <w:p>
      <w:pPr>
        <w:ind w:left="120"/>
        <w:spacing w:after="0"/>
        <w:rPr>
          <w:sz w:val="20"/>
          <w:szCs w:val="20"/>
          <w:color w:val="auto"/>
        </w:rPr>
      </w:pPr>
      <w:r>
        <w:rPr>
          <w:rFonts w:ascii="Times New Roman" w:cs="Times New Roman" w:eastAsia="Times New Roman" w:hAnsi="Times New Roman"/>
          <w:sz w:val="18"/>
          <w:szCs w:val="18"/>
          <w:color w:val="auto"/>
        </w:rPr>
        <w:t>You may request a copy of these filings, at no cost, by writing or calling us at the following address or telephone number:</w:t>
      </w:r>
    </w:p>
    <w:p>
      <w:pPr>
        <w:spacing w:after="0" w:line="225" w:lineRule="exact"/>
        <w:rPr>
          <w:rFonts w:ascii="Times New Roman" w:cs="Times New Roman" w:eastAsia="Times New Roman" w:hAnsi="Times New Roman"/>
          <w:sz w:val="18"/>
          <w:szCs w:val="18"/>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Fulcrum Therapeutics, Inc.</w:t>
      </w:r>
    </w:p>
    <w:p>
      <w:pPr>
        <w:spacing w:after="0" w:line="27" w:lineRule="exact"/>
        <w:rPr>
          <w:rFonts w:ascii="Times New Roman" w:cs="Times New Roman" w:eastAsia="Times New Roman" w:hAnsi="Times New Roman"/>
          <w:sz w:val="18"/>
          <w:szCs w:val="18"/>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26 Landsdowne Street</w:t>
      </w:r>
    </w:p>
    <w:p>
      <w:pPr>
        <w:spacing w:after="0" w:line="9" w:lineRule="exact"/>
        <w:rPr>
          <w:rFonts w:ascii="Times New Roman" w:cs="Times New Roman" w:eastAsia="Times New Roman" w:hAnsi="Times New Roman"/>
          <w:sz w:val="18"/>
          <w:szCs w:val="18"/>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Cambridge, Massachusetts 02139</w:t>
      </w:r>
    </w:p>
    <w:p>
      <w:pPr>
        <w:spacing w:after="0" w:line="9" w:lineRule="exact"/>
        <w:rPr>
          <w:rFonts w:ascii="Times New Roman" w:cs="Times New Roman" w:eastAsia="Times New Roman" w:hAnsi="Times New Roman"/>
          <w:sz w:val="18"/>
          <w:szCs w:val="18"/>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Attn: Investor Relations</w:t>
      </w:r>
    </w:p>
    <w:p>
      <w:pPr>
        <w:spacing w:after="0" w:line="9" w:lineRule="exact"/>
        <w:rPr>
          <w:rFonts w:ascii="Times New Roman" w:cs="Times New Roman" w:eastAsia="Times New Roman" w:hAnsi="Times New Roman"/>
          <w:sz w:val="18"/>
          <w:szCs w:val="18"/>
          <w:color w:val="auto"/>
        </w:rPr>
      </w:pPr>
    </w:p>
    <w:p>
      <w:pPr>
        <w:ind w:left="5460" w:right="4840" w:hanging="398"/>
        <w:spacing w:after="0" w:line="472" w:lineRule="auto"/>
        <w:tabs>
          <w:tab w:leader="none" w:pos="5503"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651-8851 S-26</w:t>
      </w:r>
    </w:p>
    <w:p>
      <w:pPr>
        <w:sectPr>
          <w:pgSz w:w="11900" w:h="16838" w:orient="portrait"/>
          <w:cols w:equalWidth="0" w:num="1">
            <w:col w:w="11020"/>
          </w:cols>
          <w:pgMar w:left="320" w:top="455" w:right="55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$250,000,000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182245</wp:posOffset>
            </wp:positionV>
            <wp:extent cx="2897505" cy="7112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5">
                      <a:extLst>
                        <a:ext uri="{28A0092B-C50C-407E-A947-70E740481C1C}"/>
                      </a:extLst>
                    </a:blip>
                    <a:srcRect/>
                    <a:stretch>
                      <a:fillRect/>
                    </a:stretch>
                  </pic:blipFill>
                  <pic:spPr bwMode="auto">
                    <a:xfrm>
                      <a:off x="0" y="0"/>
                      <a:ext cx="2897505" cy="71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Depositary Shares</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234315</wp:posOffset>
            </wp:positionV>
            <wp:extent cx="14744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jc w:val="both"/>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We may offer and sell up to $250,000,000 in the aggregate of securities from time to time in one or more offerings. This prospectus describes the general terms of these securities and the general manner in which these securities will be offered. We will provide the specific terms of these securities in supplements to this prospectus. The prospectus supplements will also describe the specific manner in which these securities will be offered and may also supplement, update or amend information contained or incorporated by reference in this document. You should read this prospectus, the applicable prospectus supplement and any related free writing prospectus, as well as the documents incorporated by reference herein and therein, carefully before you invest.</w:t>
      </w:r>
    </w:p>
    <w:p>
      <w:pPr>
        <w:spacing w:after="0" w:line="187" w:lineRule="exact"/>
        <w:rPr>
          <w:sz w:val="20"/>
          <w:szCs w:val="20"/>
          <w:color w:val="auto"/>
        </w:rPr>
      </w:pPr>
    </w:p>
    <w:p>
      <w:pPr>
        <w:jc w:val="both"/>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We may offer these securities in amounts, at prices and on terms determined at the time of offering. The securities may be sold directly to you, through agents, or through underwriters and dealers. If agents, underwriters or dealers are used to sell the securities, we will name them and describe their compensation in a prospectus supplement.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stock is listed on The Nasdaq Global Market under the symbol “FULC”.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120" w:firstLine="440"/>
        <w:spacing w:after="0" w:line="246"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Investing in these securities involves significant risks. See “</w:t>
      </w:r>
      <w:hyperlink w:anchor="page36">
        <w:r>
          <w:rPr>
            <w:rFonts w:ascii="Times New Roman" w:cs="Times New Roman" w:eastAsia="Times New Roman" w:hAnsi="Times New Roman"/>
            <w:sz w:val="22"/>
            <w:szCs w:val="22"/>
            <w:b w:val="1"/>
            <w:bCs w:val="1"/>
            <w:u w:val="single" w:color="auto"/>
            <w:color w:val="0000EE"/>
          </w:rPr>
          <w:t>Risk Factors</w:t>
        </w:r>
      </w:hyperlink>
      <w:r>
        <w:rPr>
          <w:rFonts w:ascii="Times New Roman" w:cs="Times New Roman" w:eastAsia="Times New Roman" w:hAnsi="Times New Roman"/>
          <w:sz w:val="22"/>
          <w:szCs w:val="22"/>
          <w:b w:val="1"/>
          <w:bCs w:val="1"/>
          <w:color w:val="auto"/>
        </w:rPr>
        <w:t>” included in any accompanying prospectus supplement and in the documents incorporated by reference in this prospectus for a discussion of the factors you should carefully consider before deciding to purchase these securities.</w:t>
      </w:r>
    </w:p>
    <w:p>
      <w:pPr>
        <w:spacing w:after="0" w:line="176" w:lineRule="exact"/>
        <w:rPr>
          <w:sz w:val="20"/>
          <w:szCs w:val="20"/>
          <w:color w:val="auto"/>
        </w:rPr>
      </w:pPr>
    </w:p>
    <w:p>
      <w:pPr>
        <w:jc w:val="both"/>
        <w:ind w:left="120" w:righ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We may amend or supplement this prospectus from time to time by filing amendments or supplements as required. We urge you to read the entire prospectus, any amendments or supplements, any free writing prospectuses, and any documents incorporated by reference carefully before you make your investment decision.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208280</wp:posOffset>
            </wp:positionV>
            <wp:extent cx="14744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120" w:right="1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5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date of this prospectus is August 17, 2020</w:t>
      </w:r>
    </w:p>
    <w:p>
      <w:pPr>
        <w:sectPr>
          <w:pgSz w:w="11900" w:h="16838" w:orient="portrait"/>
          <w:cols w:equalWidth="0" w:num="1">
            <w:col w:w="11120"/>
          </w:cols>
          <w:pgMar w:left="320" w:top="455" w:right="45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8"/>
        </w:trPr>
        <w:tc>
          <w:tcPr>
            <w:tcW w:w="9340" w:type="dxa"/>
            <w:vAlign w:val="bottom"/>
          </w:tcPr>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tc>
        <w:tc>
          <w:tcPr>
            <w:tcW w:w="1740" w:type="dxa"/>
            <w:vAlign w:val="bottom"/>
          </w:tcPr>
          <w:p>
            <w:pPr>
              <w:spacing w:after="0"/>
              <w:rPr>
                <w:sz w:val="20"/>
                <w:szCs w:val="20"/>
                <w:color w:val="auto"/>
              </w:rPr>
            </w:pPr>
          </w:p>
        </w:tc>
      </w:tr>
      <w:tr>
        <w:trPr>
          <w:trHeight w:val="513"/>
        </w:trPr>
        <w:tc>
          <w:tcPr>
            <w:tcW w:w="9340" w:type="dxa"/>
            <w:vAlign w:val="bottom"/>
          </w:tcPr>
          <w:p>
            <w:pPr>
              <w:ind w:left="46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740" w:type="dxa"/>
            <w:vAlign w:val="bottom"/>
          </w:tcPr>
          <w:p>
            <w:pPr>
              <w:spacing w:after="0"/>
              <w:rPr>
                <w:sz w:val="24"/>
                <w:szCs w:val="24"/>
                <w:color w:val="auto"/>
              </w:rPr>
            </w:pPr>
          </w:p>
        </w:tc>
      </w:tr>
      <w:tr>
        <w:trPr>
          <w:trHeight w:val="450"/>
        </w:trPr>
        <w:tc>
          <w:tcPr>
            <w:tcW w:w="9340" w:type="dxa"/>
            <w:vAlign w:val="bottom"/>
          </w:tcPr>
          <w:p>
            <w:pPr>
              <w:ind w:left="120"/>
              <w:spacing w:after="0"/>
              <w:rPr>
                <w:rFonts w:ascii="Times New Roman" w:cs="Times New Roman" w:eastAsia="Times New Roman" w:hAnsi="Times New Roman"/>
                <w:sz w:val="18"/>
                <w:szCs w:val="18"/>
                <w:u w:val="single" w:color="auto"/>
                <w:color w:val="0000EE"/>
              </w:rPr>
            </w:pPr>
            <w:hyperlink w:anchor="page32">
              <w:r>
                <w:rPr>
                  <w:rFonts w:ascii="Times New Roman" w:cs="Times New Roman" w:eastAsia="Times New Roman" w:hAnsi="Times New Roman"/>
                  <w:sz w:val="18"/>
                  <w:szCs w:val="18"/>
                  <w:u w:val="single" w:color="auto"/>
                  <w:color w:val="0000EE"/>
                </w:rPr>
                <w:t>ABOUT THIS PROSPECTUS</w:t>
              </w:r>
            </w:hyperlink>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30"/>
        </w:trPr>
        <w:tc>
          <w:tcPr>
            <w:tcW w:w="9340" w:type="dxa"/>
            <w:vAlign w:val="bottom"/>
          </w:tcPr>
          <w:p>
            <w:pPr>
              <w:ind w:left="120"/>
              <w:spacing w:after="0"/>
              <w:rPr>
                <w:rFonts w:ascii="Times New Roman" w:cs="Times New Roman" w:eastAsia="Times New Roman" w:hAnsi="Times New Roman"/>
                <w:sz w:val="18"/>
                <w:szCs w:val="18"/>
                <w:u w:val="single" w:color="auto"/>
                <w:color w:val="0000EE"/>
              </w:rPr>
            </w:pPr>
            <w:hyperlink w:anchor="page33">
              <w:r>
                <w:rPr>
                  <w:rFonts w:ascii="Times New Roman" w:cs="Times New Roman" w:eastAsia="Times New Roman" w:hAnsi="Times New Roman"/>
                  <w:sz w:val="18"/>
                  <w:szCs w:val="18"/>
                  <w:u w:val="single" w:color="auto"/>
                  <w:color w:val="0000EE"/>
                </w:rPr>
                <w:t>WHERE YOU CAN FIND MORE INFORMATION</w:t>
              </w:r>
            </w:hyperlink>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r>
      <w:tr>
        <w:trPr>
          <w:trHeight w:val="229"/>
        </w:trPr>
        <w:tc>
          <w:tcPr>
            <w:tcW w:w="9340" w:type="dxa"/>
            <w:vAlign w:val="bottom"/>
          </w:tcPr>
          <w:p>
            <w:pPr>
              <w:ind w:left="120"/>
              <w:spacing w:after="0"/>
              <w:rPr>
                <w:rFonts w:ascii="Times New Roman" w:cs="Times New Roman" w:eastAsia="Times New Roman" w:hAnsi="Times New Roman"/>
                <w:sz w:val="18"/>
                <w:szCs w:val="18"/>
                <w:u w:val="single" w:color="auto"/>
                <w:color w:val="0000EE"/>
              </w:rPr>
            </w:pPr>
            <w:hyperlink w:anchor="page33">
              <w:r>
                <w:rPr>
                  <w:rFonts w:ascii="Times New Roman" w:cs="Times New Roman" w:eastAsia="Times New Roman" w:hAnsi="Times New Roman"/>
                  <w:sz w:val="18"/>
                  <w:szCs w:val="18"/>
                  <w:u w:val="single" w:color="auto"/>
                  <w:color w:val="0000EE"/>
                </w:rPr>
                <w:t>INCORPORATION OF CERTAIN DOCUMENTS BY REFERENCE</w:t>
              </w:r>
            </w:hyperlink>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r>
      <w:tr>
        <w:trPr>
          <w:trHeight w:val="230"/>
        </w:trPr>
        <w:tc>
          <w:tcPr>
            <w:tcW w:w="9340" w:type="dxa"/>
            <w:vAlign w:val="bottom"/>
          </w:tcPr>
          <w:p>
            <w:pPr>
              <w:ind w:left="120"/>
              <w:spacing w:after="0"/>
              <w:rPr>
                <w:rFonts w:ascii="Times New Roman" w:cs="Times New Roman" w:eastAsia="Times New Roman" w:hAnsi="Times New Roman"/>
                <w:sz w:val="18"/>
                <w:szCs w:val="18"/>
                <w:u w:val="single" w:color="auto"/>
                <w:color w:val="0000EE"/>
              </w:rPr>
            </w:pPr>
            <w:hyperlink w:anchor="page34">
              <w:r>
                <w:rPr>
                  <w:rFonts w:ascii="Times New Roman" w:cs="Times New Roman" w:eastAsia="Times New Roman" w:hAnsi="Times New Roman"/>
                  <w:sz w:val="18"/>
                  <w:szCs w:val="18"/>
                  <w:u w:val="single" w:color="auto"/>
                  <w:color w:val="0000EE"/>
                </w:rPr>
                <w:t>CAUTIONARY NOTE REGARDING FORWARD-LOOKING STATEMENTS AND INDUSTRY DATA</w:t>
              </w:r>
            </w:hyperlink>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r>
      <w:tr>
        <w:trPr>
          <w:trHeight w:val="229"/>
        </w:trPr>
        <w:tc>
          <w:tcPr>
            <w:tcW w:w="9340" w:type="dxa"/>
            <w:vAlign w:val="bottom"/>
          </w:tcPr>
          <w:p>
            <w:pPr>
              <w:ind w:left="120"/>
              <w:spacing w:after="0"/>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u w:val="single" w:color="auto"/>
                  <w:color w:val="0000EE"/>
                </w:rPr>
                <w:t>ABOUT FULCRUM THERAPEUTICS, INC</w:t>
              </w:r>
              <w:r>
                <w:rPr>
                  <w:rFonts w:ascii="Times New Roman" w:cs="Times New Roman" w:eastAsia="Times New Roman" w:hAnsi="Times New Roman"/>
                  <w:sz w:val="18"/>
                  <w:szCs w:val="18"/>
                  <w:color w:val="0000EE"/>
                </w:rPr>
                <w:t>.</w:t>
              </w:r>
            </w:hyperlink>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r>
      <w:tr>
        <w:trPr>
          <w:trHeight w:val="229"/>
        </w:trPr>
        <w:tc>
          <w:tcPr>
            <w:tcW w:w="9340" w:type="dxa"/>
            <w:vAlign w:val="bottom"/>
          </w:tcPr>
          <w:p>
            <w:pPr>
              <w:ind w:left="120"/>
              <w:spacing w:after="0"/>
              <w:rPr>
                <w:rFonts w:ascii="Times New Roman" w:cs="Times New Roman" w:eastAsia="Times New Roman" w:hAnsi="Times New Roman"/>
                <w:sz w:val="18"/>
                <w:szCs w:val="18"/>
                <w:u w:val="single" w:color="auto"/>
                <w:color w:val="0000EE"/>
              </w:rPr>
            </w:pPr>
            <w:hyperlink w:anchor="page36">
              <w:r>
                <w:rPr>
                  <w:rFonts w:ascii="Times New Roman" w:cs="Times New Roman" w:eastAsia="Times New Roman" w:hAnsi="Times New Roman"/>
                  <w:sz w:val="18"/>
                  <w:szCs w:val="18"/>
                  <w:u w:val="single" w:color="auto"/>
                  <w:color w:val="0000EE"/>
                </w:rPr>
                <w:t>RISK FACTORS</w:t>
              </w:r>
            </w:hyperlink>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r>
      <w:tr>
        <w:trPr>
          <w:trHeight w:val="230"/>
        </w:trPr>
        <w:tc>
          <w:tcPr>
            <w:tcW w:w="9340" w:type="dxa"/>
            <w:vAlign w:val="bottom"/>
          </w:tcPr>
          <w:p>
            <w:pPr>
              <w:ind w:left="120"/>
              <w:spacing w:after="0"/>
              <w:rPr>
                <w:rFonts w:ascii="Times New Roman" w:cs="Times New Roman" w:eastAsia="Times New Roman" w:hAnsi="Times New Roman"/>
                <w:sz w:val="18"/>
                <w:szCs w:val="18"/>
                <w:u w:val="single" w:color="auto"/>
                <w:color w:val="0000EE"/>
              </w:rPr>
            </w:pPr>
            <w:hyperlink w:anchor="page37">
              <w:r>
                <w:rPr>
                  <w:rFonts w:ascii="Times New Roman" w:cs="Times New Roman" w:eastAsia="Times New Roman" w:hAnsi="Times New Roman"/>
                  <w:sz w:val="18"/>
                  <w:szCs w:val="18"/>
                  <w:u w:val="single" w:color="auto"/>
                  <w:color w:val="0000EE"/>
                </w:rPr>
                <w:t>USE OF PROCEEDS</w:t>
              </w:r>
            </w:hyperlink>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r>
      <w:tr>
        <w:trPr>
          <w:trHeight w:val="229"/>
        </w:trPr>
        <w:tc>
          <w:tcPr>
            <w:tcW w:w="9340" w:type="dxa"/>
            <w:vAlign w:val="bottom"/>
          </w:tcPr>
          <w:p>
            <w:pPr>
              <w:ind w:left="120"/>
              <w:spacing w:after="0"/>
              <w:rPr>
                <w:rFonts w:ascii="Times New Roman" w:cs="Times New Roman" w:eastAsia="Times New Roman" w:hAnsi="Times New Roman"/>
                <w:sz w:val="18"/>
                <w:szCs w:val="18"/>
                <w:u w:val="single" w:color="auto"/>
                <w:color w:val="0000EE"/>
              </w:rPr>
            </w:pPr>
            <w:hyperlink w:anchor="page38">
              <w:r>
                <w:rPr>
                  <w:rFonts w:ascii="Times New Roman" w:cs="Times New Roman" w:eastAsia="Times New Roman" w:hAnsi="Times New Roman"/>
                  <w:sz w:val="18"/>
                  <w:szCs w:val="18"/>
                  <w:u w:val="single" w:color="auto"/>
                  <w:color w:val="0000EE"/>
                </w:rPr>
                <w:t>DESCRIPTION OF DEBT SECURITIES</w:t>
              </w:r>
            </w:hyperlink>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r>
      <w:tr>
        <w:trPr>
          <w:trHeight w:val="229"/>
        </w:trPr>
        <w:tc>
          <w:tcPr>
            <w:tcW w:w="9340" w:type="dxa"/>
            <w:vAlign w:val="bottom"/>
          </w:tcPr>
          <w:p>
            <w:pPr>
              <w:ind w:left="120"/>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DESCRIPTION OF CAPITAL STOCK</w:t>
              </w:r>
            </w:hyperlink>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r>
      <w:tr>
        <w:trPr>
          <w:trHeight w:val="230"/>
        </w:trPr>
        <w:tc>
          <w:tcPr>
            <w:tcW w:w="9340" w:type="dxa"/>
            <w:vAlign w:val="bottom"/>
          </w:tcPr>
          <w:p>
            <w:pPr>
              <w:ind w:left="120"/>
              <w:spacing w:after="0"/>
              <w:rPr>
                <w:rFonts w:ascii="Times New Roman" w:cs="Times New Roman" w:eastAsia="Times New Roman" w:hAnsi="Times New Roman"/>
                <w:sz w:val="18"/>
                <w:szCs w:val="18"/>
                <w:u w:val="single" w:color="auto"/>
                <w:color w:val="0000EE"/>
              </w:rPr>
            </w:pPr>
            <w:hyperlink w:anchor="page55">
              <w:r>
                <w:rPr>
                  <w:rFonts w:ascii="Times New Roman" w:cs="Times New Roman" w:eastAsia="Times New Roman" w:hAnsi="Times New Roman"/>
                  <w:sz w:val="18"/>
                  <w:szCs w:val="18"/>
                  <w:u w:val="single" w:color="auto"/>
                  <w:color w:val="0000EE"/>
                </w:rPr>
                <w:t>DESCRIPTION OF DEPOSITARY SHARES</w:t>
              </w:r>
            </w:hyperlink>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r>
      <w:tr>
        <w:trPr>
          <w:trHeight w:val="229"/>
        </w:trPr>
        <w:tc>
          <w:tcPr>
            <w:tcW w:w="9340" w:type="dxa"/>
            <w:vAlign w:val="bottom"/>
          </w:tcPr>
          <w:p>
            <w:pPr>
              <w:ind w:left="120"/>
              <w:spacing w:after="0"/>
              <w:rPr>
                <w:rFonts w:ascii="Times New Roman" w:cs="Times New Roman" w:eastAsia="Times New Roman" w:hAnsi="Times New Roman"/>
                <w:sz w:val="18"/>
                <w:szCs w:val="18"/>
                <w:u w:val="single" w:color="auto"/>
                <w:color w:val="0000EE"/>
              </w:rPr>
            </w:pPr>
            <w:hyperlink w:anchor="page58">
              <w:r>
                <w:rPr>
                  <w:rFonts w:ascii="Times New Roman" w:cs="Times New Roman" w:eastAsia="Times New Roman" w:hAnsi="Times New Roman"/>
                  <w:sz w:val="18"/>
                  <w:szCs w:val="18"/>
                  <w:u w:val="single" w:color="auto"/>
                  <w:color w:val="0000EE"/>
                </w:rPr>
                <w:t>DESCRIPTION OF UNITS</w:t>
              </w:r>
            </w:hyperlink>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r>
      <w:tr>
        <w:trPr>
          <w:trHeight w:val="230"/>
        </w:trPr>
        <w:tc>
          <w:tcPr>
            <w:tcW w:w="9340" w:type="dxa"/>
            <w:vAlign w:val="bottom"/>
          </w:tcPr>
          <w:p>
            <w:pPr>
              <w:ind w:left="120"/>
              <w:spacing w:after="0"/>
              <w:rPr>
                <w:rFonts w:ascii="Times New Roman" w:cs="Times New Roman" w:eastAsia="Times New Roman" w:hAnsi="Times New Roman"/>
                <w:sz w:val="18"/>
                <w:szCs w:val="18"/>
                <w:u w:val="single" w:color="auto"/>
                <w:color w:val="0000EE"/>
              </w:rPr>
            </w:pPr>
            <w:hyperlink w:anchor="page59">
              <w:r>
                <w:rPr>
                  <w:rFonts w:ascii="Times New Roman" w:cs="Times New Roman" w:eastAsia="Times New Roman" w:hAnsi="Times New Roman"/>
                  <w:sz w:val="18"/>
                  <w:szCs w:val="18"/>
                  <w:u w:val="single" w:color="auto"/>
                  <w:color w:val="0000EE"/>
                </w:rPr>
                <w:t>DESCRIPTION OF WARRANTS</w:t>
              </w:r>
            </w:hyperlink>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r>
      <w:tr>
        <w:trPr>
          <w:trHeight w:val="229"/>
        </w:trPr>
        <w:tc>
          <w:tcPr>
            <w:tcW w:w="9340" w:type="dxa"/>
            <w:vAlign w:val="bottom"/>
          </w:tcPr>
          <w:p>
            <w:pPr>
              <w:ind w:left="120"/>
              <w:spacing w:after="0"/>
              <w:rPr>
                <w:rFonts w:ascii="Times New Roman" w:cs="Times New Roman" w:eastAsia="Times New Roman" w:hAnsi="Times New Roman"/>
                <w:sz w:val="18"/>
                <w:szCs w:val="18"/>
                <w:u w:val="single" w:color="auto"/>
                <w:color w:val="0000EE"/>
              </w:rPr>
            </w:pPr>
            <w:hyperlink w:anchor="page60">
              <w:r>
                <w:rPr>
                  <w:rFonts w:ascii="Times New Roman" w:cs="Times New Roman" w:eastAsia="Times New Roman" w:hAnsi="Times New Roman"/>
                  <w:sz w:val="18"/>
                  <w:szCs w:val="18"/>
                  <w:u w:val="single" w:color="auto"/>
                  <w:color w:val="0000EE"/>
                </w:rPr>
                <w:t>FORMS OF SECURITIES</w:t>
              </w:r>
            </w:hyperlink>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r>
      <w:tr>
        <w:trPr>
          <w:trHeight w:val="229"/>
        </w:trPr>
        <w:tc>
          <w:tcPr>
            <w:tcW w:w="9340" w:type="dxa"/>
            <w:vAlign w:val="bottom"/>
          </w:tcPr>
          <w:p>
            <w:pPr>
              <w:ind w:left="120"/>
              <w:spacing w:after="0"/>
              <w:rPr>
                <w:rFonts w:ascii="Times New Roman" w:cs="Times New Roman" w:eastAsia="Times New Roman" w:hAnsi="Times New Roman"/>
                <w:sz w:val="18"/>
                <w:szCs w:val="18"/>
                <w:u w:val="single" w:color="auto"/>
                <w:color w:val="0000EE"/>
              </w:rPr>
            </w:pPr>
            <w:hyperlink w:anchor="page62">
              <w:r>
                <w:rPr>
                  <w:rFonts w:ascii="Times New Roman" w:cs="Times New Roman" w:eastAsia="Times New Roman" w:hAnsi="Times New Roman"/>
                  <w:sz w:val="18"/>
                  <w:szCs w:val="18"/>
                  <w:u w:val="single" w:color="auto"/>
                  <w:color w:val="0000EE"/>
                </w:rPr>
                <w:t>PLAN OF DISTRIBUTION</w:t>
              </w:r>
            </w:hyperlink>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r>
      <w:tr>
        <w:trPr>
          <w:trHeight w:val="230"/>
        </w:trPr>
        <w:tc>
          <w:tcPr>
            <w:tcW w:w="9340" w:type="dxa"/>
            <w:vAlign w:val="bottom"/>
          </w:tcPr>
          <w:p>
            <w:pPr>
              <w:ind w:left="120"/>
              <w:spacing w:after="0"/>
              <w:rPr>
                <w:rFonts w:ascii="Times New Roman" w:cs="Times New Roman" w:eastAsia="Times New Roman" w:hAnsi="Times New Roman"/>
                <w:sz w:val="18"/>
                <w:szCs w:val="18"/>
                <w:u w:val="single" w:color="auto"/>
                <w:color w:val="0000EE"/>
              </w:rPr>
            </w:pPr>
            <w:hyperlink w:anchor="page65">
              <w:r>
                <w:rPr>
                  <w:rFonts w:ascii="Times New Roman" w:cs="Times New Roman" w:eastAsia="Times New Roman" w:hAnsi="Times New Roman"/>
                  <w:sz w:val="18"/>
                  <w:szCs w:val="18"/>
                  <w:u w:val="single" w:color="auto"/>
                  <w:color w:val="0000EE"/>
                </w:rPr>
                <w:t>LEGAL MATTERS</w:t>
              </w:r>
            </w:hyperlink>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r>
      <w:tr>
        <w:trPr>
          <w:trHeight w:val="258"/>
        </w:trPr>
        <w:tc>
          <w:tcPr>
            <w:tcW w:w="9340" w:type="dxa"/>
            <w:vAlign w:val="bottom"/>
          </w:tcPr>
          <w:p>
            <w:pPr>
              <w:ind w:left="120"/>
              <w:spacing w:after="0"/>
              <w:rPr>
                <w:rFonts w:ascii="Times New Roman" w:cs="Times New Roman" w:eastAsia="Times New Roman" w:hAnsi="Times New Roman"/>
                <w:sz w:val="18"/>
                <w:szCs w:val="18"/>
                <w:u w:val="single" w:color="auto"/>
                <w:color w:val="0000EE"/>
              </w:rPr>
            </w:pPr>
            <w:hyperlink w:anchor="page65">
              <w:r>
                <w:rPr>
                  <w:rFonts w:ascii="Times New Roman" w:cs="Times New Roman" w:eastAsia="Times New Roman" w:hAnsi="Times New Roman"/>
                  <w:sz w:val="18"/>
                  <w:szCs w:val="18"/>
                  <w:u w:val="single" w:color="auto"/>
                  <w:color w:val="0000EE"/>
                </w:rPr>
                <w:t>EXPERTS</w:t>
              </w:r>
            </w:hyperlink>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r>
    </w:tbl>
    <w:p>
      <w:pPr>
        <w:jc w:val="right"/>
        <w:spacing w:after="0"/>
        <w:rPr>
          <w:sz w:val="20"/>
          <w:szCs w:val="20"/>
          <w:color w:val="auto"/>
        </w:rPr>
        <w:sectPr>
          <w:pgSz w:w="11900" w:h="16838" w:orient="portrait"/>
          <w:cols w:equalWidth="0" w:num="1">
            <w:col w:w="11080"/>
          </w:cols>
          <w:pgMar w:left="320" w:top="455"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which we refer to as the “SEC,” utilizing a “shelf” registration process. Under this shelf registration process, we may from time to time sell any combination of the securities described in this prospectus in one or more offerings for an aggregate initial offering price of up to $250,000,000.</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we may offer. Each time we sell securities, we will provide one or more prospectus supplements that will contain specific information about the terms of the offering. We may also authorize one or more free writing prospectuses to be provided to you that may contain material information relating to these offerings. The prospectus supplement may also add, update or change information contained in this prospectus or in any documents that we have incorporated by reference into this prospectus and, accordingly, to the extent inconsistent, information in this prospectus is superseded by the information in the prospectus supplement or any related free writing prospectus. You should read both this prospectus and the accompanying prospectus supplement together with the additional information described under the heading “Where You Can Find More Information” on page 2 of this prospectus.</w:t>
      </w:r>
    </w:p>
    <w:p>
      <w:pPr>
        <w:spacing w:after="0" w:line="18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have not authorized anyone to provide you with any information other than that contained or incorporated by reference in this prospectus or any accompanying prospectus supplement or free writing prospectus to which we have referred you. We take no responsibility for, and can provide no assurance as to the reliability of, any other information others may give you. This prospectus and any accompanying prospectus supplement do not constitute an offer to sell or the solicitation of an offer to buy any securities other than the securities described in this prospectus or such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 offer of these securities will be made in any jurisdiction where the offer is not permitted.</w:t>
      </w:r>
    </w:p>
    <w:p>
      <w:pPr>
        <w:spacing w:after="0" w:line="225"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Unless the context otherwise indicates, references in this prospectus to “we,” “our” and “us” refer, collectively, to Fulcrum Therapeutics, Inc., a Delaware corporation, and its consolidated subsidiary.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Our SEC filings are available to the public over the Internet at the SEC’s website at http://www.sec.gov. Copies of certain information filed by us with the SEC are also available on our website at http://www.fulcrumtx.com. Our website is not a part of this prospectus and information contained on, or that can be accessed through our website, is not incorporated by reference in this prospectus.</w:t>
      </w:r>
    </w:p>
    <w:p>
      <w:pPr>
        <w:spacing w:after="0" w:line="18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This prospectus is part of a registration statement we filed with the SEC. This prospectus omits some information contained in the registration statement in accordance with SEC rules and regulations. You should review the information and exhibits in the registration statement for further information about us and our consolidated subsidiary and the securities we are offering. Statements in this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 You can obtain a copy of the registration statement from the SEC’s website.</w:t>
      </w:r>
    </w:p>
    <w:p>
      <w:pPr>
        <w:spacing w:after="0" w:line="3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SEC allows us to incorporate by reference much of the information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(File No. 001-38978) and any future filings we make with the SEC under Sections 13(a), 13(c), 14 or 15(d) of the Securities Exchange Act of 1934, as amended, or the Exchange Act (in each case, other than those documents or the portions of those documents not deemed to be filed) between the date of the initial registration statement and the effectiveness of the registration statement and following the effectiveness of the registration statement until the offering of the securities under the registration statement is terminated or completed:</w:t>
      </w:r>
    </w:p>
    <w:p>
      <w:pPr>
        <w:spacing w:after="0" w:line="221" w:lineRule="exact"/>
        <w:rPr>
          <w:sz w:val="20"/>
          <w:szCs w:val="20"/>
          <w:color w:val="auto"/>
        </w:rPr>
      </w:pPr>
    </w:p>
    <w:p>
      <w:pPr>
        <w:ind w:left="1080" w:right="56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w:t>
      </w:r>
      <w:hyperlink r:id="rId51">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fiscal year ended December 31, 2019, including the information specifically incorporated by reference into the Annual Report on Form 10-K from our </w:t>
      </w:r>
      <w:hyperlink r:id="rId52">
        <w:r>
          <w:rPr>
            <w:rFonts w:ascii="Times New Roman" w:cs="Times New Roman" w:eastAsia="Times New Roman" w:hAnsi="Times New Roman"/>
            <w:sz w:val="18"/>
            <w:szCs w:val="18"/>
            <w:u w:val="single" w:color="auto"/>
            <w:color w:val="0000EE"/>
          </w:rPr>
          <w:t>definitive proxy statement</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2020 Annual Meeting of Stockholders;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Quarterly Reports on Form 10-Q for the fiscal quarters ended </w:t>
      </w:r>
      <w:hyperlink r:id="rId53">
        <w:r>
          <w:rPr>
            <w:rFonts w:ascii="Times New Roman" w:cs="Times New Roman" w:eastAsia="Times New Roman" w:hAnsi="Times New Roman"/>
            <w:sz w:val="18"/>
            <w:szCs w:val="18"/>
            <w:u w:val="single" w:color="auto"/>
            <w:color w:val="0000EE"/>
          </w:rPr>
          <w:t>March 31, 2020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54">
        <w:r>
          <w:rPr>
            <w:rFonts w:ascii="Times New Roman" w:cs="Times New Roman" w:eastAsia="Times New Roman" w:hAnsi="Times New Roman"/>
            <w:sz w:val="18"/>
            <w:szCs w:val="18"/>
            <w:u w:val="single" w:color="auto"/>
            <w:color w:val="0000EE"/>
          </w:rPr>
          <w:t>June 30, 2020</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Current Reports on Form 8-K filed on </w:t>
      </w:r>
      <w:hyperlink r:id="rId57">
        <w:r>
          <w:rPr>
            <w:rFonts w:ascii="Times New Roman" w:cs="Times New Roman" w:eastAsia="Times New Roman" w:hAnsi="Times New Roman"/>
            <w:sz w:val="18"/>
            <w:szCs w:val="18"/>
            <w:u w:val="single" w:color="auto"/>
            <w:color w:val="0000EE"/>
          </w:rPr>
          <w:t>January 6, 2020</w:t>
        </w:r>
      </w:hyperlink>
      <w:r>
        <w:rPr>
          <w:rFonts w:ascii="Times New Roman" w:cs="Times New Roman" w:eastAsia="Times New Roman" w:hAnsi="Times New Roman"/>
          <w:sz w:val="18"/>
          <w:szCs w:val="18"/>
          <w:color w:val="auto"/>
        </w:rPr>
        <w:t xml:space="preserve">, </w:t>
      </w:r>
      <w:hyperlink r:id="rId58">
        <w:r>
          <w:rPr>
            <w:rFonts w:ascii="Times New Roman" w:cs="Times New Roman" w:eastAsia="Times New Roman" w:hAnsi="Times New Roman"/>
            <w:sz w:val="18"/>
            <w:szCs w:val="18"/>
            <w:u w:val="single" w:color="auto"/>
            <w:color w:val="0000EE"/>
          </w:rPr>
          <w:t>April 2, 2020</w:t>
        </w:r>
      </w:hyperlink>
      <w:r>
        <w:rPr>
          <w:rFonts w:ascii="Times New Roman" w:cs="Times New Roman" w:eastAsia="Times New Roman" w:hAnsi="Times New Roman"/>
          <w:sz w:val="18"/>
          <w:szCs w:val="18"/>
          <w:color w:val="auto"/>
        </w:rPr>
        <w:t xml:space="preserve">, </w:t>
      </w:r>
      <w:hyperlink r:id="rId59">
        <w:r>
          <w:rPr>
            <w:rFonts w:ascii="Times New Roman" w:cs="Times New Roman" w:eastAsia="Times New Roman" w:hAnsi="Times New Roman"/>
            <w:sz w:val="18"/>
            <w:szCs w:val="18"/>
            <w:u w:val="single" w:color="auto"/>
            <w:color w:val="0000EE"/>
          </w:rPr>
          <w:t>June 10, 2020</w:t>
        </w:r>
      </w:hyperlink>
      <w:r>
        <w:rPr>
          <w:rFonts w:ascii="Times New Roman" w:cs="Times New Roman" w:eastAsia="Times New Roman" w:hAnsi="Times New Roman"/>
          <w:sz w:val="18"/>
          <w:szCs w:val="18"/>
          <w:color w:val="auto"/>
        </w:rPr>
        <w:t xml:space="preserve">, </w:t>
      </w:r>
      <w:hyperlink r:id="rId60">
        <w:r>
          <w:rPr>
            <w:rFonts w:ascii="Times New Roman" w:cs="Times New Roman" w:eastAsia="Times New Roman" w:hAnsi="Times New Roman"/>
            <w:sz w:val="18"/>
            <w:szCs w:val="18"/>
            <w:u w:val="single" w:color="auto"/>
            <w:color w:val="0000EE"/>
          </w:rPr>
          <w:t xml:space="preserve">June 11, 2020, </w:t>
        </w:r>
      </w:hyperlink>
      <w:hyperlink r:id="rId61">
        <w:r>
          <w:rPr>
            <w:rFonts w:ascii="Times New Roman" w:cs="Times New Roman" w:eastAsia="Times New Roman" w:hAnsi="Times New Roman"/>
            <w:sz w:val="18"/>
            <w:szCs w:val="18"/>
            <w:u w:val="single" w:color="auto"/>
            <w:color w:val="auto"/>
          </w:rPr>
          <w:t xml:space="preserve">June </w:t>
        </w:r>
        <w:r>
          <w:rPr>
            <w:rFonts w:ascii="Times New Roman" w:cs="Times New Roman" w:eastAsia="Times New Roman" w:hAnsi="Times New Roman"/>
            <w:sz w:val="18"/>
            <w:szCs w:val="18"/>
            <w:u w:val="single" w:color="auto"/>
            <w:color w:val="0000EE"/>
          </w:rPr>
          <w:t>26, 2020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62">
        <w:r>
          <w:rPr>
            <w:rFonts w:ascii="Times New Roman" w:cs="Times New Roman" w:eastAsia="Times New Roman" w:hAnsi="Times New Roman"/>
            <w:sz w:val="18"/>
            <w:szCs w:val="18"/>
            <w:u w:val="single" w:color="auto"/>
            <w:color w:val="0000EE"/>
          </w:rPr>
          <w:t>July 23, 2020</w:t>
        </w:r>
      </w:hyperlink>
      <w:r>
        <w:rPr>
          <w:rFonts w:ascii="Times New Roman" w:cs="Times New Roman" w:eastAsia="Times New Roman" w:hAnsi="Times New Roman"/>
          <w:sz w:val="18"/>
          <w:szCs w:val="18"/>
          <w:color w:val="auto"/>
        </w:rPr>
        <w:t>; and</w:t>
      </w:r>
    </w:p>
    <w:p>
      <w:pPr>
        <w:spacing w:after="0" w:line="130"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Registration Statement on </w:t>
      </w:r>
      <w:hyperlink r:id="rId63">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July 12, 2019, including any amendments or reports filed for the purpose of updating such description.</w:t>
      </w:r>
    </w:p>
    <w:p>
      <w:pPr>
        <w:spacing w:after="0" w:line="162" w:lineRule="exact"/>
        <w:rPr>
          <w:rFonts w:ascii="Times New Roman" w:cs="Times New Roman" w:eastAsia="Times New Roman" w:hAnsi="Times New Roman"/>
          <w:sz w:val="18"/>
          <w:szCs w:val="18"/>
          <w:color w:val="auto"/>
        </w:rPr>
      </w:pPr>
    </w:p>
    <w:p>
      <w:pPr>
        <w:ind w:left="560"/>
        <w:spacing w:after="0"/>
        <w:rPr>
          <w:sz w:val="20"/>
          <w:szCs w:val="20"/>
          <w:color w:val="auto"/>
        </w:rPr>
      </w:pPr>
      <w:r>
        <w:rPr>
          <w:rFonts w:ascii="Times New Roman" w:cs="Times New Roman" w:eastAsia="Times New Roman" w:hAnsi="Times New Roman"/>
          <w:sz w:val="18"/>
          <w:szCs w:val="18"/>
          <w:color w:val="auto"/>
        </w:rPr>
        <w:t>You may request a copy of these filings, at no cost, by writing or calling us at the following address or telephone number:</w:t>
      </w:r>
    </w:p>
    <w:p>
      <w:pPr>
        <w:spacing w:after="0" w:line="225"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Fulcrum Therapeutics, Inc.</w:t>
      </w:r>
    </w:p>
    <w:p>
      <w:pPr>
        <w:spacing w:after="0" w:line="27"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 Landsdowne Street</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Cambridge, Massachusetts 02139</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Attn: Investor Relations</w:t>
      </w:r>
    </w:p>
    <w:p>
      <w:pPr>
        <w:spacing w:after="0" w:line="9" w:lineRule="exact"/>
        <w:rPr>
          <w:rFonts w:ascii="Times New Roman" w:cs="Times New Roman" w:eastAsia="Times New Roman" w:hAnsi="Times New Roman"/>
          <w:sz w:val="18"/>
          <w:szCs w:val="18"/>
          <w:color w:val="auto"/>
        </w:rPr>
      </w:pPr>
    </w:p>
    <w:p>
      <w:pPr>
        <w:ind w:left="5500" w:hanging="438"/>
        <w:spacing w:after="0"/>
        <w:tabs>
          <w:tab w:leader="none" w:pos="5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651-8851</w:t>
      </w:r>
    </w:p>
    <w:p>
      <w:pPr>
        <w:spacing w:after="0" w:line="139"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55" w:right="45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 AND INDUSTRY DATA</w:t>
      </w:r>
    </w:p>
    <w:p>
      <w:pPr>
        <w:spacing w:after="0" w:line="229" w:lineRule="exact"/>
        <w:rPr>
          <w:sz w:val="20"/>
          <w:szCs w:val="20"/>
          <w:color w:val="auto"/>
        </w:rPr>
      </w:pPr>
    </w:p>
    <w:p>
      <w:pPr>
        <w:ind w:left="120" w:right="180" w:firstLine="440"/>
        <w:spacing w:after="0" w:line="255"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in this prospectus include “forward-looking statements” within the meaning of Section 27A of the Securities Act of 1933, as amended, or the Securities Act, and Section 21E of the Exchange Act. All statements, other than statements of historical fact, contained or incorporated by reference in this prospectus, including statements regarding our strategy, future operations, future financial position, future revenue, projected costs, prospects, plans and objectives of management, are forward-looking statements. The words “anticipate,” “believe,” “estimate,” “expect,” “intend,” “may,” “might,” “plan,” “predict,” “project,” “target,” “potential,” “would,” “could,” “should,” “continue” and similar expressions are intended to identify forward-looking statements, although not all forward-looking statements contain these identifying words.</w:t>
      </w:r>
    </w:p>
    <w:p>
      <w:pPr>
        <w:spacing w:after="0" w:line="18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or incorporated by reference, in this prospectus, particularly in the “Risk Factors” section, that we believe could cause actual results or events to differ materially from the forward-looking statements that we make. You should also carefully review the risk factors and cautionary statements described in the other documents we file from time to time with the SEC, specifically our most recent Annual Report on Form 10-K, our Quarterly Reports on Form 10-Q and our Current Reports on Form 8-K. Our forward-looking statements do not reflect the potential impact of any future acquisitions, mergers, dispositions, joint ventures or investments we may make.</w:t>
      </w:r>
    </w:p>
    <w:p>
      <w:pPr>
        <w:spacing w:after="0" w:line="19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You should read this prospectus, the documents incorporated by reference in this prospectus and the documents that we have filed as exhibits to the registration statement of which this prospectus is a part completely and with the understanding that our actual future results may be materially different from what we expect. The forward-looking statements contained in this prospectus and incorporated by reference herein are made as of the date hereof, and we do not assume any obligation to update any forward-looking statements except as required by applicable law.</w:t>
      </w:r>
    </w:p>
    <w:p>
      <w:pPr>
        <w:spacing w:after="0" w:line="180" w:lineRule="exact"/>
        <w:rPr>
          <w:sz w:val="20"/>
          <w:szCs w:val="20"/>
          <w:color w:val="auto"/>
        </w:rPr>
      </w:pPr>
    </w:p>
    <w:p>
      <w:pPr>
        <w:ind w:left="120" w:right="180" w:firstLine="440"/>
        <w:spacing w:after="0" w:line="255" w:lineRule="auto"/>
        <w:rPr>
          <w:sz w:val="20"/>
          <w:szCs w:val="20"/>
          <w:color w:val="auto"/>
        </w:rPr>
      </w:pPr>
      <w:r>
        <w:rPr>
          <w:rFonts w:ascii="Times New Roman" w:cs="Times New Roman" w:eastAsia="Times New Roman" w:hAnsi="Times New Roman"/>
          <w:sz w:val="18"/>
          <w:szCs w:val="18"/>
          <w:color w:val="auto"/>
        </w:rPr>
        <w:t>This prospectus includes or incorporates by reference certain statistical and other industry and market data that we obtained from industry publications and research, surveys and studies conducted by third parties as well as our own estimates of potential market opportunities. Industry publications and third-party research, surveys and studies generally indicate that their information has been obtained from sources believed to be reliable, although they do not guarantee the accuracy or completeness of such information. Our estimates of the potential market opportunities for our product candidates include several key assumptions based on our industry knowledge, industry publications, third-party research and other surveys, which may be based on a small sample size and may fail to accurately reflect market opportunities. While we believe that our internal assumptions are reasonable, no independent source has verified such assumptions.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455" w:right="45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ABOUT FULCRUM THERAPEUTICS, INC.</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improving the lives of patients with genetically defined rare diseases in areas of high unmet medical need. We have developed a proprietary product engine that we employ to systematically identify and validate cellular drug targets that can potentially modulate gene expression to treat the known root cause of genetically defined diseases. We are using our product engine to identify targets that can be drugged by small molecules regardless of the particular underlying mechanism of gene mis-expression.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We were incorporated under the laws of the State of Delaware on August 18, 2015 under the name Fulcrum Therapeutics, Inc. Our principal executive offices are located at 26 Landsdowne Street, Cambridge, Massachusetts 02139, and our telephone number is (617) 651-8851. Our website address is http://www.fulcrumtx.com. The information contained on, or that can be accessed through, our website is not a part of this prospectus. We have included our website address in this prospectus solely as an inactive textual reference.</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We own or have rights, or have applied for, to trademarks, service marks and trade names that we use in connection with the operation of our business, including our corporate name, logos and website names. Other trademarks, service marks and trade names appearing in this prospectus are the property of their respective owners. Solely for convenience, some of the trademarks, service marks and trade names referred to in this prospectus are listed without the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symbols, but we will assert, to the fullest extent under applicable law, our rights to our trademarks, service marks and trade names.</w:t>
      </w:r>
    </w:p>
    <w:p>
      <w:pPr>
        <w:spacing w:after="0" w:line="1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60"/>
          </w:cols>
          <w:pgMar w:left="320" w:top="455" w:right="51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You should carefully consider the risks and uncertainties described under “Risk Factors” in our most recent Annual Report on Form 10-K, our most recent Quarterly Report on Form 10-Q and in any accompanying prospectus supplement, together with all of the other information included or incorporated by reference in this prospectus and in any accompanying prospectus supplement, including our consolidated financial statements and related notes, before deciding whether to purchase our securities.</w:t>
      </w:r>
    </w:p>
    <w:p>
      <w:pPr>
        <w:spacing w:after="0" w:line="180"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Our business, financial condition and results of operations could be materially and adversely affected by any or all of these risks or by additional risks and uncertainties not presently known to us or that we currently deem immaterial that may adversely affect us in the future.</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60"/>
          </w:cols>
          <w:pgMar w:left="320" w:top="455" w:right="51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We intend to use the net proceeds from the sale of any securities offered under this prospectus for general corporate purposes unless otherwise indicated in the applicable prospectus supplement. General corporate purposes may include working capital and capital expenditures, research and development expenses, including clinical trial costs, general and administrative expenses, potential acquisition of, or investment in, companies, technologies, products or assets that complement our business, and repayment and refinancing of debt. We have not determined the amount of net proceeds to be used specifically for such purposes. As a result, management will retain broad discretion over the allocation of net proceeds.</w:t>
      </w:r>
    </w:p>
    <w:p>
      <w:pPr>
        <w:spacing w:after="0" w:line="10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800"/>
          </w:cols>
          <w:pgMar w:left="320" w:top="455" w:right="77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may offer debt securities which may be senior or subordinated. We refer to the senior debt securities and the subordinated debt securities collectively as debt securities. The following description summarizes the general terms and provisions of the debt securities. We will describe the specific terms of the debt securities and the extent, if any, to which the general provisions summarized below apply to any series of debt securities in the prospectus supplement relating to the series and any applicable free writing prospectus that we authorize to be delivered. When we refer to “the Company,” “we,” “our,” and “us” in this section, we mean Fulcrum Therapeutics, Inc. excluding, unless the context otherwise requires or as otherwise expressly stated, our subsidiary.</w:t>
      </w:r>
    </w:p>
    <w:p>
      <w:pPr>
        <w:spacing w:after="0" w:line="187"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We may issue senior debt securities from time to time, in one or more series under a senior indenture to be entered into between us and a senior trustee to be named in a prospectus supplement, which we refer to as the senior trustee. We may issue subordinated debt securities from time to time, in one or more series under a subordinated indenture to be entered into between us and a subordinated trustee to be named in a prospectus supplement, which we refer to as the subordinated trustee. The forms of senior indenture and subordinated indenture are filed as exhibits to the registration statement of which this prospectus forms a part. The senior indenture and the subordinated indenture are referred to individually as an indenture and together as the indentures and the senior trustee and the subordinated trustee are referred to individually as a trustee and together as the trustees. This section summarizes some of the provisions of the indentures and is qualified in its entirety by the specific text of the indentures, including definitions of terms used in the indentures. Wherever we refer to particular sections of, or defined terms in, the indentures, those sections or defined terms are incorporated by reference in this prospectus or the applicable prospectus supplement. You should review the indentures that are filed as exhibits to the registration statement of which this prospectus forms a part for additional information.</w:t>
      </w:r>
    </w:p>
    <w:p>
      <w:pPr>
        <w:spacing w:after="0" w:line="194"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Neither indenture will limit the amount of debt securities that we may issue. The applicable indenture will provide that debt securities may be issued up to an aggregate principal amount authorized from time to time by us and may be payable in any currency or currency unit designated by us or in amounts determined by reference to an index.</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senior debt securities will constitute our unsecured and unsubordinated general obligations and will rank equally in right of payment with our other unsecured and unsubordinated obligations. The subordinated debt securities will constitute our unsecured and subordinated general obligations and will be junior in right of payment to our senior indebtedness (including senior debt securities), as described under the heading “—Certain Terms of the Subordinated Debt Securities—Subordination.” The debt securities will be structurally subordinated to all existing and future indebtedness and other liabilities of our subsidiary unless such subsidiary expressly guarantee such debt securities.</w:t>
      </w:r>
    </w:p>
    <w:p>
      <w:pPr>
        <w:spacing w:after="0" w:line="18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debt securities will be our unsecured obligations. Any secured debt or other secured obligations will be effectively senior to the debt securities to the extent of the value of the assets securing such debt or other obligations. Unless otherwise indicated in the applicable prospectus supplement, the debt securities will not be guaranteed by our subsidiary.</w:t>
      </w:r>
    </w:p>
    <w:p>
      <w:pPr>
        <w:spacing w:after="0" w:line="176"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and/or free writing prospectus will include any additional or different terms of the debt securities of any series being offered, including the following terms:</w:t>
      </w:r>
    </w:p>
    <w:p>
      <w:pPr>
        <w:spacing w:after="0" w:line="67" w:lineRule="exact"/>
        <w:rPr>
          <w:sz w:val="20"/>
          <w:szCs w:val="20"/>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type of the debt securities;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senior or subordinated debt securities, and, with respect to any subordinated debt securities the terms on which they are subordinated;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aggregate principal amount of the debt securities;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we will sell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or dates of the debt securities and the right, if any, to extend such date or 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if any, at which the debt securities will bear interest, or the method of determining such rate or rates;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such interest will accrue, the interest payment dates on which such interest will be payable or the method of determination of such 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if any, to extend the interest payment periods and the duration of that extension;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of paying principal and interest and the place or places where principal and interest will be payable;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a sinking fund, purchase fund or other analogous fund,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dates, prices, obligations and restrictions on the debt securities;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currencies or currency units in which the debt securities will be denominated and the currency, currencies or currency units in which principal and interest, if any, on the debt securities may be payable;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conversion or exchange features of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subject to the defeasance provisions in the indenture;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definitive or global form or in definitive form only upon satisfaction of certain conditions;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guaranteed as to payment or performance;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special tax implications of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events of defaults or covenants in addition to or in lieu of those set forth in the indenture;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terms of the debt securities.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When we refer to “principal” in this section with reference to the debt securities, we are also referring to “premium, if any.”</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may from time to time, without notice to or the consent of the holders of any series of debt securities, create and issue further debt securities of any such series ranking equally with the debt securities of such series in all respects (or in all respects other than (1) the payment of interest accruing prior to the issue date of such further debt securities or (2) the first payment of interest following the issue date of such further debt securities). Such further debt securities may be consolidated and form a single series with the debt securities of such series and have the same terms as to status, redemption or otherwise as the debt securities of such series.</w:t>
      </w:r>
    </w:p>
    <w:p>
      <w:pPr>
        <w:spacing w:after="0" w:line="183"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You may present debt securities for exchange and you may present debt securities for transfer in the manner, at the places and subject to the restrictions set forth in the debt securities and the applicable prospectus supplement. We will provide you those services without charge, although you may have to pay any tax or other governmental charge payable in connection with any exchange or transfer, as set forth in the indenture.</w:t>
      </w:r>
    </w:p>
    <w:p>
      <w:pPr>
        <w:spacing w:after="0" w:line="176"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Debt securities may bear interest at a fixed rate or a floating rate. Debt securities bearing no interest or interest at a rate that at the time of issuance is below the prevailing market rate (original issue discount securities) may be sold at a discount below their stated principal amount. U.S. federal income tax considerations applicable to any such discounted debt securities or to certain debt securities issued at par which are treated as having been issued at a discount for U.S. federal income tax purposes will be described in the applicable prospectus supplement.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related tax considerations will be set forth in the applicable prospectus supplement.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Terms of the Senior Debt Securities</w:t>
      </w:r>
    </w:p>
    <w:p>
      <w:pPr>
        <w:spacing w:after="0" w:line="119"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Covenants. </w:t>
      </w:r>
      <w:r>
        <w:rPr>
          <w:rFonts w:ascii="Times New Roman" w:cs="Times New Roman" w:eastAsia="Times New Roman" w:hAnsi="Times New Roman"/>
          <w:sz w:val="18"/>
          <w:szCs w:val="18"/>
          <w:color w:val="auto"/>
        </w:rPr>
        <w:t>Unless we indicate otherwise in a prospectus supplement with respect to a particular series of senior debt securities, the senior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will not contain any financial or restrictive covenants, including covenants restricting either us or our subsidiary from incurring, issuing, assuming or guaranteeing any indebtedness secured by a lien on any of our or our subsidiary’s property or capital stock, or restricting either us or our subsidiary from entering into sale and leaseback transactions.</w:t>
      </w:r>
    </w:p>
    <w:p>
      <w:pPr>
        <w:spacing w:after="0" w:line="180" w:lineRule="exact"/>
        <w:rPr>
          <w:sz w:val="20"/>
          <w:szCs w:val="20"/>
          <w:color w:val="auto"/>
        </w:rPr>
      </w:pPr>
    </w:p>
    <w:p>
      <w:pPr>
        <w:jc w:val="both"/>
        <w:ind w:left="120" w:right="2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Consolidation, Merger and Sale of Assets. </w:t>
      </w:r>
      <w:r>
        <w:rPr>
          <w:rFonts w:ascii="Times New Roman" w:cs="Times New Roman" w:eastAsia="Times New Roman" w:hAnsi="Times New Roman"/>
          <w:sz w:val="18"/>
          <w:szCs w:val="18"/>
          <w:color w:val="auto"/>
        </w:rPr>
        <w:t>Unless we indicate otherwise in a prospectus supplement with respect to a particular series of senior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 securities, we may not consolidate with or merge into any other person, in a transaction in which we are not the surviving corporation, or convey, transfer or lease our properties and assets substantially as an entirety to any person, in either case, unless:</w:t>
      </w:r>
    </w:p>
    <w:p>
      <w:pPr>
        <w:spacing w:after="0" w:line="81"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entity, if any, is a U.S. corporation, limited liability company, partnership or trust;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entity assumes our obligations on the senior debt securities and under the senior indenture;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default or event of default shall have occurred and be continuing; and</w:t>
      </w:r>
    </w:p>
    <w:p>
      <w:pPr>
        <w:spacing w:after="0" w:line="130"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senior trustee an officer’s certificate and an opinion of counsel, each stating that the consolidation, merger, conveyance, transfer or lease and, if a supplemental indenture is required in connection with such transaction, such supplemental indenture, comply with the senior indenture and all conditions precedent provided for in the senior indenture relating to such transaction have been complied with.</w:t>
      </w:r>
    </w:p>
    <w:p>
      <w:pPr>
        <w:spacing w:after="0" w:line="180" w:lineRule="exact"/>
        <w:rPr>
          <w:sz w:val="20"/>
          <w:szCs w:val="20"/>
          <w:color w:val="auto"/>
        </w:rPr>
      </w:pPr>
    </w:p>
    <w:p>
      <w:pPr>
        <w:jc w:val="both"/>
        <w:ind w:left="120" w:right="480" w:firstLine="440"/>
        <w:spacing w:after="0" w:line="266" w:lineRule="auto"/>
        <w:rPr>
          <w:sz w:val="20"/>
          <w:szCs w:val="20"/>
          <w:color w:val="auto"/>
        </w:rPr>
      </w:pPr>
      <w:r>
        <w:rPr>
          <w:rFonts w:ascii="Times New Roman" w:cs="Times New Roman" w:eastAsia="Times New Roman" w:hAnsi="Times New Roman"/>
          <w:sz w:val="18"/>
          <w:szCs w:val="18"/>
          <w:color w:val="auto"/>
        </w:rPr>
        <w:t>The restrictions described in the bullets above do not apply (1) to our consolidation with or merging into one of our affiliates, if our board of directors determines in good faith that the purpose of the consolidation or merger is principally to change our state of incorporation or our form of organization to another form or (2) if we merge with or into a single direct or indirect wholly-owned subsidiary of ours.</w:t>
      </w:r>
    </w:p>
    <w:p>
      <w:pPr>
        <w:spacing w:after="0" w:line="176"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surviving business entity will succeed to, and be substituted for, us under the senior indenture and the senior debt securities and, except in the case of a lease, we shall be released from all obligations under the senior indenture and the senior debt securities.</w:t>
      </w:r>
    </w:p>
    <w:p>
      <w:pPr>
        <w:spacing w:after="0" w:line="160" w:lineRule="exact"/>
        <w:rPr>
          <w:sz w:val="20"/>
          <w:szCs w:val="20"/>
          <w:color w:val="auto"/>
        </w:rPr>
      </w:pPr>
    </w:p>
    <w:p>
      <w:pPr>
        <w:ind w:left="120" w:right="16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No Protection in the Event of a Change in Control. </w:t>
      </w:r>
      <w:r>
        <w:rPr>
          <w:rFonts w:ascii="Times New Roman" w:cs="Times New Roman" w:eastAsia="Times New Roman" w:hAnsi="Times New Roman"/>
          <w:sz w:val="18"/>
          <w:szCs w:val="18"/>
          <w:color w:val="auto"/>
        </w:rPr>
        <w:t>Unless we indicate otherwise in a prospectus supplement with respect to a particular series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senior debt securities, the senior debt securities will not contain any provisions that may afford holders of the senior debt securities protection in the event we have a change in control or in the event of a highly leveraged transaction (whether or not such transaction results in a change in control).</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40"/>
          </w:cols>
          <w:pgMar w:left="320" w:top="455" w:right="4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right="6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Events of Default. </w:t>
      </w:r>
      <w:r>
        <w:rPr>
          <w:rFonts w:ascii="Times New Roman" w:cs="Times New Roman" w:eastAsia="Times New Roman" w:hAnsi="Times New Roman"/>
          <w:sz w:val="18"/>
          <w:szCs w:val="18"/>
          <w:color w:val="auto"/>
        </w:rPr>
        <w:t>Unless we indicate otherwise in a prospectus supplement with respect to a particular series of senior debt securities,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are events of default under the senior indenture with respect to senior debt securities of each series:</w:t>
      </w:r>
    </w:p>
    <w:p>
      <w:pPr>
        <w:spacing w:after="0" w:line="66" w:lineRule="exact"/>
        <w:rPr>
          <w:sz w:val="20"/>
          <w:szCs w:val="20"/>
          <w:color w:val="auto"/>
        </w:rPr>
      </w:pPr>
    </w:p>
    <w:p>
      <w:pPr>
        <w:ind w:left="108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interest on any senior debt securities of such series when due and payable, if that default continues for a period of 30 days (or such other period as may be specified for such series);</w:t>
      </w:r>
    </w:p>
    <w:p>
      <w:pPr>
        <w:spacing w:after="0" w:line="67" w:lineRule="exact"/>
        <w:rPr>
          <w:rFonts w:ascii="Times New Roman" w:cs="Times New Roman" w:eastAsia="Times New Roman" w:hAnsi="Times New Roman"/>
          <w:sz w:val="18"/>
          <w:szCs w:val="18"/>
          <w:color w:val="auto"/>
        </w:rPr>
      </w:pPr>
    </w:p>
    <w:p>
      <w:pPr>
        <w:ind w:left="1080" w:right="64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principal on the senior debt securities of such series when due and payable whether at maturity, upon redemption, by declaration or otherwise (and, if specified for such series, the continuance of such failure for a specified period);</w:t>
      </w:r>
    </w:p>
    <w:p>
      <w:pPr>
        <w:spacing w:after="0" w:line="67"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of or breach of any of our covenants or agreements in the senior indenture applicable to senior debt securities of such series, other than a covenant breach which is specifically dealt with elsewhere in the senior indenture, and that default or breach continues for a period of 90 days after we receive written notice from the trustee or from the holders of 25% or more in aggregate principal amount of the senior debt securities of such series;</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or insolvency, whether or not voluntary;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for in such series of senior debt securities as may be specified in the applicable prospectus supplement.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default by us under any other debt, including any other series of debt securities, is not a default under the senior indenture.</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an event of default other than an event of default specified in the fourth bullet point above occurs with respect to a series of senior debt securities and is continuing under the senior indenture, then, and in each such case, either the trustee or the holders of not less than 25% in aggregate principal amount of such series then outstanding under the senior indenture (each such series voting as a separate class) by written notice to us and to the trustee, if such notice is given by the holders, may, and the trustee at the request of such holders shall, declare the principal amount of and accrued interest on such series of senior debt securities to be immediately due and payable, and upon this declaration, the same shall become immediately due and payable.</w:t>
      </w:r>
    </w:p>
    <w:p>
      <w:pPr>
        <w:spacing w:after="0" w:line="187"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If an event of default specified in the fourth bullet point above occurs and is continuing, the entire principal amount of and accrued interest on each series of senior debt securities then outstanding shall automatically become immediately due and payable.</w:t>
      </w:r>
    </w:p>
    <w:p>
      <w:pPr>
        <w:spacing w:after="0" w:line="16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Unless otherwise specified in the prospectus supplement relating to a series of senior debt securities originally issued at a discount, the amount due upon acceleration shall include only the original issue price of the senior debt securities, the amount of original issue discount accrued to the date of acceleration and accrued interest, if any.</w:t>
      </w:r>
    </w:p>
    <w:p>
      <w:pPr>
        <w:spacing w:after="0" w:line="176"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Upon certain conditions, declarations of acceleration may be rescinded and annulled and past defaults may be waived by the holders of a majority in aggregate principal amount of all the senior debt securities of such series affected by the default, each series voting as a separate class. Furthermore, subject to various provisions in the senior indenture, the holders of a majority in aggregate principal amount of a series of senior debt securities, by notice to the trustee, may waive a continuing default or event of default with respect to such senior debt securities and its consequences, except a default in the payment of principal of or interest on such senior debt securities (other than any such default in payment resulting solely from an acceleration of the senior debt securities) or in respect of a covenant or provision of the senior indenture which cannot be modified or amended without the consent of the holders of each such senior debt security. Upon any such waiver, such default shall cease to exist, and any event of default with respect to such senior debt securities shall be deemed to have been cured, for every purpose of the senior indenture; but no such waiver shall extend to any subsequent or other default or event of default or impair any right consequent thereto.</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holders of a majority in aggregate principal amount of a series of senior debt securities may direct the time, method and place of conducting any proceeding for any remedy available to the trustee or exercising any trust or power conferred on the trustee with respect to such senior debt securities. However, the trustee may refuse to follow any direction that conflicts with law or the senior indenture, that may involve the trustee in personal liability or that the trustee determines in good faith may be unduly prejudicial to the rights of holders of such series of senior debt securities not joining in the giving of such direction and may take any other action it deems proper that is not inconsistent with any such direction received from holders of such series of senior debt securities. A holder may not pursue any remedy with respect to the senior indenture or any series of senior debt securities unless:</w:t>
      </w:r>
    </w:p>
    <w:p>
      <w:pPr>
        <w:spacing w:after="0" w:line="94" w:lineRule="exact"/>
        <w:rPr>
          <w:sz w:val="20"/>
          <w:szCs w:val="20"/>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gives the trustee written notice of a continuing event of default;</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such series of senior debt securities make a written request to the trustee to pursue the remedy in respect of such event of default;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requesting holder or holders offer the trustee indemnity satisfactory to the trustee against any costs, liability or expense;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comply with the request within 60 days after receipt of the request and the offer of indemnity; and</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such 60-day period, the holders of a majority in aggregate principal amount of such series of senior debt securities do not give the trustee a direction that is inconsistent with the request.</w:t>
      </w:r>
    </w:p>
    <w:p>
      <w:pPr>
        <w:spacing w:after="0" w:line="16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These limitations, however, do not apply to the right of any holder of a senior debt security of any affected series to receive payment of the principal of and interest on such senior debt security in accordance with the terms of such debt security, or to bring suit for the enforcement of any such payment in accordance with the terms of such debt security, on or after the due date for the senior debt securities, which right shall not be impaired or affected without the consent of the holder.</w:t>
      </w:r>
    </w:p>
    <w:p>
      <w:pPr>
        <w:spacing w:after="0" w:line="180" w:lineRule="exact"/>
        <w:rPr>
          <w:sz w:val="20"/>
          <w:szCs w:val="20"/>
          <w:color w:val="auto"/>
        </w:rPr>
      </w:pPr>
    </w:p>
    <w:p>
      <w:pPr>
        <w:ind w:left="120" w:right="780" w:firstLine="440"/>
        <w:spacing w:after="0" w:line="282" w:lineRule="auto"/>
        <w:rPr>
          <w:sz w:val="20"/>
          <w:szCs w:val="20"/>
          <w:color w:val="auto"/>
        </w:rPr>
      </w:pPr>
      <w:r>
        <w:rPr>
          <w:rFonts w:ascii="Times New Roman" w:cs="Times New Roman" w:eastAsia="Times New Roman" w:hAnsi="Times New Roman"/>
          <w:sz w:val="18"/>
          <w:szCs w:val="18"/>
          <w:color w:val="auto"/>
        </w:rPr>
        <w:t>The senior indenture requires certain of our officers to certify, on or before a fixed date in each year in which any senior debt security is outstanding, as to their knowledge of our compliance with all covenants, agreements and conditions under the senior indenture.</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Satisfaction and Discharge</w:t>
      </w:r>
      <w:r>
        <w:rPr>
          <w:rFonts w:ascii="Times New Roman" w:cs="Times New Roman" w:eastAsia="Times New Roman" w:hAnsi="Times New Roman"/>
          <w:sz w:val="18"/>
          <w:szCs w:val="18"/>
          <w:color w:val="auto"/>
        </w:rPr>
        <w:t>. We can satisfy and discharge our obligations to holders of any series of debt securities if:</w:t>
      </w:r>
    </w:p>
    <w:p>
      <w:pPr>
        <w:spacing w:after="0" w:line="133" w:lineRule="exact"/>
        <w:rPr>
          <w:sz w:val="20"/>
          <w:szCs w:val="20"/>
          <w:color w:val="auto"/>
        </w:rPr>
      </w:pPr>
    </w:p>
    <w:p>
      <w:pPr>
        <w:ind w:left="1080" w:right="12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paid or caused to be paid the principal of and interest on all senior debt securities of such series (with certain limited exceptions) when due and payable; or</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deliver to the senior trustee for cancellation all senior debt securities of such series theretofore authenticated under the senior indenture (with certain limited exceptions); or</w:t>
      </w:r>
    </w:p>
    <w:p>
      <w:pPr>
        <w:spacing w:after="0" w:line="67" w:lineRule="exact"/>
        <w:rPr>
          <w:rFonts w:ascii="Times New Roman" w:cs="Times New Roman" w:eastAsia="Times New Roman" w:hAnsi="Times New Roman"/>
          <w:sz w:val="18"/>
          <w:szCs w:val="18"/>
          <w:color w:val="auto"/>
        </w:rPr>
      </w:pPr>
    </w:p>
    <w:p>
      <w:pPr>
        <w:ind w:left="1080" w:right="20" w:hanging="424"/>
        <w:spacing w:after="0" w:line="258"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senior debt securities of such series have become due and payable or will become due and payable within one year (or are to be called for redemption within one year under arrangements satisfactory to the senior trustee) and we deposit in trust an amount of cash or a combination of cash and U.S. government or U.S. government agency obligations (or in the case of senior debt securities denominated in a foreign currency, foreign government securities or foreign government agency securities) sufficient to make interest, principal and any other payments on the debt securities of that series on their various due dates;</w:t>
      </w:r>
    </w:p>
    <w:p>
      <w:pPr>
        <w:spacing w:after="0" w:line="183"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and if, in any such case, we also pay or cause to be paid all other sums payable under the senior indenture, as and when the same shall be due and payable and we deliver to the senior trustee an officer’s certificate and an opinion of counsel, each stating that these conditions have been satisfied.</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Under current U.S. federal income tax law, the deposit and our legal release from the debt securities would be treated as though we took back your debt securities and gave you your share of the cash and debt securities or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00"/>
          </w:cols>
          <w:pgMar w:left="320" w:top="455" w:right="47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bonds deposited in trust. In that event, you could recognize gain or loss on the debt securities you give back to us. Purchasers of the debt securities should consult their own advisers with respect to the tax consequences to them of such deposit and discharge, including the applicability and effect of tax laws other than the U.S. federal income tax law.</w:t>
      </w:r>
    </w:p>
    <w:p>
      <w:pPr>
        <w:spacing w:after="0" w:line="174" w:lineRule="exact"/>
        <w:rPr>
          <w:sz w:val="20"/>
          <w:szCs w:val="20"/>
          <w:color w:val="auto"/>
        </w:rPr>
      </w:pPr>
    </w:p>
    <w:p>
      <w:pPr>
        <w:ind w:left="120" w:right="7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Defeasance. </w:t>
      </w:r>
      <w:r>
        <w:rPr>
          <w:rFonts w:ascii="Times New Roman" w:cs="Times New Roman" w:eastAsia="Times New Roman" w:hAnsi="Times New Roman"/>
          <w:sz w:val="18"/>
          <w:szCs w:val="18"/>
          <w:color w:val="auto"/>
        </w:rPr>
        <w:t>Unless the applicable prospectus supplement provides otherwise, the following discussion of legal defeasance and covenant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defeasance will apply to any series of debt securities issued under the indentures.</w:t>
      </w:r>
    </w:p>
    <w:p>
      <w:pPr>
        <w:spacing w:after="0" w:line="158" w:lineRule="exact"/>
        <w:rPr>
          <w:sz w:val="20"/>
          <w:szCs w:val="20"/>
          <w:color w:val="auto"/>
        </w:rPr>
      </w:pPr>
    </w:p>
    <w:p>
      <w:pPr>
        <w:ind w:left="120" w:right="5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Legal Defeasance</w:t>
      </w:r>
      <w:r>
        <w:rPr>
          <w:rFonts w:ascii="Times New Roman" w:cs="Times New Roman" w:eastAsia="Times New Roman" w:hAnsi="Times New Roman"/>
          <w:sz w:val="18"/>
          <w:szCs w:val="18"/>
          <w:color w:val="auto"/>
        </w:rPr>
        <w:t>. We can legally release ourselves from any payment or other obligations on the debt securities of any series (called “legal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defeasance”) if certain conditions are met, including the following:</w:t>
      </w:r>
    </w:p>
    <w:p>
      <w:pPr>
        <w:spacing w:after="0" w:line="66" w:lineRule="exact"/>
        <w:rPr>
          <w:sz w:val="20"/>
          <w:szCs w:val="20"/>
          <w:color w:val="auto"/>
        </w:rPr>
      </w:pPr>
    </w:p>
    <w:p>
      <w:pPr>
        <w:ind w:left="1080" w:right="20" w:hanging="424"/>
        <w:spacing w:after="0" w:line="261"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deposit in trust for your benefit and the benefit of all other direct holders of the debt securities of the same series cash or a combination of cash and U.S. government or U.S. government agency obligations (or, in the case of senior debt securities denominated in a foreign currency, foreign government or foreign government agency obligations) that will generate enough cash to make interest, principal and any other payments on the debt securities of that series on their various due dates.</w:t>
      </w:r>
    </w:p>
    <w:p>
      <w:pPr>
        <w:spacing w:after="0" w:line="85" w:lineRule="exact"/>
        <w:rPr>
          <w:rFonts w:ascii="Times New Roman" w:cs="Times New Roman" w:eastAsia="Times New Roman" w:hAnsi="Times New Roman"/>
          <w:sz w:val="18"/>
          <w:szCs w:val="18"/>
          <w:color w:val="auto"/>
        </w:rPr>
      </w:pPr>
    </w:p>
    <w:p>
      <w:pPr>
        <w:ind w:left="1080" w:right="180" w:hanging="424"/>
        <w:spacing w:after="0" w:line="258"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change in current U.S. federal income tax law or an IRS ruling that lets us make the above deposit without causing you to be taxed on the debt securities any differently than if we did not make the deposit and instead repaid the debt securities ourselves when due. Under current U.S. federal income tax law, the deposit and our legal release from the debt securities would be treated as though we took back your debt securities and gave you your share of the cash and debt securities or bonds deposited in trust. In that event, you could recognize gain or loss on the debt securities you give back to us.</w:t>
      </w:r>
    </w:p>
    <w:p>
      <w:pPr>
        <w:spacing w:after="0" w:line="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deliver to the trustee a legal opinion of our counsel confirming the tax law change or ruling described above.</w:t>
      </w:r>
    </w:p>
    <w:p>
      <w:pPr>
        <w:spacing w:after="0" w:line="225"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If we accomplish legal defeasance, as described above, you would have to rely solely on the trust deposit for repayment of the debt securities. You could not look to us for repayment in the event of any shortfall.</w:t>
      </w:r>
    </w:p>
    <w:p>
      <w:pPr>
        <w:spacing w:after="0" w:line="16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Covenant Defeasance</w:t>
      </w:r>
      <w:r>
        <w:rPr>
          <w:rFonts w:ascii="Times New Roman" w:cs="Times New Roman" w:eastAsia="Times New Roman" w:hAnsi="Times New Roman"/>
          <w:sz w:val="18"/>
          <w:szCs w:val="18"/>
          <w:color w:val="auto"/>
        </w:rPr>
        <w:t>. Without any change in current U.S. federal tax law, we can make the same type of deposit described above and be released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some of the covenants in the debt securities (called “covenant defeasance”). In that event, you would lose the protection of those covenants but would gain the protection of having money and securities set aside in trust to repay the debt securities. In order to achieve covenant defeasance, we must do the following (among other things):</w:t>
      </w:r>
    </w:p>
    <w:p>
      <w:pPr>
        <w:spacing w:after="0" w:line="87" w:lineRule="exact"/>
        <w:rPr>
          <w:sz w:val="20"/>
          <w:szCs w:val="20"/>
          <w:color w:val="auto"/>
        </w:rPr>
      </w:pPr>
    </w:p>
    <w:p>
      <w:pPr>
        <w:ind w:left="1080" w:hanging="424"/>
        <w:spacing w:after="0" w:line="261"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deposit in trust for your benefit and the benefit of all other direct holders of the debt securities of the same series cash or a combination of cash and U.S. government or U.S. government agency obligations (or, in the case of senior debt securities denominated in a foreign currency, foreign government or foreign government agency obligations) that will generate enough cash to make interest, principal and any other payments on the debt securities of that series on their various due dates.</w:t>
      </w:r>
    </w:p>
    <w:p>
      <w:pPr>
        <w:spacing w:after="0" w:line="85"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a legal opinion of our counsel confirming that under current U.S. federal income tax law we may make the above deposit without causing you to be taxed on the debt securities any differently than if we did not make the deposit and instead repaid the debt securities ourselves when due.</w:t>
      </w:r>
    </w:p>
    <w:p>
      <w:pPr>
        <w:spacing w:after="0" w:line="17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If we accomplish covenant defeasance, you could still look to us for repayment of the debt securities if there were a shortfall in the trust deposit. In fact, if one of the events of default occurred (such as our bankruptcy) and the debt securities become immediately due and payable, there may be such a shortfall. Depending on the events causing the default, you may not be able to obtain payment of the shortfall.</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right="1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Modification and Waiver. </w:t>
      </w:r>
      <w:r>
        <w:rPr>
          <w:rFonts w:ascii="Times New Roman" w:cs="Times New Roman" w:eastAsia="Times New Roman" w:hAnsi="Times New Roman"/>
          <w:sz w:val="18"/>
          <w:szCs w:val="18"/>
          <w:color w:val="auto"/>
        </w:rPr>
        <w:t>We and the trustee may amend or supplement the senior indenture or the senior debt securities of any series without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consent of any holder:</w:t>
      </w:r>
    </w:p>
    <w:p>
      <w:pPr>
        <w:spacing w:after="0" w:line="66" w:lineRule="exact"/>
        <w:rPr>
          <w:sz w:val="20"/>
          <w:szCs w:val="20"/>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convey, transfer, assign, mortgage or pledge any assets as security for the senior debt securities of one or more series;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the succession of a corporation, limited liability company, partnership or trust to us, and the assumption by such successor of our covenants, agreements and obligations under the senior indenture or to otherwise comply with the covenant relating to mergers, consolidations and sales of assets;</w:t>
      </w:r>
    </w:p>
    <w:p>
      <w:pPr>
        <w:spacing w:after="0" w:line="81" w:lineRule="exact"/>
        <w:rPr>
          <w:rFonts w:ascii="Times New Roman" w:cs="Times New Roman" w:eastAsia="Times New Roman" w:hAnsi="Times New Roman"/>
          <w:sz w:val="18"/>
          <w:szCs w:val="18"/>
          <w:color w:val="auto"/>
        </w:rPr>
      </w:pPr>
    </w:p>
    <w:p>
      <w:pPr>
        <w:ind w:left="1080" w:right="72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requirements of the SEC in order to effect or maintain the qualification of the senior indenture under the Trust Indenture Act of 1939, as amended (the “Trust Indenture Act”);</w:t>
      </w:r>
    </w:p>
    <w:p>
      <w:pPr>
        <w:spacing w:after="0" w:line="67"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our covenants such new covenants, restrictions, conditions or provisions for the protection of the holders, and to make the occurrence, or the occurrence and continuance, of a default in any such additional covenants, restrictions, conditions or provisions an event of default;</w:t>
      </w:r>
    </w:p>
    <w:p>
      <w:pPr>
        <w:spacing w:after="0" w:line="81"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 in the senior indenture or in any supplemental indenture or to conform the senior indenture or the senior debt securities to the description of senior debt securities of such series set forth in this prospectus or any applicable prospectus supplement;</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or add guarantors with respect to the senior debt securities of any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the form or forms or terms of the senior debt securities as permitted by the senior indenture;</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under the senior indenture by a successor trustee, or to make such changes as shall be necessary to provide for or facilitate the administration of the trusts in the senior indenture by more than one trustee;</w:t>
      </w:r>
    </w:p>
    <w:p>
      <w:pPr>
        <w:spacing w:after="0" w:line="67" w:lineRule="exact"/>
        <w:rPr>
          <w:rFonts w:ascii="Times New Roman" w:cs="Times New Roman" w:eastAsia="Times New Roman" w:hAnsi="Times New Roman"/>
          <w:sz w:val="18"/>
          <w:szCs w:val="18"/>
          <w:color w:val="auto"/>
        </w:rPr>
      </w:pPr>
    </w:p>
    <w:p>
      <w:pPr>
        <w:ind w:left="1080" w:right="180" w:hanging="424"/>
        <w:spacing w:after="0" w:line="258"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change or eliminate any of the provisions of the senior indenture in respect of one or more series of senior debt securities, provided that any such addition, change or elimination shall (a) neither (1) apply to any senior debt security of any series created prior to the execution of such supplemental indenture and entitled to the benefit of such provision nor (2) modify the rights of the holder of any such senior debt security with respect to such provision or (b) become effective only when there is no senior debt security described in clause (a)(1) outstanding;</w:t>
      </w:r>
    </w:p>
    <w:p>
      <w:pPr>
        <w:spacing w:after="0" w:line="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to the senior debt securities of any series so long as no senior debt securities of such series are outstanding;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holder in any material respect.</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Other amendments and modifications of the senior indenture or the senior debt securities issued may be made, and our compliance with any provision of the senior indenture with respect to any series of senior debt securities may be waived, with the consent of the holders of a majority of the aggregate principal amount of the outstanding senior debt securities of each series affected by the amendment or modification (voting as separate series); provided, however, that each affected holder must consent to any modification, amendment or waiver that:</w:t>
      </w:r>
    </w:p>
    <w:p>
      <w:pPr>
        <w:spacing w:after="0" w:line="85" w:lineRule="exact"/>
        <w:rPr>
          <w:sz w:val="20"/>
          <w:szCs w:val="20"/>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extends the final maturity of any senior debt securities of such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reduces the principal amount of any senior debt securities of such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reduces the rate, or extends the time for payment of, interest on any senior debt securities of such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reduces the amount payable upon the redemption of any senior debt securities of such series;</w:t>
      </w:r>
    </w:p>
    <w:p>
      <w:pPr>
        <w:spacing w:after="0" w:line="130" w:lineRule="exact"/>
        <w:rPr>
          <w:rFonts w:ascii="Times New Roman" w:cs="Times New Roman" w:eastAsia="Times New Roman" w:hAnsi="Times New Roman"/>
          <w:sz w:val="18"/>
          <w:szCs w:val="18"/>
          <w:color w:val="auto"/>
        </w:rPr>
      </w:pPr>
    </w:p>
    <w:p>
      <w:pPr>
        <w:ind w:left="5540" w:right="2640" w:hanging="4884"/>
        <w:spacing w:after="0" w:line="454" w:lineRule="auto"/>
        <w:tabs>
          <w:tab w:leader="none" w:pos="109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the currency of payment of principal of or interest on any senior debt securities of such series; 13</w:t>
      </w:r>
    </w:p>
    <w:p>
      <w:pPr>
        <w:sectPr>
          <w:pgSz w:w="11900" w:h="16838" w:orient="portrait"/>
          <w:cols w:equalWidth="0" w:num="1">
            <w:col w:w="11120"/>
          </w:cols>
          <w:pgMar w:left="320" w:top="455" w:right="45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right="66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reduces the principal amount of original issue discount securities payable upon acceleration of maturity or the amount provable in bankruptcy;</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waives a continuing default in the payment of principal of or interest on the senior debt securities (other than any such default in payment resulting solely from an acceleration of the senior debt securities);</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the provisions relating to the waiver of past defaults or impairs the right of holders to receive payment or to institute suit for the enforcement of any payment or conversion of any senior debt securities of such series on or after the due date therefor;</w:t>
      </w:r>
    </w:p>
    <w:p>
      <w:pPr>
        <w:spacing w:after="0" w:line="67"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modifies any of the provisions of these restrictions on amendments and modifications, except to increase any required percentage or to provide that certain other provisions cannot be modified or waived without the consent of the holder of each senior debt security of such series affected by the modification;</w:t>
      </w:r>
    </w:p>
    <w:p>
      <w:pPr>
        <w:spacing w:after="0" w:line="81"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affects the right to convert or exchange senior debt securities into common stock or other property in accordance with the terms of the senior debt securities; or</w:t>
      </w:r>
    </w:p>
    <w:p>
      <w:pPr>
        <w:spacing w:after="0" w:line="67"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reduces the above-stated percentage of outstanding senior debt securities of such series whose holders must consent to a supplemental indenture or modifies or amends or waives certain provisions of or defaults under the senior indenture.</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It shall not be necessary for the holders to approve the particular form of any proposed amendment, supplement or waiver, but it shall be sufficient if the holders’ consent approves the substance thereof. After an amendment, supplement or waiver of the senior indenture in accordance with the provisions described in this section becomes effective, the trustee must give to the holders affected thereby certain notice briefly describing the amendment, supplement or waiver. Any failure by the trustee to give such notice, or any defect therein, shall not, however, in any way impair or affect the validity of any such amendment, supplemental indenture or waiver.</w:t>
      </w:r>
    </w:p>
    <w:p>
      <w:pPr>
        <w:spacing w:after="0" w:line="18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No Personal Liability of Incorporators, Stockholders, Officers or Directors. </w:t>
      </w:r>
      <w:r>
        <w:rPr>
          <w:rFonts w:ascii="Times New Roman" w:cs="Times New Roman" w:eastAsia="Times New Roman" w:hAnsi="Times New Roman"/>
          <w:sz w:val="18"/>
          <w:szCs w:val="18"/>
          <w:color w:val="auto"/>
        </w:rPr>
        <w:t>The senior indenture provides that no recourse shall be had under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 covenant or agreement of ours in the senior indenture or any supplemental indenture, or in any of the senior debt securities or because of the creation of any indebtedness represented thereby, against any of our incorporators, stockholders, officers or directors, past, present or future, or of any predecessor or successor entity thereof under any law, statute or constitutional provision or by the enforcement of any assessment or by any legal or equitable proceeding or otherwise. Each holder, by accepting the senior debt securities, waives and releases all such liability.</w:t>
      </w:r>
    </w:p>
    <w:p>
      <w:pPr>
        <w:spacing w:after="0" w:line="183"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Concerning the Trustee. </w:t>
      </w:r>
      <w:r>
        <w:rPr>
          <w:rFonts w:ascii="Times New Roman" w:cs="Times New Roman" w:eastAsia="Times New Roman" w:hAnsi="Times New Roman"/>
          <w:sz w:val="18"/>
          <w:szCs w:val="18"/>
          <w:color w:val="auto"/>
        </w:rPr>
        <w:t>The senior indenture provides that, except during the continuance of an event of default, the trustee will not be liable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except for the performance of such duties as are specifically set forth in the senior indenture. If an event of default has occurred and is continuing, the trustee will exercise such rights and powers vested in it under the senior indenture and will use the same degree of care and skill in its exercise as a prudent person would exercise under the circumstances in the conduct of such person’s own affairs.</w:t>
      </w:r>
    </w:p>
    <w:p>
      <w:pPr>
        <w:spacing w:after="0" w:line="18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senior indenture and the provisions of the Trust Indenture Act incorporated by reference therein contain limitations on the rights of the trustee thereunder, should it become a creditor of ours or our subsidiary, to obtain payment of claims in certain cases or to realize on certain property received by it in respect of any such claims, as security or otherwise. The trustee is permitted to engage in other transactions, provided that if it acquires any conflicting interest (as defined in the Trust Indenture Act), it must eliminate such conflict or resign.</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have normal banking relationships with the senior trustee in the ordinary course of business.</w:t>
      </w:r>
    </w:p>
    <w:p>
      <w:pPr>
        <w:spacing w:after="0" w:line="223" w:lineRule="exact"/>
        <w:rPr>
          <w:sz w:val="20"/>
          <w:szCs w:val="20"/>
          <w:color w:val="auto"/>
        </w:rPr>
      </w:pPr>
    </w:p>
    <w:p>
      <w:pPr>
        <w:ind w:left="120" w:right="1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Unclaimed Funds. </w:t>
      </w:r>
      <w:r>
        <w:rPr>
          <w:rFonts w:ascii="Times New Roman" w:cs="Times New Roman" w:eastAsia="Times New Roman" w:hAnsi="Times New Roman"/>
          <w:sz w:val="18"/>
          <w:szCs w:val="18"/>
          <w:color w:val="auto"/>
        </w:rPr>
        <w:t>All funds deposited with the trustee or any paying agent for the payment of principal, premium, interest or additional amounts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respect of the senior debt securities that remain unclaimed for</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00"/>
          </w:cols>
          <w:pgMar w:left="320" w:top="455" w:right="47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two years after the date upon which such amounts became due and payable will be repaid to us. Thereafter, any right of any holder of senior debt securities to such funds shall be enforceable only against us, and the trustee and paying agents will have no liability therefor.</w:t>
      </w:r>
    </w:p>
    <w:p>
      <w:pPr>
        <w:spacing w:after="0" w:line="160" w:lineRule="exact"/>
        <w:rPr>
          <w:sz w:val="20"/>
          <w:szCs w:val="20"/>
          <w:color w:val="auto"/>
        </w:rPr>
      </w:pPr>
    </w:p>
    <w:p>
      <w:pPr>
        <w:ind w:left="120" w:right="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Governing Law. </w:t>
      </w:r>
      <w:r>
        <w:rPr>
          <w:rFonts w:ascii="Times New Roman" w:cs="Times New Roman" w:eastAsia="Times New Roman" w:hAnsi="Times New Roman"/>
          <w:sz w:val="18"/>
          <w:szCs w:val="18"/>
          <w:color w:val="auto"/>
        </w:rPr>
        <w:t>The senior indenture and the senior debt securities will be governed by, and construed in accordance with, the internal laws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 of New York.</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Terms of the Subordinated Debt Securities</w:t>
      </w:r>
    </w:p>
    <w:p>
      <w:pPr>
        <w:spacing w:after="0" w:line="121" w:lineRule="exact"/>
        <w:rPr>
          <w:sz w:val="20"/>
          <w:szCs w:val="20"/>
          <w:color w:val="auto"/>
        </w:rPr>
      </w:pPr>
    </w:p>
    <w:p>
      <w:pPr>
        <w:jc w:val="both"/>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Other than the terms of the subordinated indenture and subordinated debt securities relating to subordination or otherwise as described in the prospectus supplement relating to a particular series of subordinated debt securities, the terms of the subordinated indenture and subordinated debt securities are identical in all material respects to the terms of the senior indenture and senior debt securities.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Additional or different subordination terms may be specified in the prospectus supplement applicable to a particular series.</w:t>
      </w:r>
    </w:p>
    <w:p>
      <w:pPr>
        <w:spacing w:after="0" w:line="223"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Subordination. </w:t>
      </w:r>
      <w:r>
        <w:rPr>
          <w:rFonts w:ascii="Times New Roman" w:cs="Times New Roman" w:eastAsia="Times New Roman" w:hAnsi="Times New Roman"/>
          <w:sz w:val="18"/>
          <w:szCs w:val="18"/>
          <w:color w:val="auto"/>
        </w:rPr>
        <w:t>The indebtedness evidenced by the subordinated debt securities is subordinate to the prior payment in full of all of our senior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indebtedness, as defined in the subordinated indenture. During the continuance beyond any applicable grace period of any default in the payment of principal, premium, interest or any other payment due on any of our senior indebtedness, we may not make any payment of principal of or interest on the subordinated debt securities (except for certain sinking fund payments). In addition, upon any payment or distribution of our assets upon any dissolution, winding-up, liquidation or reorganization, the payment of the principal of and interest on the subordinated debt securities will be subordinated to the extent provided in the subordinated indenture in right of payment to the prior payment in full of all our senior indebtedness. Because of this subordination, if we dissolve or otherwise liquidate, holders of our subordinated debt securities may receive less, ratably, than holders of our senior indebtedness. The subordination provisions do not prevent the occurrence of an event of default under the subordinated indenture.</w:t>
      </w:r>
    </w:p>
    <w:p>
      <w:pPr>
        <w:spacing w:after="0" w:line="187" w:lineRule="exact"/>
        <w:rPr>
          <w:sz w:val="20"/>
          <w:szCs w:val="20"/>
          <w:color w:val="auto"/>
        </w:rPr>
      </w:pPr>
    </w:p>
    <w:p>
      <w:pPr>
        <w:ind w:left="120" w:right="280" w:firstLine="440"/>
        <w:spacing w:after="0" w:line="312" w:lineRule="auto"/>
        <w:rPr>
          <w:sz w:val="20"/>
          <w:szCs w:val="20"/>
          <w:color w:val="auto"/>
        </w:rPr>
      </w:pPr>
      <w:r>
        <w:rPr>
          <w:rFonts w:ascii="Times New Roman" w:cs="Times New Roman" w:eastAsia="Times New Roman" w:hAnsi="Times New Roman"/>
          <w:sz w:val="17"/>
          <w:szCs w:val="17"/>
          <w:color w:val="auto"/>
        </w:rPr>
        <w:t>The term “senior indebtedness” of a person means with respect to such person the principal of, premium, if any, interest on, and any other payment due pursuant to any of the following, whether outstanding on the date of the subordinated indenture or incurred by that person in the future:</w:t>
      </w:r>
    </w:p>
    <w:p>
      <w:pPr>
        <w:spacing w:after="0" w:line="45" w:lineRule="exact"/>
        <w:rPr>
          <w:sz w:val="20"/>
          <w:szCs w:val="20"/>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indebtedness of that person for money borrowed;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indebtedness of that person evidenced by notes, debentures, bonds or other securities sold by that person for money;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lease obligations that are capitalized on the books of that person in accordance with generally accepted accounting principles;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indebtedness of others of the kinds described in the first two bullet points above and all lease obligations of others of the kind described in the third bullet point above that the person, in any manner, assumes or guarantees or that the person in effect guarantees through an agreement to purchase, whether that agreement is contingent or otherwise; and</w:t>
      </w:r>
    </w:p>
    <w:p>
      <w:pPr>
        <w:spacing w:after="0" w:line="81"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renewals, extensions or refundings of indebtedness of the kinds described in the first, second or fourth bullet point above and all renewals or extensions of leases of the kinds described in the third or fourth bullet point above;</w:t>
      </w:r>
    </w:p>
    <w:p>
      <w:pPr>
        <w:spacing w:after="0" w:line="5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unless, in the case of any particular indebtedness, renewal, extension or refunding, the instrument creating or evidencing it or the assumption or guarantee relating to it expressly provides that such indebtedness, renewal, extension or refunding is not superior in right of payment to the subordinated debt securities. Our senior debt securities constitute senior indebtedness for purposes of the subordinated indenture.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00"/>
          </w:cols>
          <w:pgMar w:left="320" w:top="455" w:right="47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following description of our capital stock and provisions of our certificate of incorporation and bylaws are summaries. You should also refer to the restated certificate of incorporation and the amended and restated bylaws, which are filed as exhibits to the registration statement of which this prospectus is part.</w:t>
      </w:r>
    </w:p>
    <w:p>
      <w:pPr>
        <w:spacing w:after="0" w:line="176"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Our authorized capital stock consists of 200,000,000 shares of our common stock, par value $0.001 per share, and 5,000,000 shares of our preferred stock, par value $0.001 per share, all of which preferred stock is undesignated.</w:t>
      </w:r>
    </w:p>
    <w:p>
      <w:pPr>
        <w:spacing w:after="0" w:line="162"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As of June 30, 2020, we had issued and outstanding 27,452,872 shares of our common stock held by 75 stockholders of record (not including beneficial owners whose shares are held in “nominee” or “street” name), including 229,076 shares of unvested restricted stock subject to repurchase by us.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Holders of our common stock are entitled to one vote for each share held on all matters submitted to a vote of stockholders and do not have cumulative voting rights. Each election of directors by our stockholders will be determined by a plurality of the votes cast by the stockholders entitled to vote on the election. Any matters other than the election of directors to be voted upon by the stockholders at a meeting are decided by the vote of the holders of shares of stock having a majority in voting power of the votes cast by the holders of all of the shares of stock present or represented at the meeting and voting affirmatively or negatively on such matter, except when a different vote is required by law, our certificate of incorporation or our bylaws. Holders of common stock are entitled to receive proportionately any dividends as may be declared by our board of directors, subject to any preferential dividend or other rights of any outstanding preferred stock.</w:t>
      </w:r>
    </w:p>
    <w:p>
      <w:pPr>
        <w:spacing w:after="0" w:line="189"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In the event of our liquidation, dissolution or winding up, the holders of our common stock are entitled to receive proportionately all assets available for distribution to stockholders after the payment of all debts and other liabilities and subject to any preferential or other rights of any outstanding preferred stock. Holders of our common stock have no preemptive, subscription, redemption or conversion rights. The rights, preferences and privileges of holders of our common stock are subject to and may be adversely affected by the rights of the holders of shares of any series of our preferred stock that we may designate and issue in the future.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are authorized to issue “blank check” preferred stock, which may be issued in one or more series upon authorization of our board of directors. Our board of directors is authorized to fix the designations, powers, preferences and the relative, participating, optional or other special rights and any qualifications, limitations and restrictions of the shares of each series of preferred stock. The authorized shares of our preferred stock are available for issuance without further action by our stockholders, unless such action is required by applicable law or the rules of any stock exchange on which our securities may be listed. If the approval of our stockholders is not required for the issuance of shares of our preferred stock, our board may determine not to seek stockholder approval. The specific terms of any series of preferred stock offered pursuant to this prospectus will be described in the prospectus supplement relating to that series of preferred stock.</w:t>
      </w:r>
    </w:p>
    <w:p>
      <w:pPr>
        <w:spacing w:after="0" w:line="189" w:lineRule="exact"/>
        <w:rPr>
          <w:sz w:val="20"/>
          <w:szCs w:val="20"/>
          <w:color w:val="auto"/>
        </w:rPr>
      </w:pPr>
    </w:p>
    <w:p>
      <w:pPr>
        <w:ind w:left="120" w:right="260" w:firstLine="440"/>
        <w:spacing w:after="0" w:line="256" w:lineRule="auto"/>
        <w:rPr>
          <w:sz w:val="20"/>
          <w:szCs w:val="20"/>
          <w:color w:val="auto"/>
        </w:rPr>
      </w:pPr>
      <w:r>
        <w:rPr>
          <w:rFonts w:ascii="Times New Roman" w:cs="Times New Roman" w:eastAsia="Times New Roman" w:hAnsi="Times New Roman"/>
          <w:sz w:val="18"/>
          <w:szCs w:val="18"/>
          <w:color w:val="auto"/>
        </w:rPr>
        <w:t>A series of our preferred stock could, depending on the terms of such series, impede the completion of a merger, tender offer or other takeover attempt. Our board of directors will make any determination to issue preferred shares based upon its judgment as to the best interests of our stockholders. Our directors, in so acting, could issue preferred stock having terms that could discourage an acquisition attempt through which an acquirer may be able to change the composition of our board of directors, including a tender offer or other transaction that some, or a majority, of our stockholders might believe to be in their best interests or in which stockholders might receive a premium for their stock over the then-current market price of the stock.</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312" w:lineRule="auto"/>
        <w:rPr>
          <w:sz w:val="20"/>
          <w:szCs w:val="20"/>
          <w:color w:val="auto"/>
        </w:rPr>
      </w:pPr>
      <w:r>
        <w:rPr>
          <w:rFonts w:ascii="Times New Roman" w:cs="Times New Roman" w:eastAsia="Times New Roman" w:hAnsi="Times New Roman"/>
          <w:sz w:val="17"/>
          <w:szCs w:val="17"/>
          <w:color w:val="auto"/>
        </w:rPr>
        <w:t>The preferred stock has the terms described below unless otherwise provided in the prospectus supplement relating to a particular series of preferred stock. You should read the prospectus supplement relating to the particular series of preferred stock being offered for specific terms, including:</w:t>
      </w:r>
    </w:p>
    <w:p>
      <w:pPr>
        <w:spacing w:after="0" w:line="45" w:lineRule="exact"/>
        <w:rPr>
          <w:sz w:val="20"/>
          <w:szCs w:val="20"/>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stated value per share of the preferred stock and the number of shares offered;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liquidation preference per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the preferred stock will be issued;</w:t>
      </w:r>
    </w:p>
    <w:p>
      <w:pPr>
        <w:spacing w:after="0" w:line="130" w:lineRule="exact"/>
        <w:rPr>
          <w:rFonts w:ascii="Times New Roman" w:cs="Times New Roman" w:eastAsia="Times New Roman" w:hAnsi="Times New Roman"/>
          <w:sz w:val="18"/>
          <w:szCs w:val="18"/>
          <w:color w:val="auto"/>
        </w:rPr>
      </w:pPr>
    </w:p>
    <w:p>
      <w:pPr>
        <w:ind w:left="1080" w:right="74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or method of calculation of dividends, the dates on which dividends will be payable, whether dividends will be cumulative or noncumulative and, if cumulative, the dates from which dividends will commence to accumulate;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or sinking fund provisions;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currency of the United States, the currency or currencies including composite currencies in which the preferred stock is denominated and/or in which payments will or may be payable;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conversion provisions;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have elected to offer depositary shares as described under “Description of Depositary Shares;”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rights, preferences, privileges, limitations and restrictions on the preferred stock.</w:t>
      </w:r>
    </w:p>
    <w:p>
      <w:pPr>
        <w:spacing w:after="0" w:line="225"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preferred stock will, when issued, be fully paid and non-assessable. Unless otherwise specified in the prospectus supplement, each series of preferred stock will rank equally as to dividends and liquidation rights in all respects with each other series of preferred stock. The rights of holders of shares of each series of preferred stock will be subordinate to those of our general creditors.</w:t>
      </w:r>
    </w:p>
    <w:p>
      <w:pPr>
        <w:spacing w:after="0" w:line="176"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As described under “Description of Depositary Shares,” we may, at our option, with respect to any series of preferred stock, elect to offer fractional interests in shares of preferred stock, and provide for the issuance of depositary receipts representing depositary shares, each of which will represent a fractional interest in a share of the series of preferred stock. The fractional interest will be specified in the prospectus supplement relating to a particular series of preferred stock.</w:t>
      </w:r>
    </w:p>
    <w:p>
      <w:pPr>
        <w:spacing w:after="0" w:line="178" w:lineRule="exact"/>
        <w:rPr>
          <w:sz w:val="20"/>
          <w:szCs w:val="20"/>
          <w:color w:val="auto"/>
        </w:rPr>
      </w:pPr>
    </w:p>
    <w:p>
      <w:pPr>
        <w:ind w:left="120" w:right="5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Rank</w:t>
      </w:r>
      <w:r>
        <w:rPr>
          <w:rFonts w:ascii="Times New Roman" w:cs="Times New Roman" w:eastAsia="Times New Roman" w:hAnsi="Times New Roman"/>
          <w:sz w:val="18"/>
          <w:szCs w:val="18"/>
          <w:color w:val="auto"/>
        </w:rPr>
        <w:t>. Unless otherwise specified in the prospectus supplement, the preferred stock will, with respect to dividend rights and rights upon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liquidation, dissolution or winding up of our affairs, rank:</w:t>
      </w:r>
    </w:p>
    <w:p>
      <w:pPr>
        <w:spacing w:after="0" w:line="187" w:lineRule="exact"/>
        <w:rPr>
          <w:sz w:val="20"/>
          <w:szCs w:val="20"/>
          <w:color w:val="auto"/>
        </w:rPr>
      </w:pPr>
    </w:p>
    <w:p>
      <w:pPr>
        <w:ind w:left="1080" w:right="2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to our common stock and to all equity securities ranking junior to such preferred stock with respect to dividend rights or rights upon our liquidation, dissolution or winding up of our affairs;</w:t>
      </w:r>
    </w:p>
    <w:p>
      <w:pPr>
        <w:spacing w:after="0" w:line="188"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parity with all equity securities issued by us, the terms of which specifically provide that such equity securities rank on a parity with the preferred stock with respect to dividend rights or rights upon our liquidation, dissolution or winding up of our affairs; and</w:t>
      </w:r>
    </w:p>
    <w:p>
      <w:pPr>
        <w:spacing w:after="0" w:line="188"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junior to all equity securities issued by us, the terms of which specifically provide that such equity securities rank senior to the preferred stock with respect to dividend rights or rights upon our liquidation, dissolution or winding up of our affairs.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term “equity securities” does not include convertible debt securities.</w:t>
      </w:r>
    </w:p>
    <w:p>
      <w:pPr>
        <w:spacing w:after="0" w:line="223" w:lineRule="exact"/>
        <w:rPr>
          <w:sz w:val="20"/>
          <w:szCs w:val="20"/>
          <w:color w:val="auto"/>
        </w:rPr>
      </w:pPr>
    </w:p>
    <w:p>
      <w:pPr>
        <w:ind w:left="120" w:right="6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Holders of the preferred stock of each series will be entitled to receive, when, as and if declared by our board of directors,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at such rates and on such dates described in the prospectus supplement.</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00"/>
          </w:cols>
          <w:pgMar w:left="320" w:top="455" w:right="47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Different series of preferred stock may be entitled to dividends at different rates or based on different methods of calculation. The dividend rate may be fixed or variable or both. Dividends will be payable to the holders of record as they appear on our stock books on record dates fixed by our board of directors, as specified in the applicable prospectus supplement.</w:t>
      </w:r>
    </w:p>
    <w:p>
      <w:pPr>
        <w:spacing w:after="0" w:line="176"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Dividends on any series of preferred stock may be cumulative or noncumulative, as described in the applicable prospectus supplement. If our board of directors does not declare a dividend payable on a dividend payment date on any series of noncumulative preferred stock, then the holders of that noncumulative preferred stock will have no right to receive a dividend for that dividend payment date, and we will have no obligation to pay the dividend accrued for that period, whether or not dividends on that series are declared payable on any future dividend payment dates. Dividends on any series of cumulative preferred stock will accrue from the date we initially issue shares of such series or such other date specified in the applicable prospectus supplement.</w:t>
      </w:r>
    </w:p>
    <w:p>
      <w:pPr>
        <w:spacing w:after="0" w:line="187"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No dividends may be declared or paid or funds set apart for the payment of any dividends on any parity securities unless full dividends have been paid or set apart for payment on the preferred stock. If full dividends are not paid, the preferred stock will share dividends pro rata with the parity securities.</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No dividends may be declared or paid or funds set apart for the payment of dividends on any junior securities unless full dividends for all dividend periods terminating on or prior to the date of the declaration or payment will have been paid or declared and a sum sufficient for the payment set apart for payment on the preferred stock.</w:t>
      </w:r>
    </w:p>
    <w:p>
      <w:pPr>
        <w:spacing w:after="0" w:line="174"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Liquidation Preference</w:t>
      </w:r>
      <w:r>
        <w:rPr>
          <w:rFonts w:ascii="Times New Roman" w:cs="Times New Roman" w:eastAsia="Times New Roman" w:hAnsi="Times New Roman"/>
          <w:sz w:val="18"/>
          <w:szCs w:val="18"/>
          <w:color w:val="auto"/>
        </w:rPr>
        <w:t>. Upon any voluntary or involuntary liquidation, dissolution or winding up of our affairs, then, before we make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or payment to the holders of any common stock or any other class or series of our capital stock ranking junior to the preferred stock in the distribution of assets upon any liquidation, dissolution or winding up of our affairs, the holders of each series of preferred stock shall be entitled to receive out of assets legally available for distribution to stockholders, liquidating distributions in the amount of the liquidation preference per share set forth in the prospectus supplement, plus any accrued and unpaid dividends thereon. Such dividends will not include any accumulation in respect of unpaid noncumulative dividends for prior dividend periods. Unless otherwise specified in the prospectus supplement, after payment of the full amount of their liquidating distributions, the holders of preferred stock will have no right or claim to any of our remaining assets. Upon any such voluntary or involuntary liquidation, dissolution or winding up, if our available assets are insufficient to pay the amount of the liquidating distributions on all outstanding preferred stock and the corresponding amounts payable on all other classes or series of our capital stock ranking on parity with the preferred stock and all other such classes or series of shares of capital stock ranking on parity with the preferred stock in the distribution of assets, then the holders of the preferred stock and all other such classes or series of capital stock will share ratably in any such distribution of assets in proportion to the full liquidating distributions to which they would otherwise be entitled.</w:t>
      </w:r>
    </w:p>
    <w:p>
      <w:pPr>
        <w:spacing w:after="0" w:line="19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Upon any such liquidation, dissolution or winding up and if we have made liquidating distributions in full to all holders of preferred stock, we will distribute our remaining assets among the holders of any other classes or series of capital stock ranking junior to the preferred stock according to their respective rights and preferences and, in each case, according to their respective number of shares. For such purposes, our consolidation or merger with or into any other corporation, trust or entity, or the sale, lease or conveyance of all or substantially all of our property or assets will not be deemed to constitute a liquidation, dissolution or winding up of our affairs.</w:t>
      </w:r>
    </w:p>
    <w:p>
      <w:pPr>
        <w:spacing w:after="0" w:line="181" w:lineRule="exact"/>
        <w:rPr>
          <w:sz w:val="20"/>
          <w:szCs w:val="20"/>
          <w:color w:val="auto"/>
        </w:rPr>
      </w:pPr>
    </w:p>
    <w:p>
      <w:pPr>
        <w:ind w:left="120" w:right="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Redemption</w:t>
      </w:r>
      <w:r>
        <w:rPr>
          <w:rFonts w:ascii="Times New Roman" w:cs="Times New Roman" w:eastAsia="Times New Roman" w:hAnsi="Times New Roman"/>
          <w:sz w:val="18"/>
          <w:szCs w:val="18"/>
          <w:color w:val="auto"/>
        </w:rPr>
        <w:t>. If so provided in the applicable prospectus supplement, the preferred stock will be subject to mandatory redemption or redemption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option, as a whole or in part, in each case upon the terms, at the times and at the redemption prices set forth in such prospectus supplement.</w:t>
      </w:r>
    </w:p>
    <w:p>
      <w:pPr>
        <w:spacing w:after="0" w:line="160"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 series of preferred stock that is subject to mandatory redemption will specify the number of shares of preferred stock that shall be redeemed by us in each year commencing after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 date to be specified, at a redemption price per share to be specified, together with an amount equal to all accrued and unpaid dividends thereon to the date of redemption. Unless the shares have a cumulative dividend, such accrued dividends will not include any accumulation in respect of unpaid dividends for prior dividend periods. We may pay the redemption price in cash or other property, as specified in the applicable prospectus supplement. If the redemption price for preferred stock of any series is payable only from the net proceeds of the issuance of shares of our capital stock, the terms of such preferred stock may provide that, if no such shares of our capital stock shall have been issued or to the extent the net proceeds from any issuance are insufficient to pay in full the aggregate redemption price then due, such preferred stock shall automatically and mandatorily be converted into the applicable shares of our capital stock pursuant to conversion provisions specified in the applicable prospectus supplement. Notwithstanding the foregoing, we will not redeem any preferred stock of a series unless:</w:t>
      </w:r>
    </w:p>
    <w:p>
      <w:pPr>
        <w:spacing w:after="0" w:line="97" w:lineRule="exact"/>
        <w:rPr>
          <w:sz w:val="20"/>
          <w:szCs w:val="20"/>
          <w:color w:val="auto"/>
        </w:rPr>
      </w:pPr>
    </w:p>
    <w:p>
      <w:pPr>
        <w:ind w:left="1080" w:right="20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that series of preferred stock has a cumulative dividend, we have declared and paid or contemporaneously declare and pay or set aside funds to pay full cumulative dividends on the preferred stock for all past dividend periods and the then current dividend period; or</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series of preferred stock does not have a cumulative dividend, we have declared and paid or contemporaneously declare and pay or set aside funds to pay full dividends for the then current dividend period.</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addition, we will not acquire any preferred stock of a series unless:</w:t>
      </w:r>
    </w:p>
    <w:p>
      <w:pPr>
        <w:spacing w:after="0" w:line="131" w:lineRule="exact"/>
        <w:rPr>
          <w:sz w:val="20"/>
          <w:szCs w:val="20"/>
          <w:color w:val="auto"/>
        </w:rPr>
      </w:pPr>
    </w:p>
    <w:p>
      <w:pPr>
        <w:ind w:left="1080" w:right="80" w:hanging="424"/>
        <w:spacing w:after="0" w:line="266"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that series of preferred stock has a cumulative dividend, we have declared and paid or contemporaneously declare and pay or set aside funds to pay full cumulative dividends on all outstanding shares of such series of preferred stock for all past dividend periods and the then current dividend period; or</w:t>
      </w:r>
    </w:p>
    <w:p>
      <w:pPr>
        <w:spacing w:after="0" w:line="81"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that series of preferred stock does not have a cumulative dividend, we have declared and paid or contemporaneously declare and pay or set aside funds to pay full dividends on the preferred stock of such series for the then current dividend period.</w:t>
      </w:r>
    </w:p>
    <w:p>
      <w:pPr>
        <w:spacing w:after="0" w:line="162"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However, at any time we may purchase or acquire preferred stock of that series (1) pursuant to a purchase or exchange offer made on the same terms to holders of all outstanding preferred stock of such series or (2) by conversion into or exchange for shares of our capital stock ranking junior to the preferred stock of such series as to dividends and upon liquidation.</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If fewer than all of the outstanding shares of preferred stock of any series are to be redeemed, we will determine the number of shares that may be redeemed pro rata from the holders of record of such shares in proportion to the number of such shares held or for which redemption is requested by such holder or by any other equitable manner that we determine. Such determination will reflect adjustments to avoid redemption of fractional shares.</w:t>
      </w:r>
    </w:p>
    <w:p>
      <w:pPr>
        <w:spacing w:after="0" w:line="176" w:lineRule="exact"/>
        <w:rPr>
          <w:sz w:val="20"/>
          <w:szCs w:val="20"/>
          <w:color w:val="auto"/>
        </w:rPr>
      </w:pPr>
    </w:p>
    <w:p>
      <w:pPr>
        <w:ind w:left="120" w:right="100" w:firstLine="440"/>
        <w:spacing w:after="0" w:line="312" w:lineRule="auto"/>
        <w:rPr>
          <w:sz w:val="20"/>
          <w:szCs w:val="20"/>
          <w:color w:val="auto"/>
        </w:rPr>
      </w:pPr>
      <w:r>
        <w:rPr>
          <w:rFonts w:ascii="Times New Roman" w:cs="Times New Roman" w:eastAsia="Times New Roman" w:hAnsi="Times New Roman"/>
          <w:sz w:val="17"/>
          <w:szCs w:val="17"/>
          <w:color w:val="auto"/>
        </w:rPr>
        <w:t>Unless otherwise specified in the prospectus supplement, we will mail notice of redemption at least 30 days but not more than 60 days before the redemption date to each holder of record of preferred stock to be redeemed at the address shown on our stock transfer books. Each notice shall state:</w:t>
      </w:r>
    </w:p>
    <w:p>
      <w:pPr>
        <w:spacing w:after="0" w:line="45" w:lineRule="exact"/>
        <w:rPr>
          <w:sz w:val="20"/>
          <w:szCs w:val="20"/>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and series of preferred stock to be redeemed;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certificates for such preferred stock are to be surrendered for payment of the redemption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dividends on the shares to be redeemed will cease to accrue on such redemption date;</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00"/>
          </w:cols>
          <w:pgMar w:left="320" w:top="455" w:right="47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holder’s conversion rights, if any, as to such shares shall terminate;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number of shares to be redeemed from each such holder if fewer than all the shares of any series are to be redeemed.</w:t>
      </w:r>
    </w:p>
    <w:p>
      <w:pPr>
        <w:spacing w:after="0" w:line="225"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If notice of redemption has been given and we have set aside the funds necessary for such redemption in trust for the benefit of the holders of any shares called for redemption, then from and after the redemption date, dividends will cease to accrue on such shares, and all rights of the holders of such shares will terminate, except the right to receive the redemption price.</w:t>
      </w:r>
    </w:p>
    <w:p>
      <w:pPr>
        <w:spacing w:after="0" w:line="174" w:lineRule="exact"/>
        <w:rPr>
          <w:sz w:val="20"/>
          <w:szCs w:val="20"/>
          <w:color w:val="auto"/>
        </w:rPr>
      </w:pPr>
    </w:p>
    <w:p>
      <w:pPr>
        <w:ind w:left="120" w:right="2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Holders of preferred stock will not have any voting rights, except as required by law or as indicated in the applicable prospectus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supplement.</w:t>
      </w:r>
    </w:p>
    <w:p>
      <w:pPr>
        <w:spacing w:after="0" w:line="16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Unless otherwise provided for under the terms of any series of preferred stock, no consent or vote of the holders of shares of preferred stock or any series thereof shall be required for any amendment to our certificate of incorporation that would increase the number of authorized shares of preferred stock or the number of authorized shares of any series thereof or decrease the number of authorized shares of preferred stock or the number of authorized shares of any series thereof (but not below the number of authorized shares of preferred stock or such series, as the case may be, then outstanding).</w:t>
      </w:r>
    </w:p>
    <w:p>
      <w:pPr>
        <w:spacing w:after="0" w:line="18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Conversion Rights</w:t>
      </w:r>
      <w:r>
        <w:rPr>
          <w:rFonts w:ascii="Times New Roman" w:cs="Times New Roman" w:eastAsia="Times New Roman" w:hAnsi="Times New Roman"/>
          <w:sz w:val="18"/>
          <w:szCs w:val="18"/>
          <w:color w:val="auto"/>
        </w:rPr>
        <w:t>. The terms and conditions, if any, upon which any series of preferred stock is convertible into our common stock will be 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forth in the applicable prospectus supplement relating thereto. Such terms will include the number of shares of common stock into which the shares of preferred stock are convertible, the conversion price, rate or manner of calculation thereof, the conversion period, provisions as to whether conversion will be at our option or at the option of the holders of the preferred stock, the events requiring an adjustment of the conversion price and provisions affecting conversion in the event of the redemption.</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Transfer Agent and Registrar</w:t>
      </w:r>
      <w:r>
        <w:rPr>
          <w:rFonts w:ascii="Times New Roman" w:cs="Times New Roman" w:eastAsia="Times New Roman" w:hAnsi="Times New Roman"/>
          <w:sz w:val="18"/>
          <w:szCs w:val="18"/>
          <w:color w:val="auto"/>
        </w:rPr>
        <w:t>. The transfer agent and registrar for the preferred stock will be set forth in the applicable prospectus supplement.</w:t>
      </w:r>
    </w:p>
    <w:p>
      <w:pPr>
        <w:spacing w:after="0" w:line="331" w:lineRule="exact"/>
        <w:rPr>
          <w:sz w:val="20"/>
          <w:szCs w:val="20"/>
          <w:color w:val="auto"/>
        </w:rPr>
      </w:pPr>
    </w:p>
    <w:p>
      <w:pPr>
        <w:ind w:left="120" w:right="5360"/>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Delaware Anti-Takeover Law and Certain Charter and Bylaw Provisions </w:t>
      </w:r>
      <w:r>
        <w:rPr>
          <w:rFonts w:ascii="Times New Roman" w:cs="Times New Roman" w:eastAsia="Times New Roman" w:hAnsi="Times New Roman"/>
          <w:sz w:val="18"/>
          <w:szCs w:val="18"/>
          <w:b w:val="1"/>
          <w:bCs w:val="1"/>
          <w:i w:val="1"/>
          <w:iCs w:val="1"/>
          <w:color w:val="auto"/>
        </w:rPr>
        <w:t>Delaware Law</w:t>
      </w:r>
    </w:p>
    <w:p>
      <w:pPr>
        <w:spacing w:after="0" w:line="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are subject to Section 203 of the Delaware General Corporation Law, or DGCL. Subject to certain exceptions, Section 203 prevents a publicly held Delaware corporation from engaging in a “business combination” with any “interested stockholder” for three years following the date that the person became an interested stockholder, unless either the interested stockholder attained such status with the approval of our board of directors, the business combination is approved by our board of directors and stockholders in a prescribed manner or the interested stockholder acquired at least 85% of our outstanding voting stock in the transaction in which it became an interested stockholder.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Staggered Board; Removal of Directors</w:t>
      </w:r>
    </w:p>
    <w:p>
      <w:pPr>
        <w:spacing w:after="0" w:line="121"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Our certificate of incorporation and our bylaws divide our board of directors into three classes with staggered three-year terms. In addition, our certificate of incorporation and our bylaws provide that directors may be removed only for cause and only by the affirmative vote of the holders of at least 75% of our shares of capital stock present in person or by proxy and entitled to vote in an election of directors or class of directors. Under our certificate of incorporation and our bylaws, any vacancy on our board of directors, including a vacancy resulting from an enlargement of our board of directors, may be filled only by vote of a majority of our directors then in</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80"/>
          </w:cols>
          <w:pgMar w:left="320" w:top="455" w:right="49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office. Furthermore, our certificate of incorporation provides that the authorized number of directors may be changed only by the resolution of our board of directors. The classification of our board of directors and the limitations on the ability of our stockholders to remove directors, change the authorized number of directors and fill vacancies could make it more difficult for a third party to acquire, or discourage a third party from seeking to acquire, control of our company.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Stockholder Action; Special Meeting of Stockholders; Advance Notice Requirements for Stockholder Proposals and Director Nominations</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Our certificate of incorporation and our bylaws provide that any action required or permitted to be taken by our stockholders at an annual meeting or special meeting of stockholders may only be taken if it is properly brought before such meeting and may not be taken by written action in lieu of a meeting. Our certificate of incorporation and our bylaws also provide that, except as otherwise required by law, special meetings of the stockholders can only be called by our board of directors. In addition, our bylaws establish an advance notice procedure for stockholder proposals to be brought before an annual meeting of stockholders, including proposed nominations of candidates for election to our board of directors. Stockholders at an annual meeting may only consider proposals or nominations specified in the notice of meeting or brought before the meeting by or at the direction of our board of directors, or by a stockholder of record on the record date for the meeting who is entitled to vote at the meeting and who has delivered timely written notice in proper form to our secretary of the stockholder’s intention to bring such business before the meeting. These provisions could have the effect of delaying until the next stockholder meeting stockholder actions that are favored by the holders of a majority of our outstanding voting securities. These provisions also could discourage a third party from making a tender offer for our common stock because even if the third party acquired a majority of our outstanding voting stock, it would be able to take action as a stockholder, such as electing new directors or approving a merger, only at a duly called stockholders meeting and not by written consent.</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Super-Majority Voting</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DGCL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Our bylaws may be amended or repealed by a majority vote of our board of directors or the affirmative vote of the holders of at least 75% of the votes that all our stockholders would be entitled to cast in any annual election of directors. In addition, the affirmative vote of the holders of at least 75% of the votes that all our stockholders would be entitled to cast in any election of directors is required to amend or repeal or to adopt any provisions inconsistent with any of the provisions of our certificate of incorporation described above.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Exclusive Forum Selection</w:t>
      </w:r>
    </w:p>
    <w:p>
      <w:pPr>
        <w:spacing w:after="0" w:line="121"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Our certificate of incorporation provides that, unless we consent in writing to the selection of an alternative forum, the Court of Chancery of the State of Delaware (or, if the Court of Chancery of the State of Delaware does not have jurisdiction, the federal district court for the District of Delaware) shall be the sole and exclusive forum for (1) any derivative action or proceeding brought on our behalf, (2) any action asserting a claim of breach of a fiduciary duty owed by any of our directors, officers, other employees or stockholders to our company or our stockholders, (3) any action asserting a claim arising pursuant to any provision of the DGCL or as to which the DGCL confers jurisdiction on the Court of Chancery of the State of Delaware or</w:t>
      </w:r>
    </w:p>
    <w:p>
      <w:pPr>
        <w:spacing w:after="0" w:line="3" w:lineRule="exact"/>
        <w:rPr>
          <w:sz w:val="20"/>
          <w:szCs w:val="20"/>
          <w:color w:val="auto"/>
        </w:rPr>
      </w:pPr>
    </w:p>
    <w:p>
      <w:pPr>
        <w:ind w:left="120" w:right="80" w:hanging="4"/>
        <w:spacing w:after="0" w:line="253" w:lineRule="auto"/>
        <w:tabs>
          <w:tab w:leader="none" w:pos="37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arising pursuant to any provision of our certificate of incorporation or bylaws (in each case, as they may be amended from time to time) or governed by the internal affairs doctrine. This exclusive forum provision will not apply to actions arising under the Securities Act or the Exchange Act. Although our certificate of incorporation contains the choice of forum provision described above, it is possible that a court could rule that such a provision is inapplicable for a particular claim or action or that such provision is unenforceable.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00"/>
          </w:cols>
          <w:pgMar w:left="320" w:top="455" w:right="47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Investors’ Rights Agreement</w:t>
      </w:r>
    </w:p>
    <w:p>
      <w:pPr>
        <w:spacing w:after="0" w:line="121" w:lineRule="exact"/>
        <w:rPr>
          <w:sz w:val="20"/>
          <w:szCs w:val="20"/>
          <w:color w:val="auto"/>
        </w:rPr>
      </w:pPr>
    </w:p>
    <w:p>
      <w:pPr>
        <w:ind w:left="120" w:right="60" w:firstLine="991"/>
        <w:spacing w:after="0" w:line="261" w:lineRule="auto"/>
        <w:rPr>
          <w:sz w:val="20"/>
          <w:szCs w:val="20"/>
          <w:color w:val="auto"/>
        </w:rPr>
      </w:pPr>
      <w:r>
        <w:rPr>
          <w:rFonts w:ascii="Times New Roman" w:cs="Times New Roman" w:eastAsia="Times New Roman" w:hAnsi="Times New Roman"/>
          <w:sz w:val="18"/>
          <w:szCs w:val="18"/>
          <w:color w:val="auto"/>
        </w:rPr>
        <w:t>We have entered into an amended and restated investors’ rights agreement dated as of August 24, 2018, or the investors’ rights agreement, with certain holders of our common stock who have the right to require us to register such shares of common stock under the Securities Act under specified circumstances. We refer to the shares with these registration rights as registrable securities. After registration pursuant to these rights, the registrable securities will become freely tradable without restriction under the Securities Act.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Demand and Form S-3 Registration Rights</w:t>
      </w:r>
    </w:p>
    <w:p>
      <w:pPr>
        <w:spacing w:after="0" w:line="121"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Subject to specified limitations set forth in the investors’ rights agreement, at any time, the holders of at least 40% of the then outstanding registrable securities may demand that we register at least 40% of the registrable securities then outstanding under the Securities Act for purposes of a public offering having an aggregate offering price to the public of not less than $5.0 million. We are not obligated to file a registration statement pursuant to this provision on more than two occasions.</w:t>
      </w:r>
    </w:p>
    <w:p>
      <w:pPr>
        <w:spacing w:after="0" w:line="180" w:lineRule="exact"/>
        <w:rPr>
          <w:sz w:val="20"/>
          <w:szCs w:val="20"/>
          <w:color w:val="auto"/>
        </w:rPr>
      </w:pPr>
    </w:p>
    <w:p>
      <w:pPr>
        <w:jc w:val="both"/>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In addition, subject to specified limitations set forth in the investors’ rights agreement, at any time after we become eligible to file a registration statement on Form S-3, the holders of at least 25% of the then outstanding registrable securities may request that we register their registrable securities on Form S-3 for purposes of a public offering for which the reasonably anticipated aggregate offering price to the public would be at least $3.0 million. We are not obligated to file a registration statement pursuant to this provision on more than two occasions in any 12-month period.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Incidental Registration Rights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at any time, we propose to register for our own account (including, for this purpose, a registration effected by us for stockholders who are not holders of registrable securities under the investors’ rights agreement) any of our securities under the Securities Act, the holders of registrable securities will be entitled to notice of the registration and, subject to specified exceptions, have the right to require us to use our commercially reasonable efforts to register all or a portion of the registrable securities then held by them in that registration.</w:t>
      </w:r>
    </w:p>
    <w:p>
      <w:pPr>
        <w:spacing w:after="0" w:line="180"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In the event that any registration in which the holders of registrable securities participate pursuant to our investors’ rights agreement is an underwritten public offering, we have agreed to enter into an underwriting agreement in usual and customary form and use our reasonable best efforts to facilitate such offering.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Pursuant to the investors’ rights agreement, we are required to pay all registration expenses, including all registration and filing fees, exchange listing fees, printing expenses, fees and expenses of one counsel selected by the selling stockholders to represent the selling stockholders, state Blue Sky fees and expenses, and the expense of any special audits incident to or required by any such registration, but excluding underwriting discounts, selling commissions, stock transfer taxes applicable to the sale any registrable securities and the fees and expenses of the selling stockholders’ own counsel (other than the counsel selected to represent all selling stockholders). If a registration is withdrawn at the request of the stockholders initiating the registration, then the stockholders will bear the expenses of the registration.</w:t>
      </w:r>
    </w:p>
    <w:p>
      <w:pPr>
        <w:spacing w:after="0" w:line="187"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investors’ rights agreement contains customary cross-indemnification provisions, pursuant to which we are obligated to indemnify the selling stockholders in the event of material misstatements or omissions in the registration statement attributable to us or any violation or alleged violation whether by action or inaction by us under the Securities Act, the Exchange Act, any state securities or Blue Sky law or any rule or regulation promulgated under the Securities Act, the Exchange Act or any state securities or Blue Sky law in connection with such registration statement or the qualification or compliance of the offering, and they are obligated to indemnify us for material misstatements or omissions in the registration statement attributable to them.</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The transfer agent and registrar for our common stock is Computershare Trust Company, N.A.</w:t>
      </w:r>
    </w:p>
    <w:p>
      <w:pPr>
        <w:spacing w:after="0" w:line="3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Nasdaq Global Market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stock is listed on the Nasdaq Global Market under the symbol “FULC.”</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139"/>
          </w:cols>
          <w:pgMar w:left="320" w:top="455" w:right="1440"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DEPOSITARY SHARES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may, at our option, elect to offer fractional shares of preferred stock, which we call depositary shares, rather than full shares of preferred stock. If we do, we will issue to the public receipts, called depositary receipts, for depositary shares, each of which will represent a fraction, to be described in the applicable prospectus supplement, of a share of a particular series of preferred stock. Unless otherwise provided in the prospectus supplement, each owner of a depositary share will be entitled, in proportion to the applicable fractional interest in a share of preferred stock represented by the depositary share, to all the rights and preferences of the preferred stock represented by the depositary share. Those rights include dividend, voting, redemption, conversion and liquidation rights.</w:t>
      </w:r>
    </w:p>
    <w:p>
      <w:pPr>
        <w:spacing w:after="0" w:line="187"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shares of preferred stock underlying the depositary shares will be deposited with a bank or trust company selected by us to act as depositary under a deposit agreement between us, the depositary and the holders of the depositary receipts. The depositary will be the transfer agent, registrar and dividend disbursing agent for the depositary shares.</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depositary shares will be evidenced by depositary receipts issued pursuant to the deposit agreement. Holders of depositary receipts agree to be bound by the deposit agreement, which requires holders to take certain actions such as filing proof of residence and paying certain charges.</w:t>
      </w:r>
    </w:p>
    <w:p>
      <w:pPr>
        <w:spacing w:after="0" w:line="162"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The summary of terms of the depositary shares contained in this prospectus is not a complete description of the terms of the depositary shares. You should refer to the form of the deposit agreement, our certificate of incorporation and the certificate of designation for the applicable series of preferred stock that are, or will be, filed with the SEC.</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Dividends and Other Distributions</w:t>
      </w:r>
    </w:p>
    <w:p>
      <w:pPr>
        <w:spacing w:after="0" w:line="121"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The depositary will distribute all cash dividends or other cash distributions, if any, received in respect of the preferred stock underlying the depositary shares to the record holders of depositary shares in proportion to the numbers of depositary shares owned by those holders on the relevant record date. The relevant record date for depositary shares will be the same date as the record date for the underlying preferred stock.</w:t>
      </w:r>
    </w:p>
    <w:p>
      <w:pPr>
        <w:spacing w:after="0" w:line="176"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If there is a distribution other than in cash, the depositary will distribute property (including securities) received by it to the record holders of depositary shares, unless the depositary determines that it is not feasible to make the distribution. If this occurs, the depositary may, with our approval, adopt another method for the distribution, including selling the property and distributing the net proceeds from the sale to the holders.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Liquidation Preference</w:t>
      </w:r>
    </w:p>
    <w:p>
      <w:pPr>
        <w:spacing w:after="0" w:line="121"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If a series of preferred stock underlying the depositary shares has a liquidation preference, in the event of the voluntary or involuntary liquidation, dissolution or winding up of us, holders of depositary shares will be entitled to receive the fraction of the liquidation preference accorded each share of the applicable series of preferred stock, as set forth in the applicable prospectus supplement.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Withdrawal of Stock</w:t>
      </w:r>
    </w:p>
    <w:p>
      <w:pPr>
        <w:spacing w:after="0" w:line="121" w:lineRule="exact"/>
        <w:rPr>
          <w:sz w:val="20"/>
          <w:szCs w:val="20"/>
          <w:color w:val="auto"/>
        </w:rPr>
      </w:pPr>
    </w:p>
    <w:p>
      <w:pPr>
        <w:jc w:val="both"/>
        <w:ind w:left="120" w:right="340" w:firstLine="440"/>
        <w:spacing w:after="0" w:line="289" w:lineRule="auto"/>
        <w:rPr>
          <w:sz w:val="20"/>
          <w:szCs w:val="20"/>
          <w:color w:val="auto"/>
        </w:rPr>
      </w:pPr>
      <w:r>
        <w:rPr>
          <w:rFonts w:ascii="Times New Roman" w:cs="Times New Roman" w:eastAsia="Times New Roman" w:hAnsi="Times New Roman"/>
          <w:sz w:val="17"/>
          <w:szCs w:val="17"/>
          <w:color w:val="auto"/>
        </w:rPr>
        <w:t>Unless the related depositary shares have been previously called for redemption, upon surrender of the depositary receipts at the office of the depositary, the holder of the depositary shares will be entitled to delivery, at the office of the depositary to or upon his or her order, of the number of whole shares of the preferred stock and any money or other property represented by the depositary shares. If the depositary receipts delivered by the</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81" w:lineRule="auto"/>
        <w:rPr>
          <w:sz w:val="20"/>
          <w:szCs w:val="20"/>
          <w:color w:val="auto"/>
        </w:rPr>
      </w:pPr>
      <w:r>
        <w:rPr>
          <w:rFonts w:ascii="Times New Roman" w:cs="Times New Roman" w:eastAsia="Times New Roman" w:hAnsi="Times New Roman"/>
          <w:sz w:val="17"/>
          <w:szCs w:val="17"/>
          <w:color w:val="auto"/>
        </w:rPr>
        <w:t>holder evidence a number of depositary shares in excess of the number of depositary shares representing the number of whole shares of preferred stock to be withdrawn, the depositary will deliver to the holder at the same time a new depositary receipt evidencing the excess number of depositary shares. In no event will the depositary deliver fractional shares of preferred stock upon surrender of depositary receipts. Holders of preferred stock thus withdrawn may not thereafter deposit those shares under the deposit agreement or receive depositary receipts evidencing depositary shares therefor.</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Redemption of Depositary Shares</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Whenever we redeem shares of preferred stock held by the depositary, the depositary will redeem as of the same redemption date the number of depositary shares representing shares of the preferred stock so redeemed, so long as we have paid in full to the depositary the redemption price of the preferred stock to be redeemed plus an amount equal to any accumulated and unpaid dividends on the preferred stock to the date fixed for redemption. The redemption price per depositary share will be equal to the redemption price and any other amounts per share payable on the preferred stock multiplied by the fraction of a share of preferred stock represented by one depositary share. If less than all the depositary shares are to be redeemed, the depositary shares to be redeemed will be selected by lot or pro rata or by any other equitable method as may be determined by the depositary.</w:t>
      </w:r>
    </w:p>
    <w:p>
      <w:pPr>
        <w:spacing w:after="0" w:line="187"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After the date fixed for redemption, depositary shares called for redemption will no longer be deemed to be outstanding and all rights of the holders of depositary shares will cease, except the right to receive the monies payable upon redemption and any money or other property to which the holders of the depositary shares were entitled upon redemption upon surrender to the depositary of the depositary receipts evidencing the depositary shares.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the Preferred Stock</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Upon receipt of notice of any meeting at which the holders of the preferred stock are entitled to vote, the depositary will mail the information contained in the notice of meeting to the record holders of the depositary receipts relating to that preferred stock. The record date for the depositary receipts relating to the preferred stock will be the same date as the record date for the preferred stock. Each record holder of the depositary shares on the record date will be entitled to instruct the depositary as to the exercise of the voting rights pertaining to the number of shares of preferred stock represented by that holder’s depositary shares. The depositary will endeavor, insofar as practicable, to vote the number of shares of preferred stock represented by the depositary shares in accordance with those instructions, and we will agree to take all action that may be deemed necessary by the depositary in order to enable the depositary to do so. The depositary will not vote any shares of preferred stock except to the extent it receives specific instructions from the holders of depositary shares representing that number of shares of preferred stock.</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Charges of Depositary</w:t>
      </w:r>
    </w:p>
    <w:p>
      <w:pPr>
        <w:spacing w:after="0" w:line="121"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We will pay all transfer and other taxes and governmental charges arising solely from the existence of the depositary arrangements. We will pay charges of the depositary in connection with the initial deposit of the preferred stock and any redemption of the preferred stock. Holders of depositary receipts will pay transfer, income and other taxes and governmental charges and such other charges (including those in connection with the receipt and distribution of dividends, the sale or exercise of rights, the withdrawal of the preferred stock and the transferring, splitting or grouping of depositary receipts) as are expressly provided in the deposit agreement to be for their accounts. If these charges have not been paid by the holders of depositary receipts, the depositary may refuse to transfer depositary shares, withhold dividends and distributions and sell the depositary shares evidenced by the depositary receipt.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Amendment and Termination of the Deposit Agreement</w:t>
      </w:r>
    </w:p>
    <w:p>
      <w:pPr>
        <w:spacing w:after="0" w:line="121"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The form of depositary receipt evidencing the depositary shares and any provision of the deposit agreement may be amended by agreement between us and the depositary. However, any amendment that materially and</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60"/>
          </w:cols>
          <w:pgMar w:left="320" w:top="455" w:right="51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adversely alters the rights of the holders of depositary shares, other than fee changes, will not be effective unless the amendment has been approved by the holders of a majority of the outstanding depositary shares. The deposit agreement may be terminated by the depositary or us only if:</w:t>
      </w:r>
    </w:p>
    <w:p>
      <w:pPr>
        <w:spacing w:after="0" w:line="67" w:lineRule="exact"/>
        <w:rPr>
          <w:sz w:val="20"/>
          <w:szCs w:val="20"/>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depositary shares have been redeemed; or</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a final distribution of the preferred stock in connection with our dissolution and such distribution has been made to all the holders of depositary shares.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Resignation and Removal of Depositary</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depositary may resign at any time by delivering to us notice of its election to do so, and we may remove the depositary at any time. Any resignation or removal of the depositary will take effect upon our appointment of a successor depositary and its acceptance of such appointment. The successor depositary must be appointed within 60 days after delivery of the notice of resignation or removal and must be a bank or trust company having its principal office in the United States and having the requisite combined capital and surplus as set forth in the applicable agreement.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121" w:lineRule="exact"/>
        <w:rPr>
          <w:sz w:val="20"/>
          <w:szCs w:val="20"/>
          <w:color w:val="auto"/>
        </w:rPr>
      </w:pPr>
    </w:p>
    <w:p>
      <w:pPr>
        <w:jc w:val="both"/>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depositary will forward to holders of depositary receipts all notices, reports and other communications, including proxy solicitation materials received from us, that are delivered to the depositary and that we are required to furnish to the holders of the preferred stock. In addition, the depositary will make available for inspection by holders of depositary receipts at the principal office of the depositary, and at such other places as it may from time to time deem advisable, any reports and communications we deliver to the depositary as the holder of preferred stock.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 of Liability</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Neither we nor the depositary will be liable if either we or it is prevented or delayed by law or any circumstance beyond its control in performing its obligations. Our obligations and those of the depositary will be limited to performance in good faith of our and their duties thereunder. We and the depositary will not be obligated to prosecute or defend any legal proceeding in respect of any depositary shares or preferred stock unless satisfactory indemnity is furnished. We and the depositary may rely upon written advice of counsel or accountants, on information provided by persons presenting preferred stock for deposit, holders of depositary receipts or other persons believed to be competent to give such information and on documents believed to be genuine and to have been signed or presented by the proper party or parties.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5" w:right="45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ind w:left="120" w:right="20" w:firstLine="440"/>
        <w:spacing w:after="0" w:line="274" w:lineRule="auto"/>
        <w:rPr>
          <w:sz w:val="20"/>
          <w:szCs w:val="20"/>
          <w:color w:val="auto"/>
        </w:rPr>
      </w:pPr>
      <w:r>
        <w:rPr>
          <w:rFonts w:ascii="Times New Roman" w:cs="Times New Roman" w:eastAsia="Times New Roman" w:hAnsi="Times New Roman"/>
          <w:sz w:val="17"/>
          <w:szCs w:val="17"/>
          <w:color w:val="auto"/>
        </w:rPr>
        <w:t>We may issue units comprised of one or more of the other securities that may be offered under this prospectus, in any combination. The following, together with the additional information we may include in any applicable prospectus supplement, summarizes the material terms and provisions of the units that we may offer under this prospectus. While the terms summarized below will apply generally to any units we may offer, we will describe the particular terms of any series of units in more detail in the applicable prospectus supplement. If we indicate in the prospectus supplement, the terms of any units offered under that prospectus supplement may differ from the terms described below. Specific unit agreements will contain additional important terms and provisions and will be incorporated by reference as an exhibit to the registration statement that includes this prospectus.</w:t>
      </w:r>
    </w:p>
    <w:p>
      <w:pPr>
        <w:spacing w:after="0" w:line="17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units being offered, including:</w:t>
      </w:r>
    </w:p>
    <w:p>
      <w:pPr>
        <w:spacing w:after="0" w:line="131" w:lineRule="exact"/>
        <w:rPr>
          <w:sz w:val="20"/>
          <w:szCs w:val="20"/>
          <w:color w:val="auto"/>
        </w:rPr>
      </w:pPr>
    </w:p>
    <w:p>
      <w:pPr>
        <w:ind w:left="1080" w:right="12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terms of the units and of the securities comprising the units, including whether and under what circumstances those securities may be held or transferred separately;</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provisions relating to the issuance, payment, settlement, transfer or exchange of the units or of the securities comprising the units;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provisions of the governing unit agreement that differ from those described above.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issue units in such amounts and in such numbers of distinct series as we determine.</w:t>
      </w:r>
    </w:p>
    <w:p>
      <w:pPr>
        <w:spacing w:after="0" w:line="225" w:lineRule="exact"/>
        <w:rPr>
          <w:sz w:val="20"/>
          <w:szCs w:val="20"/>
          <w:color w:val="auto"/>
        </w:rPr>
      </w:pPr>
    </w:p>
    <w:p>
      <w:pPr>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The provisions described in this section, as well as those described under “Description of Debt Securities,” “Description of Capital Stock,” “Description of Depositary Shares” and “Description of Warrants” will apply to each unit, as applicable, and to any debt securities, common stock, preferred stock, depositary share or warrant included in each unit, as applicable.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Unit Agent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name and address of the unit agent for any units we offer will be set forth in the applicable prospectus supplement.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Enforceability of Rights by Holders of Units</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55" w:right="45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may issue warrants to purchase common stock, preferred stock, depositary shares or debt securities. We may offer warrants separately or together with one or more additional warrants, common stock, preferred stock, depositary shares or debt securities, or any combination of those securities in the form of units, as described in the applicable prospectus supplement. If we issue warrants as part of a unit, the accompanying prospectus supplement will specify whether those warrants may be separated from the other securities in the unit prior to the expiration date of the warrants. The applicable prospectus supplement will also describe the following terms of any warrants:</w:t>
      </w:r>
    </w:p>
    <w:p>
      <w:pPr>
        <w:spacing w:after="0" w:line="89" w:lineRule="exact"/>
        <w:rPr>
          <w:sz w:val="20"/>
          <w:szCs w:val="20"/>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designation and aggregate number of, and the offering price at which we will issue,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are to be sold separately or with other securities as parts of units;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will be issued in definitive or global form or in any combination of these forms, although, in any case, the form of a warrant included in a unit will correspond to the form of the unit and of any security included in that unit;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material U.S. federal income tax consequences;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the warrant agent for the warrants and of any other depositaries, execution or paying agents, transfer agents, registrars or other agents;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listing, if any, of the warrants or any securities purchasable upon exercise of the warrants on any securities exchange;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any equity securities purchasable upon exercise of the warrants;</w:t>
      </w:r>
    </w:p>
    <w:p>
      <w:pPr>
        <w:spacing w:after="0" w:line="130"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aggregate principal amount, currency and terms of any debt securities that may be purchased upon exercise of the warrants;</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preferred stock or depositary shares with which the warrants are issued and the number of warrants issued with each security;</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any warrants issued as part of a unit and the related debt securities, preferred stock, depositary shares or common stock will be separately transferable;</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preferred stock or depositary shares purchasable upon exercise of a warrant and the price at which those shares may be purchased;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warrants that may be exercised at any one time;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provisions of, and other provisions for changes to or adjustment in the exercise price of, the warrants,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or call provisions;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terms, procedures and limitations relating to the exchange or exercise of the warrants.</w:t>
      </w:r>
    </w:p>
    <w:p>
      <w:pPr>
        <w:spacing w:after="0" w:line="15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40"/>
          </w:cols>
          <w:pgMar w:left="320" w:top="455" w:right="53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FORMS OF SECURITIES</w:t>
      </w:r>
    </w:p>
    <w:p>
      <w:pPr>
        <w:spacing w:after="0" w:line="22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Each debt security, depositary share, unit and warrant will be represented either by a certificate issued in definitive form to a particular investor or by one or more global securities representing the entire issuance of securities. Unless the applicable prospectus supplement provides otherwise,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depositary shares, units or warrants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We may issue the debt securities, depositary shares, units and warrants in the form of one or more fully registered global securities that will be deposited with a depositary or its nominee identified in the applicable prospectus supplement and registered in the name of that depositary or nominee. In those cases, one or more global securities will be issued in a denomination or aggregate denominations equal to the portion of the aggregate principal or face amount of the securities to be represented by global securities. Unless and until it is exchanged in whole for securities in definitive registered form, a global security may not be transferred except as a whole by and among the depositary for the global security, the nominees of the depositary or any successors of the depositary or those nominees.</w:t>
      </w:r>
    </w:p>
    <w:p>
      <w:pPr>
        <w:spacing w:after="0" w:line="187"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If not described below, any specific terms of the depositary arrangement with respect to any securities to be represented by a global security will be described in the prospectus supplement relating to those securities. We anticipate that the following provisions will apply to all depositary arrangements.</w:t>
      </w:r>
    </w:p>
    <w:p>
      <w:pPr>
        <w:spacing w:after="0" w:line="176"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Ownership of beneficial interests in a global security will be limited to persons, called participants, that have accounts with the depositary or persons that may hold interests through participants. Upon the issuance of a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global securities.</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So long as the depositary, or its nominee, is the registered owner of a global security, that depositary or its nominee, as the case may be, will be considered the sole owner or holder of the securities represented by the global security for all purposes under the applicable indenture, deposit agreement, warrant agreement or unit agreement. Except as described below, owners of beneficial interests in a global security will not be entitled to have the securities represented by the global security registered in their names, will not receive or be entitled to receive physical delivery of the securities in definitive form and will not be considered the owners or holders of the securities under the applicable indenture, deposit agreement, unit agreement or warrant agreement. Accordingly, each person owning a beneficial interest in a global security must rely on the procedures of the depositary for that global security and, if that person is not a participant, on the procedures of the participant through which the person owns its interest, to exercise any rights of a holder under the applicable indenture, deposit agreement, unit agreement or warrant agreement. We understand that under existing industry practices, if</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55" w:right="45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61" w:lineRule="auto"/>
        <w:rPr>
          <w:sz w:val="20"/>
          <w:szCs w:val="20"/>
          <w:color w:val="auto"/>
        </w:rPr>
      </w:pPr>
      <w:r>
        <w:rPr>
          <w:rFonts w:ascii="Times New Roman" w:cs="Times New Roman" w:eastAsia="Times New Roman" w:hAnsi="Times New Roman"/>
          <w:sz w:val="18"/>
          <w:szCs w:val="18"/>
          <w:color w:val="auto"/>
        </w:rPr>
        <w:t>we request any action of holders or if an owner of a beneficial interest in a global security desires to give or take any action that a holder is entitled to give or take under the applicable indenture, deposit agreement, unit agreement or warrant agreement, the depositary for the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80" w:lineRule="exact"/>
        <w:rPr>
          <w:sz w:val="20"/>
          <w:szCs w:val="20"/>
          <w:color w:val="auto"/>
        </w:rPr>
      </w:pPr>
    </w:p>
    <w:p>
      <w:pPr>
        <w:ind w:left="120" w:right="280" w:firstLine="440"/>
        <w:spacing w:after="0" w:line="256" w:lineRule="auto"/>
        <w:rPr>
          <w:sz w:val="20"/>
          <w:szCs w:val="20"/>
          <w:color w:val="auto"/>
        </w:rPr>
      </w:pPr>
      <w:r>
        <w:rPr>
          <w:rFonts w:ascii="Times New Roman" w:cs="Times New Roman" w:eastAsia="Times New Roman" w:hAnsi="Times New Roman"/>
          <w:sz w:val="18"/>
          <w:szCs w:val="18"/>
          <w:color w:val="auto"/>
        </w:rPr>
        <w:t>Principal, premium, if any, and interest payments on debt securities, and any payments to holders with respect to depositary shares, warrants or units, represented by a global security registered in the name of a depositary or its nominee will be made to the depositary or its nominee, as the case may be, as the registered owner of the global security. None of us, or any trustee, warrant agent, unit agent or other agent of ours, or any agent of any trustee, warrant agent or unit agent will have any responsibility or liability for any aspect of the records relating to payments made on account of beneficial ownership interests in the global security or for maintaining, supervising or reviewing any records relating to those beneficial ownership interests.</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expect that the depositary for any of the securities represented by a global security, upon receipt of any payment to holders of principal, premium, interest or other distribution of underlying securities or other property on that registered global security, will immediately credit participants’ accounts in amounts proportionate to their respective beneficial interests in that global security as shown on the records of the depositary. We also expect that payments by participants to owners of beneficial interests in a global security held through participants will be governed by standing customer instructions and customary practices, as is now the case with the securities held for the accounts of customers or registered in “street name,” and will be the responsibility of those participants.</w:t>
      </w:r>
    </w:p>
    <w:p>
      <w:pPr>
        <w:spacing w:after="0" w:line="187" w:lineRule="exact"/>
        <w:rPr>
          <w:sz w:val="20"/>
          <w:szCs w:val="20"/>
          <w:color w:val="auto"/>
        </w:rPr>
      </w:pPr>
    </w:p>
    <w:p>
      <w:pPr>
        <w:ind w:left="120" w:right="120" w:firstLine="440"/>
        <w:spacing w:after="0" w:line="274" w:lineRule="auto"/>
        <w:rPr>
          <w:sz w:val="20"/>
          <w:szCs w:val="20"/>
          <w:color w:val="auto"/>
        </w:rPr>
      </w:pPr>
      <w:r>
        <w:rPr>
          <w:rFonts w:ascii="Times New Roman" w:cs="Times New Roman" w:eastAsia="Times New Roman" w:hAnsi="Times New Roman"/>
          <w:sz w:val="17"/>
          <w:szCs w:val="17"/>
          <w:color w:val="auto"/>
        </w:rPr>
        <w:t>If the depositary for any of the securities represented by a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global security that had been held by the depositary. Any securities issued in definitive form in exchange for a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global security that had been held by the depositary.</w:t>
      </w:r>
    </w:p>
    <w:p>
      <w:pPr>
        <w:spacing w:after="0" w:line="1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40"/>
          </w:cols>
          <w:pgMar w:left="320" w:top="455" w:right="43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sell securities:</w:t>
      </w:r>
    </w:p>
    <w:p>
      <w:pPr>
        <w:spacing w:after="0" w:line="131" w:lineRule="exact"/>
        <w:rPr>
          <w:sz w:val="20"/>
          <w:szCs w:val="20"/>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brokers or dealers;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one or more purchasers in negotiated sales or competitively bid transactions;</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block trade in which the broker or dealer engaged to handle the block trade will attempt to sell the securities as agent, but may position and resell a portion of the block as principal to facilitate the transaction;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these methods of sale.</w:t>
      </w:r>
    </w:p>
    <w:p>
      <w:pPr>
        <w:spacing w:after="0" w:line="225"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In addition, we may issue the securities as a dividend or distribution or in a subscription rights offering to our existing security holders. This prospectus may be used in connection with any offering of our securities through any of these methods or other methods described in the applicable prospectus supplement.</w:t>
      </w:r>
    </w:p>
    <w:p>
      <w:pPr>
        <w:spacing w:after="0" w:line="176"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We may directly solicit offers to purchase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distribution of the securities may be effected from time to time in one or more transactions:</w:t>
      </w:r>
    </w:p>
    <w:p>
      <w:pPr>
        <w:spacing w:after="0" w:line="131" w:lineRule="exact"/>
        <w:rPr>
          <w:sz w:val="20"/>
          <w:szCs w:val="20"/>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 from time to time;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prospectus supplement will describe the method of distribution of the securities and any applicable restrictions.</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prospectus supplement with respect to the securities of a particular series will describe the terms of the offering of the securities, including the following:</w:t>
      </w:r>
    </w:p>
    <w:p>
      <w:pPr>
        <w:spacing w:after="0" w:line="67" w:lineRule="exact"/>
        <w:rPr>
          <w:sz w:val="20"/>
          <w:szCs w:val="20"/>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agent or any underwriters;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offering or purchase price and the proceeds we will receive from the sale of the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and commissions to be allowed or re-allowed or paid to the agent or underwriters;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items constituting underwriting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and commissions to be allowed or re-allowed or paid to dealers;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exchanges on which the securities will be listed.</w:t>
      </w:r>
    </w:p>
    <w:p>
      <w:pPr>
        <w:spacing w:after="0" w:line="225"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If any underwriters or agents are utilized in the sale of the securities in respect of which this prospectus is delivered, we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00"/>
          </w:cols>
          <w:pgMar w:left="320" w:top="455" w:right="47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If a dealer is utilized in the sale of the securities in respect of which this prospectus is delivered, we will sell such securities to the dealer, as principal. The dealer may then resell such securities to the public at varying prices to be determined by such dealer at the time of resale.</w:t>
      </w:r>
    </w:p>
    <w:p>
      <w:pPr>
        <w:spacing w:after="0" w:line="162" w:lineRule="exact"/>
        <w:rPr>
          <w:sz w:val="20"/>
          <w:szCs w:val="20"/>
          <w:color w:val="auto"/>
        </w:rPr>
      </w:pPr>
    </w:p>
    <w:p>
      <w:pPr>
        <w:ind w:left="120" w:right="20" w:firstLine="440"/>
        <w:spacing w:after="0" w:line="289" w:lineRule="auto"/>
        <w:rPr>
          <w:sz w:val="20"/>
          <w:szCs w:val="20"/>
          <w:color w:val="auto"/>
        </w:rPr>
      </w:pPr>
      <w:r>
        <w:rPr>
          <w:rFonts w:ascii="Times New Roman" w:cs="Times New Roman" w:eastAsia="Times New Roman" w:hAnsi="Times New Roman"/>
          <w:sz w:val="17"/>
          <w:szCs w:val="17"/>
          <w:color w:val="auto"/>
        </w:rPr>
        <w:t>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spacing w:after="0" w:line="158"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Remarketing firms, 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w:t>
      </w:r>
    </w:p>
    <w:p>
      <w:pPr>
        <w:spacing w:after="0" w:line="176" w:lineRule="exact"/>
        <w:rPr>
          <w:sz w:val="20"/>
          <w:szCs w:val="20"/>
          <w:color w:val="auto"/>
        </w:rPr>
      </w:pPr>
    </w:p>
    <w:p>
      <w:pPr>
        <w:ind w:left="120" w:right="220" w:firstLine="440"/>
        <w:spacing w:after="0" w:line="274" w:lineRule="auto"/>
        <w:rPr>
          <w:sz w:val="20"/>
          <w:szCs w:val="20"/>
          <w:color w:val="auto"/>
        </w:rPr>
      </w:pPr>
      <w:r>
        <w:rPr>
          <w:rFonts w:ascii="Times New Roman" w:cs="Times New Roman" w:eastAsia="Times New Roman" w:hAnsi="Times New Roman"/>
          <w:sz w:val="17"/>
          <w:szCs w:val="17"/>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78" w:lineRule="exact"/>
        <w:rPr>
          <w:sz w:val="20"/>
          <w:szCs w:val="20"/>
          <w:color w:val="auto"/>
        </w:rPr>
      </w:pPr>
    </w:p>
    <w:p>
      <w:pPr>
        <w:ind w:left="1080" w:right="120" w:hanging="424"/>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67"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Certain agents, underwriters and dealers, and their associates and affiliates may be customers of, have borrowing relationships with, engage in other transactions with, and/or perform services, including investment banking services, for us or one or more of our respective affiliates in the ordinary course of business.</w:t>
      </w:r>
    </w:p>
    <w:p>
      <w:pPr>
        <w:spacing w:after="0" w:line="176"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72"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Under Rule 15c6-1 of the Exchange Act, trades in the secondary market generally are required to settle in two business days, unless the parties to any such trade expressly agree otherwise or the securities are sold by us to an underwriter in a firm commitment underwritten offering. The applicable prospectus supplement may provide that the original issue date for your securities may be more than two scheduled business days after the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00"/>
          </w:cols>
          <w:pgMar w:left="320" w:top="455" w:right="47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trade date for your securities. Accordingly, in such a case, if you wish to trade securities on any date prior to the second business day before the original issue date for your securities, you will be required, by virtue of the fact that your securities initially are expected to settle in more than two scheduled business days after the trade date for your securities, to make alternative settlement arrangements to prevent a failed settlement.</w:t>
      </w:r>
    </w:p>
    <w:p>
      <w:pPr>
        <w:spacing w:after="0" w:line="176"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securities may be new issues of securities and may have no established trading market. The securities may or may not be listed on a national securities exchange. We can make no assurance as to the liquidity of or the existence of trading markets for any of the securities.</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40"/>
          </w:cols>
          <w:pgMar w:left="320" w:top="455" w:right="53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Unless the applicable prospectus supplement indicates otherwise, the validity of the securities in respect of which this prospectus is being delivered will be passed upon by Wilmer Cutler Pickering Hale and Dorr LLP.</w:t>
      </w:r>
    </w:p>
    <w:p>
      <w:pPr>
        <w:spacing w:after="0" w:line="3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Fulcrum Therapeutics, Inc. appearing in Fulcrum Therapeutics, Inc.’s Annual Report (Form 10-K) for the year ended December 31, 2019,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00"/>
          </w:cols>
          <w:pgMar w:left="320" w:top="455" w:right="479" w:bottom="1440" w:gutter="0" w:footer="0" w:header="0"/>
        </w:sectPr>
      </w:pPr>
    </w:p>
    <w:bookmarkStart w:id="65" w:name="page66"/>
    <w:bookmarkEnd w:id="65"/>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1801495</wp:posOffset>
            </wp:positionV>
            <wp:extent cx="2897505" cy="7118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5">
                      <a:extLst>
                        <a:ext uri="{28A0092B-C50C-407E-A947-70E740481C1C}"/>
                      </a:extLst>
                    </a:blip>
                    <a:srcRect/>
                    <a:stretch>
                      <a:fillRect/>
                    </a:stretch>
                  </pic:blipFill>
                  <pic:spPr bwMode="auto">
                    <a:xfrm>
                      <a:off x="0" y="0"/>
                      <a:ext cx="2897505" cy="711835"/>
                    </a:xfrm>
                    <a:prstGeom prst="rect">
                      <a:avLst/>
                    </a:prstGeom>
                    <a:noFill/>
                  </pic:spPr>
                </pic:pic>
              </a:graphicData>
            </a:graphic>
          </wp:anchor>
        </w:drawing>
      </w:r>
    </w:p>
    <w:sectPr>
      <w:pgSz w:w="11900" w:h="16838" w:orient="portrait"/>
      <w:cols w:equalWidth="0" w:num="1">
        <w:col w:w="10139"/>
      </w:cols>
      <w:pgMar w:left="320" w:top="4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9838CB2"/>
    <w:multiLevelType w:val="hybridMultilevel"/>
    <w:lvl w:ilvl="0">
      <w:lvlJc w:val="left"/>
      <w:lvlText w:val="(%1)"/>
      <w:numFmt w:val="decimal"/>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1."/>
      <w:numFmt w:val="upperLetter"/>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1)"/>
      <w:numFmt w:val="decimal"/>
      <w:start w:val="617"/>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1)"/>
      <w:numFmt w:val="decimal"/>
      <w:start w:val="617"/>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
      <w:numFmt w:val="bullet"/>
      <w:start w:val="1"/>
    </w:lvl>
  </w:abstractNum>
  <w:abstractNum w:abstractNumId="37">
    <w:nsid w:val="1D4ED43B"/>
    <w:multiLevelType w:val="hybridMultilevel"/>
    <w:lvl w:ilvl="0">
      <w:lvlJc w:val="left"/>
      <w:lvlText w:val="•"/>
      <w:numFmt w:val="bullet"/>
      <w:start w:val="1"/>
    </w:lvl>
  </w:abstractNum>
  <w:abstractNum w:abstractNumId="38">
    <w:nsid w:val="725A06FB"/>
    <w:multiLevelType w:val="hybridMultilevel"/>
    <w:lvl w:ilvl="0">
      <w:lvlJc w:val="left"/>
      <w:lvlText w:val="•"/>
      <w:numFmt w:val="bullet"/>
      <w:start w:val="1"/>
    </w:lvl>
  </w:abstractNum>
  <w:abstractNum w:abstractNumId="39">
    <w:nsid w:val="2CD89A32"/>
    <w:multiLevelType w:val="hybridMultilevel"/>
    <w:lvl w:ilvl="0">
      <w:lvlJc w:val="left"/>
      <w:lvlText w:val="•"/>
      <w:numFmt w:val="bullet"/>
      <w:start w:val="1"/>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1)"/>
      <w:numFmt w:val="decimal"/>
      <w:start w:val="4"/>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
      <w:numFmt w:val="bullet"/>
      <w:start w:val="1"/>
    </w:lvl>
  </w:abstractNum>
  <w:abstractNum w:abstractNumId="44">
    <w:nsid w:val="6DE91B18"/>
    <w:multiLevelType w:val="hybridMultilevel"/>
    <w:lvl w:ilvl="0">
      <w:lvlJc w:val="left"/>
      <w:lvlText w:val="•"/>
      <w:numFmt w:val="bullet"/>
      <w:start w:val="1"/>
    </w:lvl>
  </w:abstractNum>
  <w:abstractNum w:abstractNumId="45">
    <w:nsid w:val="38437FDB"/>
    <w:multiLevelType w:val="hybridMultilevel"/>
    <w:lvl w:ilvl="0">
      <w:lvlJc w:val="left"/>
      <w:lvlText w:val="•"/>
      <w:numFmt w:val="bullet"/>
      <w:start w:val="1"/>
    </w:lvl>
  </w:abstractNum>
  <w:abstractNum w:abstractNumId="46">
    <w:nsid w:val="7644A45C"/>
    <w:multiLevelType w:val="hybridMultilevel"/>
    <w:lvl w:ilvl="0">
      <w:lvlJc w:val="left"/>
      <w:lvlText w:val="•"/>
      <w:numFmt w:val="bullet"/>
      <w:start w:val="1"/>
    </w:lvl>
  </w:abstractNum>
  <w:abstractNum w:abstractNumId="47">
    <w:nsid w:val="32FFF902"/>
    <w:multiLevelType w:val="hybridMultilevel"/>
    <w:lvl w:ilvl="0">
      <w:lvlJc w:val="left"/>
      <w:lvlText w:val="•"/>
      <w:numFmt w:val="bullet"/>
      <w:start w:val="1"/>
    </w:lvl>
  </w:abstractNum>
  <w:abstractNum w:abstractNumId="48">
    <w:nsid w:val="684A481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6" Type="http://schemas.openxmlformats.org/officeDocument/2006/relationships/image" Target="media/image44.png"/><Relationship Id="rId64" Type="http://schemas.openxmlformats.org/officeDocument/2006/relationships/image" Target="media/image45.png"/><Relationship Id="rId65" Type="http://schemas.openxmlformats.org/officeDocument/2006/relationships/image" Target="media/image46.jpeg"/><Relationship Id="rId66" Type="http://schemas.openxmlformats.org/officeDocument/2006/relationships/image" Target="media/image47.png"/><Relationship Id="rId67" Type="http://schemas.openxmlformats.org/officeDocument/2006/relationships/image" Target="media/image48.png"/><Relationship Id="rId68" Type="http://schemas.openxmlformats.org/officeDocument/2006/relationships/image" Target="media/image49.png"/><Relationship Id="rId69" Type="http://schemas.openxmlformats.org/officeDocument/2006/relationships/image" Target="media/image50.png"/><Relationship Id="rId70" Type="http://schemas.openxmlformats.org/officeDocument/2006/relationships/image" Target="media/image51.png"/><Relationship Id="rId71" Type="http://schemas.openxmlformats.org/officeDocument/2006/relationships/image" Target="media/image52.png"/><Relationship Id="rId72" Type="http://schemas.openxmlformats.org/officeDocument/2006/relationships/image" Target="media/image53.png"/><Relationship Id="rId73" Type="http://schemas.openxmlformats.org/officeDocument/2006/relationships/image" Target="media/image54.png"/><Relationship Id="rId74" Type="http://schemas.openxmlformats.org/officeDocument/2006/relationships/image" Target="media/image55.png"/><Relationship Id="rId75" Type="http://schemas.openxmlformats.org/officeDocument/2006/relationships/image" Target="media/image56.png"/><Relationship Id="rId76" Type="http://schemas.openxmlformats.org/officeDocument/2006/relationships/image" Target="media/image57.png"/><Relationship Id="rId77" Type="http://schemas.openxmlformats.org/officeDocument/2006/relationships/image" Target="media/image58.png"/><Relationship Id="rId78" Type="http://schemas.openxmlformats.org/officeDocument/2006/relationships/image" Target="media/image59.png"/><Relationship Id="rId79" Type="http://schemas.openxmlformats.org/officeDocument/2006/relationships/image" Target="media/image60.png"/><Relationship Id="rId80" Type="http://schemas.openxmlformats.org/officeDocument/2006/relationships/image" Target="media/image61.png"/><Relationship Id="rId81" Type="http://schemas.openxmlformats.org/officeDocument/2006/relationships/image" Target="media/image62.png"/><Relationship Id="rId82" Type="http://schemas.openxmlformats.org/officeDocument/2006/relationships/image" Target="media/image63.png"/><Relationship Id="rId83" Type="http://schemas.openxmlformats.org/officeDocument/2006/relationships/image" Target="media/image64.png"/><Relationship Id="rId84" Type="http://schemas.openxmlformats.org/officeDocument/2006/relationships/image" Target="media/image65.png"/><Relationship Id="rId85" Type="http://schemas.openxmlformats.org/officeDocument/2006/relationships/image" Target="media/image66.png"/><Relationship Id="rId86" Type="http://schemas.openxmlformats.org/officeDocument/2006/relationships/image" Target="media/image67.png"/><Relationship Id="rId87" Type="http://schemas.openxmlformats.org/officeDocument/2006/relationships/image" Target="media/image68.png"/><Relationship Id="rId88" Type="http://schemas.openxmlformats.org/officeDocument/2006/relationships/image" Target="media/image69.png"/><Relationship Id="rId89" Type="http://schemas.openxmlformats.org/officeDocument/2006/relationships/image" Target="media/image70.png"/><Relationship Id="rId90" Type="http://schemas.openxmlformats.org/officeDocument/2006/relationships/image" Target="media/image71.png"/><Relationship Id="rId91" Type="http://schemas.openxmlformats.org/officeDocument/2006/relationships/image" Target="media/image72.png"/><Relationship Id="rId92" Type="http://schemas.openxmlformats.org/officeDocument/2006/relationships/image" Target="media/image73.png"/><Relationship Id="rId93" Type="http://schemas.openxmlformats.org/officeDocument/2006/relationships/image" Target="media/image74.png"/><Relationship Id="rId94" Type="http://schemas.openxmlformats.org/officeDocument/2006/relationships/image" Target="media/image75.png"/><Relationship Id="rId95" Type="http://schemas.openxmlformats.org/officeDocument/2006/relationships/image" Target="media/image76.png"/><Relationship Id="rId96" Type="http://schemas.openxmlformats.org/officeDocument/2006/relationships/image" Target="media/image77.png"/><Relationship Id="rId97" Type="http://schemas.openxmlformats.org/officeDocument/2006/relationships/image" Target="media/image78.png"/><Relationship Id="rId98" Type="http://schemas.openxmlformats.org/officeDocument/2006/relationships/image" Target="media/image79.png"/><Relationship Id="rId99" Type="http://schemas.openxmlformats.org/officeDocument/2006/relationships/image" Target="media/image80.png"/><Relationship Id="rId100" Type="http://schemas.openxmlformats.org/officeDocument/2006/relationships/image" Target="media/image81.png"/><Relationship Id="rId101" Type="http://schemas.openxmlformats.org/officeDocument/2006/relationships/image" Target="media/image82.png"/><Relationship Id="rId102" Type="http://schemas.openxmlformats.org/officeDocument/2006/relationships/image" Target="media/image83.png"/><Relationship Id="rId103" Type="http://schemas.openxmlformats.org/officeDocument/2006/relationships/image" Target="media/image84.png"/><Relationship Id="rId104" Type="http://schemas.openxmlformats.org/officeDocument/2006/relationships/image" Target="media/image85.png"/><Relationship Id="rId105" Type="http://schemas.openxmlformats.org/officeDocument/2006/relationships/image" Target="media/image86.jpeg"/><Relationship Id="rId51" Type="http://schemas.openxmlformats.org/officeDocument/2006/relationships/hyperlink" Target="http://www.sec.gov/Archives/edgar/data/1680581/000156459020008951/fulc-10k_20191231.htm" TargetMode="External"/><Relationship Id="rId52" Type="http://schemas.openxmlformats.org/officeDocument/2006/relationships/hyperlink" Target="http://www.sec.gov/Archives/edgar/data/1680581/000119312520124813/d895226ddef14a.htm" TargetMode="External"/><Relationship Id="rId53" Type="http://schemas.openxmlformats.org/officeDocument/2006/relationships/hyperlink" Target="http://www.sec.gov/Archives/edgar/data/1680581/000156459020024866/fulc-10q_20200331.htm" TargetMode="External"/><Relationship Id="rId54" Type="http://schemas.openxmlformats.org/officeDocument/2006/relationships/hyperlink" Target="http://www.sec.gov/Archives/edgar/data/1680581/000156459020039121/fulc-10q_20200630.htm" TargetMode="External"/><Relationship Id="rId55" Type="http://schemas.openxmlformats.org/officeDocument/2006/relationships/hyperlink" Target="http://www.sec.gov/Archives/edgar/data/1680581/000156459020052732/fulc-10q_20200930.htm" TargetMode="External"/><Relationship Id="rId57" Type="http://schemas.openxmlformats.org/officeDocument/2006/relationships/hyperlink" Target="http://www.sec.gov/Archives/edgar/data/1680581/000119312520001768/d831315d8k.htm" TargetMode="External"/><Relationship Id="rId58" Type="http://schemas.openxmlformats.org/officeDocument/2006/relationships/hyperlink" Target="http://www.sec.gov/Archives/edgar/data/1680581/000156459020014860/fulc-8k_20200331.htm" TargetMode="External"/><Relationship Id="rId59" Type="http://schemas.openxmlformats.org/officeDocument/2006/relationships/hyperlink" Target="http://www.sec.gov/Archives/edgar/data/1680581/000119312520165696/d857108d8k.htm" TargetMode="External"/><Relationship Id="rId60" Type="http://schemas.openxmlformats.org/officeDocument/2006/relationships/hyperlink" Target="http://www.sec.gov/Archives/edgar/data/1680581/000119312520166654/d941094d8k.htm" TargetMode="External"/><Relationship Id="rId61" Type="http://schemas.openxmlformats.org/officeDocument/2006/relationships/hyperlink" Target="http://www.sec.gov/Archives/edgar/data/1680581/000119312520181057/d944287d8k.htm" TargetMode="External"/><Relationship Id="rId62" Type="http://schemas.openxmlformats.org/officeDocument/2006/relationships/hyperlink" Target="http://www.sec.gov/Archives/edgar/data/1680581/000119312520197820/d77378d8k.htm" TargetMode="External"/><Relationship Id="rId63" Type="http://schemas.openxmlformats.org/officeDocument/2006/relationships/hyperlink" Target="http://www.sec.gov/Archives/edgar/data/1680581/000110465919040208/a19-3408_7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2021-01-19T15:13:46Z</dcterms:created>
  <dcterms:modified xsi:type="dcterms:W3CDTF">2021-01-19T15:13:46Z</dcterms:modified>
</cp:coreProperties>
</file>