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20" w:right="1720" w:hanging="3812"/>
        <w:spacing w:after="0" w:line="375" w:lineRule="auto"/>
        <w:tabs>
          <w:tab w:leader="none" w:pos="37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388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tcPr>
          <w:p>
            <w:pPr>
              <w:jc w:val="right"/>
              <w:ind w:right="597"/>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80"/>
        </w:trPr>
        <w:tc>
          <w:tcPr>
            <w:tcW w:w="3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700" w:type="dxa"/>
            <w:vAlign w:val="bottom"/>
          </w:tcPr>
          <w:p>
            <w:pPr>
              <w:jc w:val="center"/>
              <w:ind w:left="241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6"/>
        </w:trPr>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4700" w:type="dxa"/>
            <w:vAlign w:val="bottom"/>
          </w:tcPr>
          <w:p>
            <w:pPr>
              <w:spacing w:after="0"/>
              <w:rPr>
                <w:sz w:val="18"/>
                <w:szCs w:val="18"/>
                <w:color w:val="auto"/>
              </w:rPr>
            </w:pPr>
          </w:p>
        </w:tc>
      </w:tr>
      <w:tr>
        <w:trPr>
          <w:trHeight w:val="238"/>
        </w:trPr>
        <w:tc>
          <w:tcPr>
            <w:tcW w:w="38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700" w:type="dxa"/>
            <w:vAlign w:val="bottom"/>
          </w:tcPr>
          <w:p>
            <w:pPr>
              <w:jc w:val="right"/>
              <w:ind w:right="797"/>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3"/>
        </w:trPr>
        <w:tc>
          <w:tcPr>
            <w:tcW w:w="3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00" w:type="dxa"/>
            <w:vAlign w:val="bottom"/>
          </w:tcPr>
          <w:p>
            <w:pPr>
              <w:jc w:val="center"/>
              <w:ind w:left="23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3880" w:type="dxa"/>
            <w:vAlign w:val="bottom"/>
          </w:tcPr>
          <w:p>
            <w:pPr>
              <w:spacing w:after="0"/>
              <w:rPr>
                <w:sz w:val="24"/>
                <w:szCs w:val="24"/>
                <w:color w:val="auto"/>
              </w:rPr>
            </w:pPr>
          </w:p>
        </w:tc>
        <w:tc>
          <w:tcPr>
            <w:tcW w:w="4700" w:type="dxa"/>
            <w:vAlign w:val="bottom"/>
          </w:tcPr>
          <w:p>
            <w:pPr>
              <w:jc w:val="right"/>
              <w:ind w:right="3317"/>
              <w:spacing w:after="0"/>
              <w:rPr>
                <w:sz w:val="20"/>
                <w:szCs w:val="20"/>
                <w:color w:val="auto"/>
              </w:rPr>
            </w:pPr>
            <w:r>
              <w:rPr>
                <w:rFonts w:ascii="Times New Roman" w:cs="Times New Roman" w:eastAsia="Times New Roman" w:hAnsi="Times New Roman"/>
                <w:sz w:val="18"/>
                <w:szCs w:val="18"/>
                <w:b w:val="1"/>
                <w:bCs w:val="1"/>
                <w:color w:val="auto"/>
              </w:rPr>
              <w:t>(617) 651-8851</w:t>
            </w:r>
          </w:p>
        </w:tc>
      </w:tr>
    </w:tbl>
    <w:p>
      <w:pPr>
        <w:ind w:left="36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top w:val="single" w:sz="8" w:color="auto"/>
              <w:bottom w:val="single" w:sz="8" w:color="auto"/>
              <w:right w:val="single" w:sz="8" w:color="auto"/>
            </w:tcBorders>
          </w:tcPr>
          <w:p>
            <w:pPr>
              <w:spacing w:after="0"/>
              <w:rPr>
                <w:sz w:val="18"/>
                <w:szCs w:val="18"/>
                <w:color w:val="auto"/>
              </w:rPr>
            </w:pP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8"/>
                <w:szCs w:val="18"/>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FULC</w:t>
            </w:r>
          </w:p>
        </w:tc>
        <w:tc>
          <w:tcPr>
            <w:tcW w:w="100" w:type="dxa"/>
            <w:vAlign w:val="bottom"/>
            <w:tcBorders>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00" w:lineRule="exact"/>
        <w:rPr>
          <w:sz w:val="24"/>
          <w:szCs w:val="24"/>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40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6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2"/>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1"/>
        </w:trPr>
        <w:tc>
          <w:tcPr>
            <w:tcW w:w="1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89"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spacing w:after="0" w:line="196" w:lineRule="exact"/>
        <w:tabs>
          <w:tab w:leader="none" w:pos="7960" w:val="left"/>
          <w:tab w:leader="none" w:pos="87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May 6, 2024, the registrant had 62,153,638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right="4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trials of losmapimod and pociredir, including the effects of the revised inclusion and exclusion criteria on our trial of pociredir;</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losmapimod, pociredir and any other product candidates;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our anticipated cash runway;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recent collaboration and license agreement with Genzyme Corporation, a wholly-owned subsidiary of Sanofi, or Sanofi, under our collaboration agreement with MyoKardia, Inc., or MyoKardia, a wholly-owned subsidiary of Bristol-Myers Squibb Company, or under our exclusive global license agreement with CAMP4 Therapeutics Corp., or CAMP4;</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global pandemics or other geopolitical events on our business and operations, including our clinical trials and development plans, as well as our future financial results;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license agreements, joint ventures or investments we may make or enter into.</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76" w:lineRule="exact"/>
        <w:rPr>
          <w:sz w:val="20"/>
          <w:szCs w:val="20"/>
          <w:color w:val="auto"/>
        </w:rPr>
      </w:pPr>
    </w:p>
    <w:p>
      <w:pPr>
        <w:ind w:left="760" w:right="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$97.3 million for the year ended December 31, 2023 and $26.9 million for the three months ended March 31, 2024. We expect to incur losses over the next several years and may never achieve or maintain profitability. As of March 31, 2024, we had an accumulated deficit of $536.5 million.</w:t>
      </w:r>
    </w:p>
    <w:p>
      <w:pPr>
        <w:spacing w:after="0" w:line="175"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pociredir and continue research and development and initiate additional clinical trials of, and seek regulatory approval for, these and other product candidates.</w:t>
      </w:r>
    </w:p>
    <w:p>
      <w:pPr>
        <w:spacing w:after="0" w:line="179"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7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w:t>
      </w:r>
    </w:p>
    <w:p>
      <w:pPr>
        <w:spacing w:after="0" w:line="225"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60" w:right="3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75"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 w:name="page4"/>
    <w:bookmarkEnd w:id="3"/>
    <w:p>
      <w:pPr>
        <w:ind w:left="3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including our recent collaboration and license agreement with Sanofi, our collaboration with MyoKardia, and our license agreement with CAMP4. If our collaborations are not successful or we are not able to develop product candidates that we license-in, we may not be able to capitalize on the market potential of these product candidates and our business could be adversely affected.</w:t>
      </w:r>
    </w:p>
    <w:p>
      <w:pPr>
        <w:spacing w:after="0" w:line="183" w:lineRule="exact"/>
        <w:rPr>
          <w:rFonts w:ascii="Times New Roman" w:cs="Times New Roman" w:eastAsia="Times New Roman" w:hAnsi="Times New Roman"/>
          <w:sz w:val="18"/>
          <w:szCs w:val="18"/>
          <w:color w:val="auto"/>
        </w:rPr>
      </w:pPr>
    </w:p>
    <w:p>
      <w:pPr>
        <w:ind w:left="380" w:right="4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75" w:lineRule="exact"/>
        <w:rPr>
          <w:rFonts w:ascii="Times New Roman" w:cs="Times New Roman" w:eastAsia="Times New Roman" w:hAnsi="Times New Roman"/>
          <w:sz w:val="18"/>
          <w:szCs w:val="18"/>
          <w:color w:val="auto"/>
        </w:rPr>
      </w:pPr>
    </w:p>
    <w:p>
      <w:pPr>
        <w:ind w:left="380" w:right="5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380" w:right="2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rFonts w:ascii="Times New Roman" w:cs="Times New Roman" w:eastAsia="Times New Roman" w:hAnsi="Times New Roman"/>
          <w:sz w:val="18"/>
          <w:szCs w:val="18"/>
          <w:color w:val="auto"/>
        </w:rPr>
      </w:pPr>
    </w:p>
    <w:p>
      <w:pPr>
        <w:ind w:left="380" w:right="4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recent hostilities in Israel and the Gaza Strip. These events may continue to, and any future pandemics may, adversely impact economies worldwide, which could result in adverse effects on our business and operations.</w:t>
      </w:r>
    </w:p>
    <w:p>
      <w:pPr>
        <w:spacing w:after="0" w:line="1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201"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580" w:type="dxa"/>
            <w:vAlign w:val="bottom"/>
            <w:gridSpan w:val="10"/>
            <w:vMerge w:val="restart"/>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8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8"/>
            <w:vMerge w:val="continue"/>
          </w:tcPr>
          <w:p>
            <w:pPr>
              <w:spacing w:after="0"/>
              <w:rPr>
                <w:sz w:val="14"/>
                <w:szCs w:val="14"/>
                <w:color w:val="auto"/>
              </w:rPr>
            </w:pPr>
          </w:p>
        </w:tc>
        <w:tc>
          <w:tcPr>
            <w:tcW w:w="7580" w:type="dxa"/>
            <w:vAlign w:val="bottom"/>
            <w:gridSpan w:val="10"/>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2024 and December 31, 2023</w:t>
            </w:r>
          </w:p>
        </w:tc>
        <w:tc>
          <w:tcPr>
            <w:tcW w:w="440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2024 and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60" w:type="dxa"/>
            <w:vAlign w:val="bottom"/>
            <w:tcBorders>
              <w:top w:val="single" w:sz="8" w:color="0000FF"/>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2024 and 2023</w:t>
            </w:r>
          </w:p>
        </w:tc>
        <w:tc>
          <w:tcPr>
            <w:tcW w:w="1080" w:type="dxa"/>
            <w:vAlign w:val="bottom"/>
            <w:tcBorders>
              <w:top w:val="single" w:sz="8" w:color="0000FF"/>
            </w:tcBorders>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10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8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80" w:type="dxa"/>
            <w:vAlign w:val="bottom"/>
            <w:gridSpan w:val="6"/>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2"/>
            <w:vMerge w:val="continue"/>
          </w:tcPr>
          <w:p>
            <w:pPr>
              <w:spacing w:after="0"/>
              <w:rPr>
                <w:sz w:val="18"/>
                <w:szCs w:val="18"/>
                <w:color w:val="auto"/>
              </w:rPr>
            </w:pP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96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50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520" w:type="dxa"/>
            <w:vAlign w:val="bottom"/>
            <w:gridSpan w:val="9"/>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3"/>
          </w:tcPr>
          <w:p>
            <w:pPr>
              <w:spacing w:after="0"/>
              <w:rPr>
                <w:sz w:val="18"/>
                <w:szCs w:val="18"/>
                <w:color w:val="auto"/>
              </w:rPr>
            </w:pPr>
          </w:p>
        </w:tc>
        <w:tc>
          <w:tcPr>
            <w:tcW w:w="806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39,949</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25,563</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173,365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210,658</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4,638</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5,441</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217,952</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242,199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5,216</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6,682</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7,176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1,988</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2,011</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232,588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257,694</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8,726</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2,192</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10,694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13,675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8,105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8,629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18,996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22,501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62,141,011 and 61,915,367 shares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750,507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744,940</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(536,543 )</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(509,673 )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213,592</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235,193</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232,588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257,694</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-3162935</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-2202815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8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295</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19,773</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16,715</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11,520</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29,834</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28,235</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(29,834 )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2,964</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3,161</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(26,870 )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8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2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61,984</w:t>
            </w:r>
          </w:p>
        </w:tc>
        <w:tc>
          <w:tcPr>
            <w:tcW w:w="1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59,722</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(26,870 )</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(24,779 )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9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r>
      <w:tr>
        <w:trPr>
          <w:trHeight w:val="237"/>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comprehensive (loss) gain</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(27,168 )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-1988185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-1671320</wp:posOffset>
            </wp:positionV>
            <wp:extent cx="11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-1328420</wp:posOffset>
            </wp:positionV>
            <wp:extent cx="111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-350520</wp:posOffset>
            </wp:positionV>
            <wp:extent cx="111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18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18"/>
                <w:szCs w:val="18"/>
                <w:color w:val="auto"/>
              </w:rPr>
            </w:pPr>
          </w:p>
        </w:tc>
        <w:tc>
          <w:tcPr>
            <w:tcW w:w="11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w:t>
            </w:r>
          </w:p>
        </w:tc>
        <w:tc>
          <w:tcPr>
            <w:tcW w:w="12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20" w:type="dxa"/>
            <w:vAlign w:val="bottom"/>
          </w:tcPr>
          <w:p>
            <w:pPr>
              <w:spacing w:after="0"/>
              <w:rPr>
                <w:sz w:val="18"/>
                <w:szCs w:val="18"/>
                <w:color w:val="auto"/>
              </w:rPr>
            </w:pPr>
          </w:p>
        </w:tc>
        <w:tc>
          <w:tcPr>
            <w:tcW w:w="11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2180" w:type="dxa"/>
            <w:vAlign w:val="bottom"/>
            <w:tcBorders>
              <w:bottom w:val="single" w:sz="8" w:color="auto"/>
            </w:tcBorders>
            <w:gridSpan w:val="3"/>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ive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52,099,211</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612,025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(412,338 )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198,942</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offering, net of issuance costs</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9,615,384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117,346</w:t>
            </w:r>
          </w:p>
        </w:tc>
        <w:tc>
          <w:tcPr>
            <w:tcW w:w="0" w:type="dxa"/>
            <w:vAlign w:val="bottom"/>
          </w:tcPr>
          <w:p>
            <w:pPr>
              <w:spacing w:after="0"/>
              <w:rPr>
                <w:sz w:val="1"/>
                <w:szCs w:val="1"/>
                <w:color w:val="auto"/>
              </w:rPr>
            </w:pPr>
          </w:p>
        </w:tc>
      </w:tr>
      <w:tr>
        <w:trPr>
          <w:trHeight w:val="218"/>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plans</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38,903</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5,496</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3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(24,779 )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(24,779 )</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61,758,994</w:t>
            </w:r>
          </w:p>
        </w:tc>
        <w:tc>
          <w:tcPr>
            <w:tcW w:w="9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733,962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(437,117 )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296,256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61,915,367</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744,940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(509,673 )</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235,193</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plans</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214,094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5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11,550</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3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(26,870 )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(26,870 )</w:t>
            </w:r>
          </w:p>
        </w:tc>
        <w:tc>
          <w:tcPr>
            <w:tcW w:w="0" w:type="dxa"/>
            <w:vAlign w:val="bottom"/>
          </w:tcPr>
          <w:p>
            <w:pPr>
              <w:spacing w:after="0"/>
              <w:rPr>
                <w:sz w:val="1"/>
                <w:szCs w:val="1"/>
                <w:color w:val="auto"/>
              </w:rPr>
            </w:pPr>
          </w:p>
        </w:tc>
      </w:tr>
      <w:tr>
        <w:trPr>
          <w:trHeight w:val="27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62,141,011</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750,507</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(536,543 )</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213,592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-1439545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-1439545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-1439545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-1439545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-1439545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(26,870 )</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(24,779 )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566</w:t>
            </w: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3,916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4,253</w:t>
            </w: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(1,366 )</w:t>
            </w: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9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803</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(3,921 )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(2,199 )</w:t>
            </w:r>
          </w:p>
        </w:tc>
      </w:tr>
      <w:tr>
        <w:trPr>
          <w:trHeight w:val="22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(25,284 )</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(24,116 )</w:t>
            </w: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(55,816 )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(126,504 )</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93,972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32,734</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38,128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(93,941 )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public offerings, net of issuance costs</w:t>
            </w:r>
          </w:p>
        </w:tc>
        <w:tc>
          <w:tcPr>
            <w:tcW w:w="9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117,345</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9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1,651</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348</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1,651</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117,693</w:t>
            </w: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14,495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(364 )</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26,655</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36,190</w:t>
            </w:r>
          </w:p>
        </w:tc>
      </w:tr>
      <w:tr>
        <w:trPr>
          <w:trHeight w:val="26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8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41,150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35,826</w:t>
            </w:r>
          </w:p>
        </w:tc>
      </w:tr>
      <w:tr>
        <w:trPr>
          <w:trHeight w:val="208"/>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98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843</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98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-1807845</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-1216660</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-607695</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-590550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720" w:type="dxa"/>
            <w:vAlign w:val="bottom"/>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5"/>
              </w:rPr>
              <w:t>39,949</w:t>
            </w:r>
          </w:p>
        </w:tc>
        <w:tc>
          <w:tcPr>
            <w:tcW w:w="4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34,734</w:t>
            </w: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1,201</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1,092</w:t>
            </w:r>
          </w:p>
        </w:tc>
      </w:tr>
      <w:tr>
        <w:trPr>
          <w:trHeight w:val="26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120" w:type="dxa"/>
            <w:vAlign w:val="bottom"/>
            <w:tcBorders>
              <w:bottom w:val="single" w:sz="8" w:color="auto"/>
            </w:tcBorders>
            <w:shd w:val="clear" w:color="auto" w:fill="CFF0FC"/>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5"/>
              </w:rPr>
              <w:t>41,150</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35,826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March 31, 2024 and the results of its operations and its cash flows for the three months ended March 31, 2024 and 2023. The results for the three months ended March 31, 2024 are not necessarily indicative of results to be expected for the year ending December 31, 2024, any other interim periods, or any future year or period. These consolidated financial statements should be read in conjunction with the Company’s audited consolidated financial statements and the notes thereto for the year ended December 31, 2023 included in the Company’s Annual Report on Form 10-K filed with the Securities and Exchange Commission (the “SEC”) on February 27, 2024 (the “Annual Report on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March 31, 2024, the Company had an accumulated deficit of $536.5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2023 included in the Company’s Annual Report on Form 10-K. There have been no material changes in the Company’s significant accounting policies during the three months ended March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was not required to adopt any recently issued accounting standards. The Company does not expect any recently issued accounting standards to have a material impact on its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March 31, 2024 and December 31, 2023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30,013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9,936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9,936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20,249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20,249</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13,431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13,431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107,861</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107,861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213,314</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30,013</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183,301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65,107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65,107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113,447</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113,447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236,221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210,658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-1782445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-1765300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-1782445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-1765300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-1782445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-1765300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months ended March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March 31, 2024 and December 31, 2023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20" w:type="dxa"/>
            <w:vAlign w:val="bottom"/>
          </w:tcPr>
          <w:p>
            <w:pPr>
              <w:jc w:val="center"/>
              <w:ind w:left="148"/>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30,013</w:t>
            </w:r>
          </w:p>
        </w:tc>
        <w:tc>
          <w:tcPr>
            <w:tcW w:w="10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30,013</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9,936</w:t>
            </w: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9,936</w:t>
            </w:r>
          </w:p>
        </w:tc>
        <w:tc>
          <w:tcPr>
            <w:tcW w:w="0" w:type="dxa"/>
            <w:vAlign w:val="bottom"/>
          </w:tcPr>
          <w:p>
            <w:pPr>
              <w:spacing w:after="0"/>
              <w:rPr>
                <w:sz w:val="1"/>
                <w:szCs w:val="1"/>
                <w:color w:val="auto"/>
              </w:rPr>
            </w:pPr>
          </w:p>
        </w:tc>
      </w:tr>
      <w:tr>
        <w:trPr>
          <w:trHeight w:val="236"/>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39,949</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39,949</w:t>
            </w: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20,266</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20,249</w:t>
            </w: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31,878</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31,824</w:t>
            </w: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13,589</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(158 )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13,431</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108,066</w:t>
            </w: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(212 )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107,861</w:t>
            </w:r>
          </w:p>
        </w:tc>
        <w:tc>
          <w:tcPr>
            <w:tcW w:w="0" w:type="dxa"/>
            <w:vAlign w:val="bottom"/>
          </w:tcPr>
          <w:p>
            <w:pPr>
              <w:spacing w:after="0"/>
              <w:rPr>
                <w:sz w:val="1"/>
                <w:szCs w:val="1"/>
                <w:color w:val="auto"/>
              </w:rPr>
            </w:pPr>
          </w:p>
        </w:tc>
      </w:tr>
      <w:tr>
        <w:trPr>
          <w:trHeight w:val="236"/>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173,799</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(442 )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173,365</w:t>
            </w:r>
          </w:p>
        </w:tc>
        <w:tc>
          <w:tcPr>
            <w:tcW w:w="0" w:type="dxa"/>
            <w:vAlign w:val="bottom"/>
          </w:tcPr>
          <w:p>
            <w:pPr>
              <w:spacing w:after="0"/>
              <w:rPr>
                <w:sz w:val="1"/>
                <w:szCs w:val="1"/>
                <w:color w:val="auto"/>
              </w:rPr>
            </w:pPr>
          </w:p>
        </w:tc>
      </w:tr>
      <w:tr>
        <w:trPr>
          <w:trHeight w:val="277"/>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213,748</w:t>
            </w:r>
          </w:p>
        </w:tc>
        <w:tc>
          <w:tcPr>
            <w:tcW w:w="10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(442 )</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213,314</w:t>
            </w:r>
          </w:p>
        </w:tc>
        <w:tc>
          <w:tcPr>
            <w:tcW w:w="0" w:type="dxa"/>
            <w:vAlign w:val="bottom"/>
          </w:tcPr>
          <w:p>
            <w:pPr>
              <w:spacing w:after="0"/>
              <w:rPr>
                <w:sz w:val="1"/>
                <w:szCs w:val="1"/>
                <w:color w:val="auto"/>
              </w:rPr>
            </w:pPr>
          </w:p>
        </w:tc>
      </w:tr>
      <w:tr>
        <w:trPr>
          <w:trHeight w:val="633"/>
        </w:trPr>
        <w:tc>
          <w:tcPr>
            <w:tcW w:w="47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-2202180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-2202180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-2202180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-1259205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-1259205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-1259205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-933450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-916305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-933450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-916305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-933450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42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25,563</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14,229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14,215</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65,182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65,107</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17,891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17,889</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113,492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113,447</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210,794</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210,658</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236,357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236,221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months ended March 31, 2024. As of March 31, 2024, the Company held 46 debt securities that were in an unrealized loss position for less than 12 months with an aggregate fair value of $125.7 million. As of March 31, 2024, the Company held 13 debt securities that were in an unrealized loss position for greater than 12 months with an aggregate fair value of $31.3 million. As of March 31, 2024, the aggregate fair value of marketable securities with a remaining contractual maturity of greater than one year was $31.4 million.</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three months ended March 31, 2024</w:t>
      </w:r>
      <w:r>
        <w:rPr>
          <w:rFonts w:ascii="Times New Roman" w:cs="Times New Roman" w:eastAsia="Times New Roman" w:hAnsi="Times New Roman"/>
          <w:sz w:val="18"/>
          <w:szCs w:val="18"/>
          <w:color w:val="212529"/>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9,682</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4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(13,174 )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(12,760 )</w:t>
            </w: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-505460</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$0.5 million and $0.6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Prepaid sign-on bonuses subject to vesting provisions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20" w:type="dxa"/>
            <w:vAlign w:val="bottom"/>
            <w:vMerge w:val="restart"/>
          </w:tcPr>
          <w:p>
            <w:pPr>
              <w:jc w:val="right"/>
              <w:ind w:right="1352"/>
              <w:spacing w:after="0"/>
              <w:rPr>
                <w:sz w:val="20"/>
                <w:szCs w:val="20"/>
                <w:color w:val="auto"/>
              </w:rPr>
            </w:pPr>
            <w:r>
              <w:rPr>
                <w:rFonts w:ascii="Times New Roman" w:cs="Times New Roman" w:eastAsia="Times New Roman" w:hAnsi="Times New Roman"/>
                <w:sz w:val="17"/>
                <w:szCs w:val="17"/>
                <w:color w:val="auto"/>
                <w:w w:val="70"/>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-1087755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5,000,000 shares of undesignated preferred stock were authorized. No shares of preferred stock were issued or outstanding as of March 31, 2024 and December 31, 2023.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and December 31, 2023, 200,000,000 shares of common stock, $0.001 par value per share, were authorized.</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and December 31, 2023, the Company has reserved for future issuance the following number of shares of common stock:</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12,289,352</w:t>
            </w:r>
          </w:p>
        </w:tc>
        <w:tc>
          <w:tcPr>
            <w:tcW w:w="13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9,972,217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128,709</w:t>
            </w: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75,017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3,008,629</w:t>
            </w:r>
          </w:p>
        </w:tc>
        <w:tc>
          <w:tcPr>
            <w:tcW w:w="13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3,157,537</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1,774,696</w:t>
            </w: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1,346,125</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390,314</w:t>
            </w:r>
          </w:p>
        </w:tc>
        <w:tc>
          <w:tcPr>
            <w:tcW w:w="100" w:type="dxa"/>
            <w:vAlign w:val="bottom"/>
            <w:vMerge w:val="restart"/>
            <w:shd w:val="clear" w:color="auto" w:fill="CFF0FC"/>
          </w:tcPr>
          <w:p>
            <w:pPr>
              <w:spacing w:after="0"/>
              <w:rPr>
                <w:sz w:val="18"/>
                <w:szCs w:val="18"/>
                <w:color w:val="auto"/>
              </w:rPr>
            </w:pPr>
          </w:p>
        </w:tc>
        <w:tc>
          <w:tcPr>
            <w:tcW w:w="120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837,877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17,591,700</w:t>
            </w: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15,388,773</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-1096645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March 31, 2024, no shares remained available for future issuance under the 2016 Plan. Any options or other awards outstanding under the 2016 Plan remain outstanding and 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2024, the number of shares reserved for issuance under the 2019 Plan was increased by 2,000,000 shares. As of March 31, 2024, there were 3,008,629 shares available for future issuance under the 2019 Plan.</w:t>
      </w:r>
    </w:p>
    <w:p>
      <w:pPr>
        <w:spacing w:after="0" w:line="19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As of March 31, 2024, there were 390,314 shares available for future issuance under the Inducement Plan.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three months ended March 31, 2024:</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0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2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9,972,217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8.44</w:t>
            </w:r>
          </w:p>
        </w:tc>
        <w:tc>
          <w:tcPr>
            <w:tcW w:w="1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8.49</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15,114,074</w:t>
            </w:r>
          </w:p>
        </w:tc>
        <w:tc>
          <w:tcPr>
            <w:tcW w:w="0" w:type="dxa"/>
            <w:vAlign w:val="bottom"/>
          </w:tcPr>
          <w:p>
            <w:pPr>
              <w:spacing w:after="0"/>
              <w:rPr>
                <w:sz w:val="1"/>
                <w:szCs w:val="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2,629,058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(214,094 )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(97,829 )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12,289,352</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8.26</w:t>
            </w:r>
          </w:p>
        </w:tc>
        <w:tc>
          <w:tcPr>
            <w:tcW w:w="11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8.64</w:t>
            </w:r>
          </w:p>
        </w:tc>
        <w:tc>
          <w:tcPr>
            <w:tcW w:w="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35,107,034</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3,365,888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12.71</w:t>
            </w: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7.19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2,509,520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-205105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4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months ended March 31, 2024 was $6.23 per share. The total intrinsic value of stock options exercised during the three months ended March 31, 2024 was $0.8 million.</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months ended March 31, 2024 and 2023 has been calculated on the date of grant using the following weighted average assumptions: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690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6900" w:type="dxa"/>
            <w:vAlign w:val="bottom"/>
          </w:tcPr>
          <w:p>
            <w:pPr>
              <w:spacing w:after="0"/>
              <w:rPr>
                <w:sz w:val="16"/>
                <w:szCs w:val="16"/>
                <w:color w:val="auto"/>
              </w:rPr>
            </w:pPr>
          </w:p>
        </w:tc>
        <w:tc>
          <w:tcPr>
            <w:tcW w:w="1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0" w:type="dxa"/>
            <w:vAlign w:val="bottom"/>
          </w:tcPr>
          <w:p>
            <w:pPr>
              <w:spacing w:after="0"/>
              <w:rPr>
                <w:sz w:val="16"/>
                <w:szCs w:val="16"/>
                <w:color w:val="auto"/>
              </w:rPr>
            </w:pPr>
          </w:p>
        </w:tc>
      </w:tr>
      <w:tr>
        <w:trPr>
          <w:trHeight w:val="22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1"/>
                <w:szCs w:val="2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-610870</wp:posOffset>
            </wp:positionV>
            <wp:extent cx="641223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40" w:firstLine="509"/>
        <w:spacing w:after="0" w:line="313"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three months ended March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4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5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7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75,017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10.77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7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70,445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6.95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12.53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32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9.38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2024</w:t>
            </w:r>
          </w:p>
        </w:tc>
        <w:tc>
          <w:tcPr>
            <w:tcW w:w="47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128,709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8.58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580" w:type="dxa"/>
            <w:vAlign w:val="bottom"/>
          </w:tcPr>
          <w:p>
            <w:pPr>
              <w:spacing w:after="0"/>
              <w:rPr>
                <w:sz w:val="24"/>
                <w:szCs w:val="24"/>
                <w:color w:val="auto"/>
              </w:rPr>
            </w:pPr>
          </w:p>
        </w:tc>
        <w:tc>
          <w:tcPr>
            <w:tcW w:w="364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jc w:val="right"/>
              <w:ind w:right="163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-933450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500" w:firstLine="509"/>
        <w:spacing w:after="0" w:line="280"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2,587</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3,408</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845</w:t>
            </w:r>
          </w:p>
        </w:tc>
      </w:tr>
      <w:tr>
        <w:trPr>
          <w:trHeight w:val="27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3,916</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an aggregate of $42.8 million of unrecognized stock-based compensation expense, which is expected to be recognized over a weighted average period of 2.99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2024, the number of shares reserved for issuance under the 2019 ESPP was increased by 428,571 shares. As of March 31, 2024, there were 1,774,696 shares available for future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Agreement</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as amended,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will also reimburse the Company for the costs of the research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 w:name="page18"/>
    <w:bookmarkEnd w:id="17"/>
    <w:p>
      <w:pPr>
        <w:ind w:right="80"/>
        <w:spacing w:after="0" w:line="255" w:lineRule="auto"/>
        <w:rPr>
          <w:sz w:val="20"/>
          <w:szCs w:val="20"/>
          <w:color w:val="auto"/>
        </w:rPr>
      </w:pPr>
      <w:r>
        <w:rPr>
          <w:rFonts w:ascii="Times New Roman" w:cs="Times New Roman" w:eastAsia="Times New Roman" w:hAnsi="Times New Roman"/>
          <w:sz w:val="18"/>
          <w:szCs w:val="18"/>
          <w:color w:val="auto"/>
        </w:rPr>
        <w:t>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2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9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62" w:lineRule="exact"/>
        <w:rPr>
          <w:sz w:val="20"/>
          <w:szCs w:val="20"/>
          <w:color w:val="auto"/>
        </w:rPr>
      </w:pPr>
    </w:p>
    <w:p>
      <w:pPr>
        <w:jc w:val="both"/>
        <w:ind w:right="820" w:firstLine="509"/>
        <w:spacing w:after="0" w:line="266"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months ended March 31, 2024.</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22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 The Company satisfied its obligation to perform research services as of December 31, 2023.</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no collaboration revenue associated with the MyoKardia Collaboration Agreement. During the three months ended March 31, 2023, the Company recognized $0.3 million of collaboration revenue associated with the MyoKardia Collaboration Agreement, which includes $0.2 million of revenue recognized that was in deferred revenue as of December 31, 2022. As of March 31, 2024 and December 31, 2023, the Company recorded no deferred revenue or accounts receivable associated with the MyoKardia Collaboration Agreement. As of March 31, 2024, the Company had received $7.7 million of cost reimbursement payments under the MyoKardia Collaboration Agreement and $2.5 million associated with the achievement of a preclinical milestone. As of December 31, 2023, the Company had received $7.2 million of cost reimbursement payments under the MyoKardia Collaboration Agreement and $2.5 million associated with the achievement of a preclinical milestone. As of March 31, 2024, the Company recorded no unbilled accounts receivable related to reimbursable research and development costs under the MyoKardia Collaboration Agreement for activities performed during the three months ended March 31, 2024. As of December 31, 2023, the Company recorded unbilled accounts receivable of $0.5 million related to reimbursable research and development costs under the MyoKardia Collaboration Agreement for activities performed during the three months ended December 31, 2023.</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Agreement</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GSK Agreement, the Company issued 12,500,000 shares of Series B Preferred Stock to GSK (all of which converted to common stock in connection with the Company’s 2019 initial public offering). In addition, the Company may owe GSK up to $37.5 million in certain specified clinical and regulatory milestones, including a $5.0 million milestone that was achieved during 2022 and a $2.5 million milestone that was achieved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8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right="60" w:firstLine="8"/>
        <w:spacing w:after="0" w:line="260"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 and regulatory approvals of licensed products.</w:t>
      </w:r>
    </w:p>
    <w:p>
      <w:pPr>
        <w:spacing w:after="0" w:line="1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9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March 31, 2024 and December 31, 2023. Operating lease expense and variable lease expense associated with this lease for the three months ended March 31, 2024 was approximately $0.5 million and $0.2 million, respectively.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March 31, 2024,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2024(1)</w:t>
            </w:r>
          </w:p>
        </w:tc>
        <w:tc>
          <w:tcPr>
            <w:tcW w:w="79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FF0FC"/>
          </w:tcPr>
          <w:p>
            <w:pPr>
              <w:spacing w:after="0"/>
              <w:rPr>
                <w:sz w:val="21"/>
                <w:szCs w:val="21"/>
                <w:color w:val="auto"/>
              </w:rPr>
            </w:pPr>
          </w:p>
        </w:tc>
      </w:tr>
      <w:tr>
        <w:trPr>
          <w:trHeight w:val="23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0"/>
                <w:szCs w:val="20"/>
                <w:color w:val="auto"/>
              </w:rPr>
            </w:pPr>
          </w:p>
        </w:tc>
      </w:tr>
      <w:tr>
        <w:trPr>
          <w:trHeight w:val="247"/>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21"/>
                <w:szCs w:val="21"/>
                <w:color w:val="auto"/>
              </w:rPr>
            </w:pPr>
          </w:p>
        </w:tc>
      </w:tr>
      <w:tr>
        <w:trPr>
          <w:trHeight w:val="23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00" w:type="dxa"/>
            <w:vAlign w:val="bottom"/>
          </w:tcPr>
          <w:p>
            <w:pPr>
              <w:spacing w:after="0"/>
              <w:rPr>
                <w:sz w:val="20"/>
                <w:szCs w:val="20"/>
                <w:color w:val="auto"/>
              </w:rPr>
            </w:pPr>
          </w:p>
        </w:tc>
      </w:tr>
      <w:tr>
        <w:trPr>
          <w:trHeight w:val="243"/>
        </w:trPr>
        <w:tc>
          <w:tcPr>
            <w:tcW w:w="9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(1,417 )</w:t>
            </w:r>
          </w:p>
        </w:tc>
      </w:tr>
      <w:tr>
        <w:trPr>
          <w:trHeight w:val="237"/>
        </w:trPr>
        <w:tc>
          <w:tcPr>
            <w:tcW w:w="92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00" w:type="dxa"/>
            <w:vAlign w:val="bottom"/>
            <w:tcBorders>
              <w:top w:val="single" w:sz="8" w:color="CFF0FC"/>
            </w:tcBorders>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360" w:type="dxa"/>
            <w:vAlign w:val="bottom"/>
            <w:tcBorders>
              <w:bottom w:val="single" w:sz="8" w:color="auto"/>
            </w:tcBorders>
          </w:tcPr>
          <w:p>
            <w:pPr>
              <w:spacing w:after="0"/>
              <w:rPr>
                <w:sz w:val="10"/>
                <w:szCs w:val="10"/>
                <w:color w:val="auto"/>
              </w:rPr>
            </w:pPr>
          </w:p>
        </w:tc>
        <w:tc>
          <w:tcPr>
            <w:tcW w:w="7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left="520" w:right="6320" w:hanging="512"/>
        <w:spacing w:after="0" w:line="50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nine months ending December 31, 2024. </w:t>
      </w:r>
      <w:r>
        <w:rPr>
          <w:rFonts w:ascii="Times New Roman" w:cs="Times New Roman" w:eastAsia="Times New Roman" w:hAnsi="Times New Roman"/>
          <w:sz w:val="18"/>
          <w:szCs w:val="18"/>
          <w:i w:val="1"/>
          <w:iCs w:val="1"/>
          <w:color w:val="auto"/>
        </w:rPr>
        <w:t>125 Sidney Street</w:t>
      </w:r>
    </w:p>
    <w:p>
      <w:pPr>
        <w:spacing w:after="0" w:line="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ended on March 31, 2024. The Company had the option to extend the term of the lease for two successive one-year periods, at the market rate, by giving the landlord written notice of its election to exercise the extension at least nine months prior to the original expiration of the lease term. The lease had a total commitment of $1.7 million over the initial term, and included escalating rent payments. Operating lease expense associated with this lease for the three months ended March 31, 2024 was approximately $0.2 million. No variable lease expense was recorded associated with this lease for the three months ended March 31, 2024.</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future minimum lease payments associated with this lease as of March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March 31, 2024 or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the Company and current and former officers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 et al</w:t>
      </w:r>
      <w:r>
        <w:rPr>
          <w:rFonts w:ascii="Times New Roman" w:cs="Times New Roman" w:eastAsia="Times New Roman" w:hAnsi="Times New Roman"/>
          <w:sz w:val="18"/>
          <w:szCs w:val="18"/>
          <w:color w:val="auto"/>
        </w:rPr>
        <w:t>., Case No. 1:23-cv-11125-IT. On July 31, 2023, the court appointed a lead plaintiff, who filed an amended complaint on September 29, 2023.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pociredir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which motion is currently pending. The Company intends to defend vigorously against this litigation.</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the Securities Action, no such costs have been incurred during the three months ended March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in contributions to the 401(k) Plan for each of the three months ended March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2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96"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74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7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12,289,352</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6,876,679</w:t>
            </w: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128,709</w:t>
            </w:r>
          </w:p>
        </w:tc>
        <w:tc>
          <w:tcPr>
            <w:tcW w:w="8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104,543</w:t>
            </w:r>
          </w:p>
        </w:tc>
      </w:tr>
      <w:tr>
        <w:trPr>
          <w:trHeight w:val="277"/>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12,418,061</w:t>
            </w:r>
          </w:p>
        </w:tc>
        <w:tc>
          <w:tcPr>
            <w:tcW w:w="8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and License Agreement</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May 11,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 mutually agreed global development plan, the Company will continue to conduct the ongoing Phase 3 clinical trial for losmapimod for the treatment of FSHD. The Company and Sanofi will equally share global development costs. In addition to potential future activities conducted under a mutually agreed global development plan, Sanofi will also have the right to conduct certain development activities that are solely intended to support obtaining or maintaining regulatory approval outside of the United States. The Company will have the sole right to manufacture for its activities under the global development plan and for commercialization in the United States and, subject to the terms of a supply agreement, the Company will supply Sanofi’s clinical and commercial supply requirements of losmapimod until Sanofi elects to take over such manufacturing responsibilities.</w:t>
      </w:r>
    </w:p>
    <w:p>
      <w:pPr>
        <w:spacing w:after="0" w:line="18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Per the terms of the Sanofi Agreement, Sanofi will make an upfront payment of $80.0 million to the Company. The Company is also eligible to receive up to an additional $975.0 million in specified regulatory and sales-based milestones, and Sanofi will pay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 w:name="page23"/>
    <w:bookmarkEnd w:id="22"/>
    <w:p>
      <w:pPr>
        <w:ind w:right="380"/>
        <w:spacing w:after="0" w:line="266" w:lineRule="auto"/>
        <w:rPr>
          <w:sz w:val="20"/>
          <w:szCs w:val="20"/>
          <w:color w:val="auto"/>
        </w:rPr>
      </w:pPr>
      <w:r>
        <w:rPr>
          <w:rFonts w:ascii="Times New Roman" w:cs="Times New Roman" w:eastAsia="Times New Roman" w:hAnsi="Times New Roman"/>
          <w:sz w:val="18"/>
          <w:szCs w:val="18"/>
          <w:color w:val="auto"/>
        </w:rPr>
        <w:t>Company tiered royalties ranging from low-teens to mid-twenties based on Sanofi’s and any of its affiliates’ and sublicensees’ annual net sales of losmapimod outside the United States. The royalties are payable on a product-by-product basis during a specified royalty term, and may be reduced in specified circumstances.</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term of the Sanofi Agreement, the Company may not research, develop, manufacture, commercialize, use, or otherwise exploit any compound or product that binds or otherwise modulates p38a/b MAPK anywhere in the world, other than losmapimod in the United States.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continues on a country-by-country and product-by-product basis until the last to expire royalty term for a product in a country, at which time the Sanofi Agreement expires with respect to such product in such country. Either party has the right to terminate the Sanofi Agreement if the other party has materially breached its obligations under the Sanofi Agreement and such breach has not been cured within the applicable cure period. Sanofi also has the right to terminate the Sanofi Agreement for convenience in its entirety or on a product-by-product or region-by-region (or country-by-country with respect to certain major markets) basis. The Company also has the right to terminate the Sanofi Agreement if Sanofi terminates all bona fide material development and commercialization activities for a specified period and such cessation is not the result of certain agreed upon reasons.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currently evaluating the accounting treatment for the Sanofi Agreement.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27,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facioscapulohumeral muscular dystrophy, or FSHD. Our other clinical product candidate is pociredir, which is being developed for the potential treatment of sickle cell disease, or SCD. We initiated REACH, a randomized, double-blind, placebo-controlled, multi-national Phase 3 clinical trial of losmapimod in the second quarter of 2022 and completed enrollment during September 2023, enrolling 260 patients. We expect to report topline data from REACH in the fourth quarter of 2024.</w:t>
      </w:r>
    </w:p>
    <w:p>
      <w:pPr>
        <w:spacing w:after="0" w:line="187"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In January 2023, we announced interim data from our Phase 1b clinical trial of pociredir in SCD. We completed enrollment in the 6 mg and 2 mg dose cohorts, and do not plan to enroll additional subjects in these cohorts. Although we commenced enrollment in the 12 mg dose cohort, in February 2023 the FDA placed a full clinical hold on the investigational new drug, or IND, application for pociredir for SCD, which was lifted in August 2023. We reinitiated the Phase 1b clinical trial at the 12 mg once daily dose level, with that cohort expected to enroll approximately 10 patients, to be followed by an additional cohort of approximately 10 patients at the 20 mg once daily dose level, and have activated additional clinical trial sites. Following the clinical hold, we amended the protocol to revise the inclusion and exclusion criteria for the Phase 1b clinical trial to target patients with higher disease severity.</w:t>
      </w:r>
    </w:p>
    <w:p>
      <w:pPr>
        <w:spacing w:after="0" w:line="17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May 11, 2024, we entered into a collaboration and license agreement with Genzyme Corporation, a wholly-owned subsidisary of Sanofi, or Sanofi, pursuant to which we granted Sanofi an exclusive license under certain intellectual property rights to commercialize losmapimod outside of the United States. Pursuant to a mutually agreed global development plan, we will continue to conduct the ongoing REACH trial. We and Sanofi will equally share global development costs. In addition to potential future activities conducted under a mutually agreed global development plan, Sanofi will also have the right to conduct certain development activities that are solely intended to support obtaining or maintaining regulatory approval outside of the United States. We will have the sole right to manufacture for our activities under the global development plan and for commercialization in the United States. and, subject to the terms of a supply agreement, we will supply Sanofi’s clinical and commercial supply requirements of losmapimod until Sanofi elects to take over such manufacturing responsibilities.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 the terms of the agreement, Sanofi will make an upfront payment of $80.0 million to us. We are also eligible to receive up to an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$975.0 million in specified regulatory and sales-based milestones, and Sanofi will pay us tiered royalties ranging from low-teens to mid-twenties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Sanofi’s and any of its affiliates’ and sublicensees’ annual net sales of losmapimod outside the United States. The royalties are payable on a product-by-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basis during a specified royalty term, and may be reduced in specified circumstances.</w:t>
      </w:r>
    </w:p>
    <w:p>
      <w:pPr>
        <w:spacing w:after="0" w:line="20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technologies,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$26.9 million and $24.8 million for the three months ended March 31, 2024 and 2023, respectively. As of March 31, 2024, we had an accumulated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ind w:right="580"/>
        <w:spacing w:after="0" w:line="282" w:lineRule="auto"/>
        <w:rPr>
          <w:sz w:val="20"/>
          <w:szCs w:val="20"/>
          <w:color w:val="auto"/>
        </w:rPr>
      </w:pPr>
      <w:r>
        <w:rPr>
          <w:rFonts w:ascii="Times New Roman" w:cs="Times New Roman" w:eastAsia="Times New Roman" w:hAnsi="Times New Roman"/>
          <w:sz w:val="18"/>
          <w:szCs w:val="18"/>
          <w:color w:val="auto"/>
        </w:rPr>
        <w:t>deficit of $536.5 million. We expect our expenses and operating losses will increase substantially over the next several years in connection with our ongoing activities, as we:</w:t>
      </w:r>
    </w:p>
    <w:p>
      <w:pPr>
        <w:spacing w:after="0" w:line="54"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 such as REACH, the Phase 3 clinical trial of losmapimod for the treatment of FSHD;</w:t>
      </w:r>
    </w:p>
    <w:p>
      <w:pPr>
        <w:spacing w:after="0" w:line="5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Diamond Blackfan Anemia, or DBA,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GlaxoSmithKline plc, or GSK, under our right of reference and license agreement with GSK upon the achievement of specified clinical or regulatory milestones, or to CAMP4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we had $213.3 million in cash, cash equivalents, and marketable securities. We believe that our existing cash, cash equivalents, and marketable securities as of March 31, 2024, together with the $80.0 million upfront payment that we expect to receive under our recent collaboration and license agreement with Sanofi, will enable us to fund our operating expenses and capital expenditure requirements into 2027. We have based this estimate on assumptions that may prove to be wrong, and we could exhaust our available capital resources sooner than we expect. See “— Liquidity and Capital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which we amended in April 2023,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 We satisfied our obligation to perform research services as of December 31, 2023.</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we recognized zero and $0.3 million, respectively, of collaboration revenue under the MyoKardia collaboration agreement. As of March 31, 2024 and December 31, 2023, we have recorded no deferred revenue associated with the MyoKardia collaboration agreement. As of March 31, 2024, we had received $7.7 million of cost reimbursement payments and $2.5 million of milestone payments under the MyoKardia collaboration agreement. As of March 31, 2024, we recorded no accounts receivable or unbilled accounts receivable under the MyoKardia collaboration agreement.</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generate revenue from milestones and royalty payments under the MyoKardia collaboration agreement. We expect that our revenue may fluctuate from quarter-to-quarter and year-to-year as a result of the timing, amount, and achievement of milestones under the MyoKardia collaboration agreement.</w:t>
      </w:r>
    </w:p>
    <w:p>
      <w:pPr>
        <w:spacing w:after="0" w:line="17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the future, we will recognize revenue from the Sanofi Agreement associated with the $80.0 million upfront payment, and we may generate additional revenue from milestones and royalty payments under the Sanofi Agreement.</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three months ended March 31, 2024 and 2023. Pre-development candidate expenses, unallocated expenses and internal research and development expenses are classified separately.</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8,294</w:t>
            </w:r>
          </w:p>
        </w:tc>
        <w:tc>
          <w:tcPr>
            <w:tcW w:w="70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6,329</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34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2,098</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2,568</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3,665</w:t>
            </w: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3,011</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5,716</w:t>
            </w: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4,807</w:t>
            </w:r>
          </w:p>
        </w:tc>
      </w:tr>
      <w:tr>
        <w:trPr>
          <w:trHeight w:val="277"/>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19,773</w:t>
            </w:r>
          </w:p>
        </w:tc>
        <w:tc>
          <w:tcPr>
            <w:tcW w:w="1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102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 the United States,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March 31, 2024 and 2023 along with the changes in those items in dollars: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480" w:type="dxa"/>
            <w:vAlign w:val="bottom"/>
            <w:gridSpan w:val="2"/>
            <w:shd w:val="clear" w:color="auto" w:fill="CFF0FC"/>
          </w:tcPr>
          <w:p>
            <w:pPr>
              <w:jc w:val="center"/>
              <w:ind w:left="8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3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(1,459 )</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Borders>
              <w:bottom w:val="single" w:sz="8" w:color="CFF0FC"/>
            </w:tcBorders>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(29,834 )</w:t>
            </w:r>
          </w:p>
        </w:tc>
        <w:tc>
          <w:tcPr>
            <w:tcW w:w="5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(27,940 )</w:t>
            </w: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(1,894 )</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20"/>
                <w:szCs w:val="20"/>
                <w:color w:val="auto"/>
              </w:rPr>
            </w:pPr>
          </w:p>
        </w:tc>
        <w:tc>
          <w:tcPr>
            <w:tcW w:w="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(26,870 )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(24,779 )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(2,091 )</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23</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-1413510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-1413510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-1413510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-1096645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-1096645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-1096645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 decreased by $0.3 million from $0.3 million for the three months ended March 31, 2023 to zero for the three months ended March 31, 2024. The decrease was attributable to the completion of our research services under our collaboration agreement with MyoKardia during the fourth quarter of 2023. We recognize revenue under the MyoKardia collaboration agreement based on our pattern of performance related to the identified performance obligation, which is the period over which we perform research services under the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2024 and 2023:</w:t>
      </w:r>
    </w:p>
    <w:p>
      <w:pPr>
        <w:spacing w:after="0" w:line="200" w:lineRule="exact"/>
        <w:rPr>
          <w:sz w:val="20"/>
          <w:szCs w:val="20"/>
          <w:color w:val="auto"/>
        </w:rPr>
      </w:pP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36"/>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260" w:type="dxa"/>
            <w:vAlign w:val="bottom"/>
            <w:tcBorders>
              <w:top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-187960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-187960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$3.1 million from $16.7 million for the three months ended March 31, 2023 to $19.8 million for the three months ended March 31, 2024. The increase in research and development expense was primarily attributable to the following:</w:t>
      </w:r>
    </w:p>
    <w:p>
      <w:pPr>
        <w:spacing w:after="0" w:line="54" w:lineRule="exact"/>
        <w:rPr>
          <w:sz w:val="20"/>
          <w:szCs w:val="20"/>
          <w:color w:val="auto"/>
        </w:rPr>
      </w:pPr>
    </w:p>
    <w:p>
      <w:pPr>
        <w:ind w:left="90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increased external research and development costs, primarily due to the advancement of REACH as we completed enrollment in September 2023;</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of increased employee compensation costs, including a $0.5 million increase in stock-based compensation expense;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$0.3 million of decreased laboratory supplies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decreased facility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decreased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2024 and 2023:</w:t>
      </w:r>
    </w:p>
    <w:p>
      <w:pPr>
        <w:spacing w:after="0" w:line="200" w:lineRule="exact"/>
        <w:rPr>
          <w:sz w:val="20"/>
          <w:szCs w:val="20"/>
          <w:color w:val="auto"/>
        </w:rPr>
      </w:pPr>
    </w:p>
    <w:p>
      <w:pPr>
        <w:spacing w:after="0" w:line="23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(1,605 )</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11,520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(1,459 )</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$1.5 million from $11.5 million for the three months ended March 31, 2023 to $10.1 million for the three months ended March 31, 2024. The decrease in general and administrative expenses was primarily attributable to the following:</w:t>
      </w:r>
    </w:p>
    <w:p>
      <w:pPr>
        <w:spacing w:after="0" w:line="54" w:lineRule="exact"/>
        <w:rPr>
          <w:sz w:val="20"/>
          <w:szCs w:val="20"/>
          <w:color w:val="auto"/>
        </w:rPr>
      </w:pPr>
    </w:p>
    <w:p>
      <w:pPr>
        <w:ind w:left="900" w:right="4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of decreased employee compensation costs, including a $0.8 million decrease in stock-based compensation expense, due to decreased headcount;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$0.2 million of increased professional services costs, primarily due to increased legal costs.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1"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right="440" w:firstLine="509"/>
        <w:spacing w:after="0" w:line="312" w:lineRule="auto"/>
        <w:rPr>
          <w:sz w:val="20"/>
          <w:szCs w:val="20"/>
          <w:color w:val="auto"/>
        </w:rPr>
      </w:pPr>
      <w:r>
        <w:rPr>
          <w:rFonts w:ascii="Times New Roman" w:cs="Times New Roman" w:eastAsia="Times New Roman" w:hAnsi="Times New Roman"/>
          <w:sz w:val="17"/>
          <w:szCs w:val="17"/>
          <w:color w:val="auto"/>
        </w:rPr>
        <w:t>Other income, net decreased by $0.2 million from $3.2 million for the three months ended March 31, 2023 to $3.0 million for the three months ended March 31, 2024. The decrease was primarily attributable to a decrease in our average cash, cash equivalents, and marketable securities balance.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March 31, 2024, we have funded our operations primarily with aggregate gross proceeds of $712.5 million from the sale of shares of our capital stock and from upfront payments received under our collaboration and license agreements. As of March 31, 2024, we had cash, cash equivalents, and marketable securities of $213.3 million.</w:t>
      </w:r>
    </w:p>
    <w:p>
      <w:pPr>
        <w:spacing w:after="0" w:line="194"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March 31, 2024, we have not issued or sold any shares of common stock under the at-the-market offering program.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2024 and 2023:</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(25,284 )</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(24,116 )</w:t>
            </w:r>
          </w:p>
        </w:tc>
        <w:tc>
          <w:tcPr>
            <w:tcW w:w="20" w:type="dxa"/>
            <w:vAlign w:val="bottom"/>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(93,941 )</w:t>
            </w:r>
          </w:p>
        </w:tc>
        <w:tc>
          <w:tcPr>
            <w:tcW w:w="2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117,693</w:t>
            </w:r>
          </w:p>
        </w:tc>
        <w:tc>
          <w:tcPr>
            <w:tcW w:w="20" w:type="dxa"/>
            <w:vAlign w:val="bottom"/>
          </w:tcPr>
          <w:p>
            <w:pPr>
              <w:spacing w:after="0"/>
              <w:rPr>
                <w:sz w:val="21"/>
                <w:szCs w:val="21"/>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2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-187960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$25.3 million during the three months ended March 31, 2024 compared to $24.1 million during the three months ended March 31, 2023. The increase in net cash used in operating activities of $1.2 million was primarily due to a increase in our net loss, including as a result of increased external research and development costs as we continued the advancement of REACH.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$38.1 million during the three months ended March 31, 2024 compared to net cash used in investing activities of $93.9 million during the three months ended March 31, 2023. The increase in net cash provided by investing activities of $132.1 million was primarily due to net maturities of marketable securities during the three months ended March 31, 2024, as compared to net purchases of marketable securities during the three months ended March 31,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$1.7 million during the three months ended March 31, 2024 compared to net cash provided by financing activities of $117.7 million during the three months ended March 31, 2023. Net cash provided by financing activities during the three months ended March 31, 2024 consisted of net proceeds of $1.7 million from the issuance of common stock under our benefit plans. Net cash provided by financing activities during the three months ended March 31, 2023 primarily consisted of net proceeds of $117.3 million from the January 2023 public offering of our common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March 31, 2024, together with the $80.0 million upfront payment that we expect to receive under our recent collaboration and license agreement with Sanofi, will enable us to fund our operating expenses and capital expenditure requirements into 2027. However, we have based this estimate on assumptions that may prove to be wrong and we could exhaust our capital resources sooner than we expect.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losmapimod and pociredir;</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recent collaboration and license agreement with Sanofi and our collaboration with MyoKardia;</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right="140"/>
        <w:spacing w:after="0" w:line="261" w:lineRule="auto"/>
        <w:rPr>
          <w:sz w:val="20"/>
          <w:szCs w:val="20"/>
          <w:color w:val="auto"/>
        </w:rPr>
      </w:pPr>
      <w:r>
        <w:rPr>
          <w:rFonts w:ascii="Times New Roman" w:cs="Times New Roman" w:eastAsia="Times New Roman" w:hAnsi="Times New Roman"/>
          <w:sz w:val="18"/>
          <w:szCs w:val="18"/>
          <w:color w:val="auto"/>
        </w:rPr>
        <w:t>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March 31, 2024, there were no material changes to our critical accounting policies from those described in our Annual Report on Form 10-K filed with the SEC on February 27,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March 31, 2024.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2024,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our company and current and former officers, or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w:t>
      </w:r>
      <w:r>
        <w:rPr>
          <w:rFonts w:ascii="Times New Roman" w:cs="Times New Roman" w:eastAsia="Times New Roman" w:hAnsi="Times New Roman"/>
          <w:sz w:val="18"/>
          <w:szCs w:val="18"/>
          <w:color w:val="auto"/>
        </w:rPr>
        <w:t>., et al., Case No. 1:23-cv-11125-IT. On July 31, 2023, the court appointed a lead plaintiff, who filed an amended complaint on September 29, 2023.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pociredir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which motion is currently pending. We intend to defend vigorously against this litigation.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$97.3 million for the year ended December 31, 2023 and $26.9 million for the three months ended March 31, 2024. As of March 31, 2024, we had an accumulated deficit of $536.5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through later stage trials, such as REACH, the Phase 3 clinical trial of losmapimod for the treatment of FSHD;</w:t>
      </w:r>
    </w:p>
    <w:p>
      <w:pPr>
        <w:spacing w:after="0" w:line="53"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DBA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4" w:name="page35"/>
    <w:bookmarkEnd w:id="34"/>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 or to CAMP4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1" w:lineRule="exact"/>
        <w:rPr>
          <w:sz w:val="20"/>
          <w:szCs w:val="20"/>
          <w:color w:val="auto"/>
        </w:rPr>
      </w:pPr>
    </w:p>
    <w:p>
      <w:pPr>
        <w:ind w:left="900" w:right="6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completing our clinical trials or the development of any of our product candidates, such as due to a clinical hold imposed by the FDA on the IND application for pociredir in SCD, which was lifted in August 2023, or due to enrollment challenges (such as for our clinical trial of pociredir in light of the more stringent inclusion and exclusion criteria); or</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ongoing and planned clinical trials of losmapimod and pociredir,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right="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losmapimod, including REACH, the Phase 3 clinical trial of losmapimod for the treatment of FSHD, which completed enrollment in September 2023, and our Phase 1b clinical trial of pociredir in SCD;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left="900" w:right="28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and MyoKardia or under our license agreement with CAMP4;</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we had cash, cash equivalents, and marketable securities of approximately $213.3 million. We believe that our cash, cash equivalents, and marketable securities as of March 31, 2024, together with the $80.0 million upfront payment that we expect to receive under our recent collaboration and license agreement with Sanofi, will enable us to fund our operating expenses and capital expenditure requirements into 2027.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beyond the strategic realignment effected in 2022.</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was negatively impacted by the COVID-19 pandemic and may in the future be impacted by any future pandemics. In addition, the effects of any future pandemics may adversely impact economies worldwide, which could result in adverse effects on our business and operations.</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experienced enrollment delays in our ReDUX4 clinical trial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and COVID-19 had a significant impact on economies worldwide. Future pandemics may arise, and they, like COVID-19, 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ind w:right="120"/>
        <w:spacing w:after="0" w:line="282" w:lineRule="auto"/>
        <w:rPr>
          <w:sz w:val="20"/>
          <w:szCs w:val="20"/>
          <w:color w:val="auto"/>
        </w:rPr>
      </w:pPr>
      <w:r>
        <w:rPr>
          <w:rFonts w:ascii="Times New Roman" w:cs="Times New Roman" w:eastAsia="Times New Roman" w:hAnsi="Times New Roman"/>
          <w:sz w:val="18"/>
          <w:szCs w:val="18"/>
          <w:color w:val="auto"/>
        </w:rPr>
        <w:t>property. In addition, as with COVID-19 pandemic, we may face impediments to regulatory meetings and approvals due to recommended safety measures intended to limit in-person interactions in any future pandemic.</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COVID-19 pandemic caused significant disruptions in the financial markets and any future pandemic could similarly cause such disruptions, which could impact our ability to raise additional funds through public offerings and may also impact the volatility of our stock price and trading in our stock. We cannot be certain what the overall impact of any future pandemic will be on our business. The extent of the impact of any future pandemic on our business, financial condition, results of operations and prospects will depend on future developments that are uncertain.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$312.3 million and $317.1 million, respectively, which begin to expire in 2036. Approximately $288.7 million of the federal net operating losses can be carried forward indefinitely. As of December 31, 2023, we also had federal orphan drug credits of $23.8 million, which begin to expire in 2040. As of December 31, 2023, we also had federal and state research and development tax credit carryforwards of $7.6 million and $4.9 million, respectively, which begin to expire in 2035 and 2030, respectively. These net operating loss and tax credit carryforwards could expire unused and be unavailable to offset future income tax liabilities.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20"/>
        <w:spacing w:after="0" w:line="253" w:lineRule="auto"/>
        <w:rPr>
          <w:sz w:val="20"/>
          <w:szCs w:val="20"/>
          <w:color w:val="auto"/>
        </w:rPr>
      </w:pPr>
      <w:r>
        <w:rPr>
          <w:rFonts w:ascii="Times New Roman" w:cs="Times New Roman" w:eastAsia="Times New Roman" w:hAnsi="Times New Roman"/>
          <w:sz w:val="18"/>
          <w:szCs w:val="18"/>
          <w:color w:val="auto"/>
        </w:rPr>
        <w:t>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two clinical-stage product candidates. If we are unable to commercialize directly or out-license to a third party our product candidates or experience significant delays in doing so, our business will be materially harmed.</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losmapimod for the treatment of FSHD, and pociredir for the treatment of SCD (which was on clinical hold between February and August 2023).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our product candidates. The success of our product candidates will depend on several factors, including the following:</w:t>
      </w:r>
    </w:p>
    <w:p>
      <w:pPr>
        <w:spacing w:after="0" w:line="79"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 for losmapimod, pociredir and future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including as a result of our collaboration with MyoKardia, advance any additional product candidates through the development process or successfully commercialize any such additional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right="60"/>
        <w:spacing w:after="0" w:line="258"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jc w:val="both"/>
        <w:ind w:right="240" w:firstLine="509"/>
        <w:spacing w:after="0" w:line="255" w:lineRule="auto"/>
        <w:rPr>
          <w:sz w:val="20"/>
          <w:szCs w:val="20"/>
          <w:color w:val="auto"/>
        </w:rPr>
      </w:pPr>
      <w:r>
        <w:rPr>
          <w:rFonts w:ascii="Times New Roman" w:cs="Times New Roman" w:eastAsia="Times New Roman" w:hAnsi="Times New Roman"/>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For example, pociredir, our clinical trial 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have experienced some difficulty enrolling patients who meet the updated more stringent criteria.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described in Item 1 “Business—Licenses and Collaboration--Right of Reference and License Agreement with GlaxoSmithKline” in our Annual Report on Form 10-K for the year ended December 31, 2023, or the 2023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340"/>
        <w:spacing w:after="0" w:line="282" w:lineRule="auto"/>
        <w:rPr>
          <w:sz w:val="20"/>
          <w:szCs w:val="20"/>
          <w:color w:val="auto"/>
        </w:rPr>
      </w:pPr>
      <w:r>
        <w:rPr>
          <w:rFonts w:ascii="Times New Roman" w:cs="Times New Roman" w:eastAsia="Times New Roman" w:hAnsi="Times New Roman"/>
          <w:sz w:val="18"/>
          <w:szCs w:val="18"/>
          <w:color w:val="auto"/>
        </w:rPr>
        <w:t>our clinical trials. Similarly, while we believe the safety data from GSK’s clinical trials may, in part, support the safety database for losmapimod, GSK evaluated a limited number of subjects at a dose of 15 mg twice daily.</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16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40" w:hanging="383"/>
        <w:spacing w:after="0" w:line="312"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right="8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jc w:val="both"/>
        <w:ind w:left="900" w:right="8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due to difficulty enrolling patients who meet the updated inclusion and exclusion criteria for our trial of pociredir in SCD)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380" w:hanging="383"/>
        <w:spacing w:after="0" w:line="312"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30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recent hostilities in Israel and Gaza Strip, or instability from an outbreak of pandemic or contagious disease in or around the countries in which we conduct our clinical trials, could delay the commencement or rate of completion of our clinical trials; and</w:t>
      </w:r>
    </w:p>
    <w:p>
      <w:pPr>
        <w:spacing w:after="0" w:line="6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1" w:name="page42"/>
    <w:bookmarkEnd w:id="41"/>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 example, in response to the COVID-19 pandemic, the clinical trial sites for our ReDUX4 trial temporarily postponed trial-related activities, impacting our clinical trial execution plans, and we cannot be certain that we will not face other postponements or similar difficulties in the future. Further, in February 2023, the FDA imposed a clinical hold on our IND for pociredir in SCD, which halted our clinical trial until the FDA lifted the clinical hold in August 2023.</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which is making enrollment difficult despite opening a number of sites for such trial.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 or medical resonance imaging, or MRI, which requires the use of specialized equipment;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5" w:name="page46"/>
    <w:bookmarkEnd w:id="4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Although we recently entered into the Sanofi Agreement for the potential commercialization of losmapimod outside the United States, we retained rights to our product candidate in the United States. Accordingly, 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although we reached agreement with Sanofi for losmapimod outside the United States, we may not be successful in entering into additional arrangements with third parties to sell, market and distribute our other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in the 2023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84"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3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Phase 3 registrational trial, we cannot be sure we have correctly estimated our drug product and API requirements or that such drug product or API will not expire before we want to use it, or that we will be able to meet our commitments to supply losmapimod under the Sanofi Agreement. In addition,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2023 Annual Report.</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9" w:name="page50"/>
    <w:bookmarkEnd w:id="49"/>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320" w:hanging="383"/>
        <w:spacing w:after="0" w:line="312"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or political instability in particular economies and markets, which could include localized disputes that have a broader regional or global impact (such as the Russian invasion of Ukraine or recent hostilities in Israel and Gaza Strip);</w:t>
      </w:r>
    </w:p>
    <w:p>
      <w:pPr>
        <w:spacing w:after="0" w:line="31" w:lineRule="exact"/>
        <w:rPr>
          <w:rFonts w:ascii="Times New Roman" w:cs="Times New Roman" w:eastAsia="Times New Roman" w:hAnsi="Times New Roman"/>
          <w:sz w:val="17"/>
          <w:szCs w:val="17"/>
          <w:color w:val="auto"/>
        </w:rPr>
      </w:pPr>
    </w:p>
    <w:p>
      <w:pPr>
        <w:ind w:left="900" w:right="1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collaboration and license agreement with Sanofi (relating to the commercialization of losmapimod outside of the United States) and with MyoKardia (for certain genetically defined cardiomyopathies). We may in the future enter into additional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including our recent agreement with Sanofi,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collaborations with MyoKardia and Sanofi,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88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1" w:name="page52"/>
    <w:bookmarkEnd w:id="51"/>
    <w:p>
      <w:pPr>
        <w:ind w:left="900" w:right="60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83"/>
        <w:spacing w:after="0" w:line="261"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 with Acceleron Pharma, Inc.), and, if terminated, we could be required to raise additional capital to pursue further development or commercialization of the applicable product candidates.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we recently entered into a collaboration and license agreement with Sanofi, granting Sanofi an exclusive license under certain intellectual property rights to commercialize losmapimod outside of the United States. In addition, in July 2020, we entered into a collaboration and license agreement with MyoKardia to identify and validate potential biological targets for the potential treatment of certain genetically defined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20"/>
        <w:spacing w:after="0" w:line="253" w:lineRule="auto"/>
        <w:rPr>
          <w:sz w:val="20"/>
          <w:szCs w:val="20"/>
          <w:color w:val="auto"/>
        </w:rPr>
      </w:pPr>
      <w:r>
        <w:rPr>
          <w:rFonts w:ascii="Times New Roman" w:cs="Times New Roman" w:eastAsia="Times New Roman" w:hAnsi="Times New Roman"/>
          <w:sz w:val="18"/>
          <w:szCs w:val="18"/>
          <w:color w:val="auto"/>
        </w:rPr>
        <w:t>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also be restricted under existing or future license agreements from entering into agreements on certain terms with potential collaborators.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while we are performing the research activities pursuant to the research plan and for a specified period thereafter. Further, our agreement with Sanofi restricts our ability to research, develop, manufacture, commercialize, use, or otherwise exploit any compound or product that binds or otherwise modulates p38a/b MAPK anywhere in the world, except losmapimod in the United States.</w:t>
      </w:r>
    </w:p>
    <w:p>
      <w:pPr>
        <w:spacing w:after="0" w:line="84"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line="252" w:lineRule="auto"/>
        <w:rPr>
          <w:sz w:val="20"/>
          <w:szCs w:val="20"/>
          <w:color w:val="auto"/>
        </w:rPr>
      </w:pPr>
      <w:r>
        <w:rPr>
          <w:rFonts w:ascii="Times New Roman" w:cs="Times New Roman" w:eastAsia="Times New Roman" w:hAnsi="Times New Roman"/>
          <w:sz w:val="18"/>
          <w:szCs w:val="18"/>
          <w:color w:val="auto"/>
        </w:rPr>
        <w:t>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2023 Annual Report.</w:t>
      </w:r>
    </w:p>
    <w:p>
      <w:pPr>
        <w:spacing w:after="0" w:line="196"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have expired and are no longer a barrier to entry for any new uses not covered by our other patents and patent applications.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5" w:name="page56"/>
    <w:bookmarkEnd w:id="55"/>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2023 Annual Report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ind w:right="480"/>
        <w:spacing w:after="0" w:line="312" w:lineRule="auto"/>
        <w:rPr>
          <w:sz w:val="20"/>
          <w:szCs w:val="20"/>
          <w:color w:val="auto"/>
        </w:rPr>
      </w:pPr>
      <w:r>
        <w:rPr>
          <w:rFonts w:ascii="Times New Roman" w:cs="Times New Roman" w:eastAsia="Times New Roman" w:hAnsi="Times New Roman"/>
          <w:sz w:val="17"/>
          <w:szCs w:val="17"/>
          <w:color w:val="auto"/>
        </w:rPr>
        <w:t>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4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such as our agreement with GSK and our license agreement with CAMP4,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9" w:name="page60"/>
    <w:bookmarkEnd w:id="59"/>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1" w:name="page62"/>
    <w:bookmarkEnd w:id="61"/>
    <w:p>
      <w:pPr>
        <w:ind w:left="900" w:right="1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to pociredir for the treatment of SCD,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right="640"/>
        <w:spacing w:after="0" w:line="282" w:lineRule="auto"/>
        <w:rPr>
          <w:sz w:val="20"/>
          <w:szCs w:val="20"/>
          <w:color w:val="auto"/>
        </w:rPr>
      </w:pPr>
      <w:r>
        <w:rPr>
          <w:rFonts w:ascii="Times New Roman" w:cs="Times New Roman" w:eastAsia="Times New Roman" w:hAnsi="Times New Roman"/>
          <w:sz w:val="18"/>
          <w:szCs w:val="18"/>
          <w:color w:val="auto"/>
        </w:rPr>
        <w:t>improvement over existing therapies on one or more clinically significant endpoints, such as substantial treatment effects observed early in clinical development.</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2023 Annual Report.</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United Kingdom’s laws, or UK GDPR, alongside the UK Data Protection Act 2018, and together with the EU GDPR, is referred to as GDPR.</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Several other states have implemented privacy legislation similar to the CCPA or are preparing to implement their own regulatory frameworks. For example, Washington state’s My Health My Data Act, which took effect in March 2024, expands the definition of consumer health data, affords consumers with privacy rights and creates a private right of action, which could generate litigation. A wide range of enforcement agencies at both the state and federal levels, such as the Federal Trade Commission and state Attorneys General have been increasingly aggressive in reviewing and enforcing privacy and data security-related consumer protection laws. See Item 1 “Business –Government Regulation and Product Approvals” in the 2023 Annual Report.</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2023 Annual Report.</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120"/>
        <w:spacing w:after="0" w:line="261" w:lineRule="auto"/>
        <w:rPr>
          <w:sz w:val="20"/>
          <w:szCs w:val="20"/>
          <w:color w:val="auto"/>
        </w:rPr>
      </w:pPr>
      <w:r>
        <w:rPr>
          <w:rFonts w:ascii="Times New Roman" w:cs="Times New Roman" w:eastAsia="Times New Roman" w:hAnsi="Times New Roman"/>
          <w:sz w:val="18"/>
          <w:szCs w:val="18"/>
          <w:color w:val="auto"/>
        </w:rPr>
        <w:t>exceed inflation. The legislation also requires manufacturers to pay rebates for drugs in Medicare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8" w:name="page69"/>
    <w:bookmarkEnd w:id="68"/>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have experienced cyber incidents in the past, and we cannot guarantee that the measure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0" w:name="page71"/>
    <w:bookmarkEnd w:id="70"/>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May 6, 2024, our executive officers and directors and our stockholders who owned more than 5% of our outstanding common stock in the aggregate beneficially owned shares representing approximately 55.6%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8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2" w:name="page73"/>
    <w:bookmarkEnd w:id="72"/>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9"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4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3" w:name="page74"/>
    <w:bookmarkEnd w:id="73"/>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 and Officer Trading Plans and Arrangements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29, 2024, Curtis Oltmans, our chief legal officer, adopted a trading plan for the potential sale of up to 5,192 shares of our common stock and for the potential exercise of vested stock options and the associated sale of up to 19,500 shares of our common stock. The trading plan is intended to satisfy the affirmative defense conditions of Rule 10b5-1(c) under the Exchange Act and is expected to remain in effect until May 30,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0" w:type="dxa"/>
            <w:vAlign w:val="bottom"/>
            <w:gridSpan w:val="16"/>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6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9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3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00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filed with the Securities and Exchange Commission on July 22, 2019).</w:t>
              </w:r>
            </w:hyperlink>
          </w:p>
        </w:tc>
        <w:tc>
          <w:tcPr>
            <w:tcW w:w="50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7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Employment Agreement, dated March 18, 2024, by and between the Registrant and Patrick Horn.</w:t>
            </w:r>
          </w:p>
        </w:tc>
        <w:tc>
          <w:tcPr>
            <w:tcW w:w="31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1"/>
                <w:szCs w:val="11"/>
                <w:color w:val="auto"/>
              </w:rPr>
            </w:pPr>
          </w:p>
        </w:tc>
        <w:tc>
          <w:tcPr>
            <w:tcW w:w="1960" w:type="dxa"/>
            <w:vAlign w:val="bottom"/>
            <w:gridSpan w:val="2"/>
            <w:vMerge w:val="restart"/>
          </w:tcPr>
          <w:p>
            <w:pPr>
              <w:spacing w:after="0"/>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Controlled Equity Offering</w:t>
              </w:r>
            </w:hyperlink>
          </w:p>
        </w:tc>
        <w:tc>
          <w:tcPr>
            <w:tcW w:w="180" w:type="dxa"/>
            <w:vAlign w:val="bottom"/>
            <w:tcBorders>
              <w:bottom w:val="single" w:sz="8" w:color="0000FF"/>
            </w:tcBorders>
            <w:gridSpan w:val="2"/>
          </w:tcPr>
          <w:p>
            <w:pPr>
              <w:spacing w:after="0" w:line="115" w:lineRule="exact"/>
              <w:rPr>
                <w:rFonts w:ascii="Times New Roman" w:cs="Times New Roman" w:eastAsia="Times New Roman" w:hAnsi="Times New Roman"/>
                <w:sz w:val="12"/>
                <w:szCs w:val="12"/>
                <w:color w:val="0000FF"/>
                <w:w w:val="91"/>
              </w:rPr>
            </w:pPr>
            <w:hyperlink r:id="rId189">
              <w:r>
                <w:rPr>
                  <w:rFonts w:ascii="Times New Roman" w:cs="Times New Roman" w:eastAsia="Times New Roman" w:hAnsi="Times New Roman"/>
                  <w:sz w:val="12"/>
                  <w:szCs w:val="12"/>
                  <w:color w:val="0000FF"/>
                  <w:w w:val="91"/>
                </w:rPr>
                <w:t>SM</w:t>
              </w:r>
            </w:hyperlink>
          </w:p>
        </w:tc>
        <w:tc>
          <w:tcPr>
            <w:tcW w:w="7980" w:type="dxa"/>
            <w:vAlign w:val="bottom"/>
            <w:gridSpan w:val="15"/>
            <w:vMerge w:val="restart"/>
          </w:tcPr>
          <w:p>
            <w:pPr>
              <w:ind w:left="40"/>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Sales Agreement, dated February 27, 2024, by and among the Registrant, Cantor Fitzgerald &amp; Co. and Stifel,</w:t>
              </w:r>
            </w:hyperlink>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tcBorders>
              <w:bottom w:val="single" w:sz="8" w:color="0000FF"/>
            </w:tcBorders>
            <w:gridSpan w:val="2"/>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980" w:type="dxa"/>
            <w:vAlign w:val="bottom"/>
            <w:tcBorders>
              <w:bottom w:val="single" w:sz="8" w:color="0000FF"/>
            </w:tcBorders>
            <w:gridSpan w:val="15"/>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Nicolaus &amp; Company, Incorporated (incorporated by reference to Exhibit 1.2 to the Registrant’s Registration Statement on Form S-3 filed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with the Securities and Exchange Commission on February 27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4640" w:type="dxa"/>
            <w:vAlign w:val="bottom"/>
            <w:tcBorders>
              <w:left w:val="single" w:sz="8" w:color="0000EE"/>
            </w:tcBorders>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9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9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10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9"/>
                <w:szCs w:val="19"/>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9"/>
                <w:szCs w:val="19"/>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9"/>
                <w:szCs w:val="19"/>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0"/>
                <w:szCs w:val="20"/>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260" w:firstLine="21"/>
        <w:spacing w:after="0" w:line="430" w:lineRule="auto"/>
        <w:tabs>
          <w:tab w:leader="none" w:pos="109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ind w:left="140" w:hanging="132"/>
        <w:spacing w:after="0"/>
        <w:tabs>
          <w:tab w:leader="none" w:pos="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7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13, 2024</w:t>
            </w:r>
          </w:p>
        </w:tc>
        <w:tc>
          <w:tcPr>
            <w:tcW w:w="24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205"/>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9"/>
              </w:rPr>
              <w:t>Alex C. Sapir</w:t>
            </w:r>
          </w:p>
        </w:tc>
      </w:tr>
      <w:tr>
        <w:trPr>
          <w:trHeight w:val="234"/>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President and Chief Executive Officer (Principal Executive Officer)</w:t>
            </w:r>
          </w:p>
        </w:tc>
      </w:tr>
      <w:tr>
        <w:trPr>
          <w:trHeight w:val="47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13, 2024</w:t>
            </w:r>
          </w:p>
        </w:tc>
        <w:tc>
          <w:tcPr>
            <w:tcW w:w="24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 Alan Musso</w:t>
            </w:r>
          </w:p>
        </w:tc>
      </w:tr>
      <w:tr>
        <w:trPr>
          <w:trHeight w:val="205"/>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8"/>
              </w:rPr>
              <w:t>Alan Musso</w:t>
            </w:r>
          </w:p>
        </w:tc>
      </w:tr>
      <w:tr>
        <w:trPr>
          <w:trHeight w:val="234"/>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91"/>
        </w:trPr>
        <w:tc>
          <w:tcPr>
            <w:tcW w:w="3380" w:type="dxa"/>
            <w:vAlign w:val="bottom"/>
          </w:tcPr>
          <w:p>
            <w:pPr>
              <w:spacing w:after="0"/>
              <w:rPr>
                <w:sz w:val="24"/>
                <w:szCs w:val="24"/>
                <w:color w:val="auto"/>
              </w:rPr>
            </w:pPr>
          </w:p>
        </w:tc>
        <w:tc>
          <w:tcPr>
            <w:tcW w:w="2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538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FULCRUM THERAPEUTICS,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EXECUTIVE EMPLOYMENT AGREEMENT</w:t>
      </w:r>
    </w:p>
    <w:p>
      <w:pPr>
        <w:spacing w:after="0" w:line="200"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March 18, 2024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by and between Fulcrum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Patrick Horn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the Executive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RECITALS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desires to employ the Executive as its Chief Medical Officer; and</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has agreed to accept such employment on the terms and conditions set forth in this Agreement.</w:t>
      </w:r>
    </w:p>
    <w:p>
      <w:pPr>
        <w:spacing w:after="0" w:line="158"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of the Parties herein contained, the Parties hereto agree as follows:</w:t>
      </w:r>
    </w:p>
    <w:p>
      <w:pPr>
        <w:spacing w:after="0" w:line="154" w:lineRule="exact"/>
        <w:rPr>
          <w:sz w:val="20"/>
          <w:szCs w:val="20"/>
          <w:color w:val="auto"/>
        </w:rPr>
      </w:pPr>
    </w:p>
    <w:p>
      <w:pPr>
        <w:jc w:val="both"/>
        <w:ind w:firstLine="757"/>
        <w:spacing w:after="0" w:line="247" w:lineRule="auto"/>
        <w:tabs>
          <w:tab w:leader="none" w:pos="97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Start Date; Term of Employment</w:t>
      </w:r>
      <w:r>
        <w:rPr>
          <w:rFonts w:ascii="Times New Roman" w:cs="Times New Roman" w:eastAsia="Times New Roman" w:hAnsi="Times New Roman"/>
          <w:sz w:val="21"/>
          <w:szCs w:val="21"/>
          <w:color w:val="auto"/>
        </w:rPr>
        <w:t>. The Executive’s employment under this Agreement will commence on March 18,</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2024 (the “</w:t>
      </w:r>
      <w:r>
        <w:rPr>
          <w:rFonts w:ascii="Times New Roman" w:cs="Times New Roman" w:eastAsia="Times New Roman" w:hAnsi="Times New Roman"/>
          <w:sz w:val="21"/>
          <w:szCs w:val="21"/>
          <w:u w:val="single" w:color="auto"/>
          <w:color w:val="auto"/>
        </w:rPr>
        <w:t>Start Date</w:t>
      </w:r>
      <w:r>
        <w:rPr>
          <w:rFonts w:ascii="Times New Roman" w:cs="Times New Roman" w:eastAsia="Times New Roman" w:hAnsi="Times New Roman"/>
          <w:sz w:val="21"/>
          <w:szCs w:val="21"/>
          <w:color w:val="auto"/>
        </w:rPr>
        <w:t>”) and will continue until terminated by either Party. The effective date of any termination of the Executive’s employment hereunder is hereinafter referred to as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and the period of time between the Start Date and the Termination Date is hereinafter referred to as the “</w:t>
      </w:r>
      <w:r>
        <w:rPr>
          <w:rFonts w:ascii="Times New Roman" w:cs="Times New Roman" w:eastAsia="Times New Roman" w:hAnsi="Times New Roman"/>
          <w:sz w:val="21"/>
          <w:szCs w:val="21"/>
          <w:u w:val="single" w:color="auto"/>
          <w:color w:val="auto"/>
        </w:rPr>
        <w:t>Term of Employment</w:t>
      </w:r>
      <w:r>
        <w:rPr>
          <w:rFonts w:ascii="Times New Roman" w:cs="Times New Roman" w:eastAsia="Times New Roman" w:hAnsi="Times New Roman"/>
          <w:sz w:val="21"/>
          <w:szCs w:val="21"/>
          <w:color w:val="auto"/>
        </w:rPr>
        <w:t>”. Effective upon any Termination Date, this Agreement will automatically terminate and will be of no further force or effect, except as otherwise provided in Section 14 hereof, and the Executive shall immediately resign, in writing, from all positions then held by the Executive with the Company and its affiliates, unless otherwise expressly agreed to by the Company and the Executive. For the avoidance of doubt, the Executive’s employment is at-will, and either the Executive or the Company may terminate the Executive’s employment hereunder any time, for any or no reason, without advance notice (except for any notice expressly required under Section 6 below).</w:t>
      </w:r>
    </w:p>
    <w:p>
      <w:pPr>
        <w:spacing w:after="0" w:line="166" w:lineRule="exact"/>
        <w:rPr>
          <w:rFonts w:ascii="Times New Roman" w:cs="Times New Roman" w:eastAsia="Times New Roman" w:hAnsi="Times New Roman"/>
          <w:sz w:val="21"/>
          <w:szCs w:val="21"/>
          <w:color w:val="auto"/>
        </w:rPr>
      </w:pPr>
    </w:p>
    <w:p>
      <w:pPr>
        <w:jc w:val="both"/>
        <w:ind w:firstLine="757"/>
        <w:spacing w:after="0" w:line="246" w:lineRule="auto"/>
        <w:tabs>
          <w:tab w:leader="none" w:pos="9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Positi</w:t>
      </w:r>
      <w:r>
        <w:rPr>
          <w:rFonts w:ascii="Times New Roman" w:cs="Times New Roman" w:eastAsia="Times New Roman" w:hAnsi="Times New Roman"/>
          <w:sz w:val="22"/>
          <w:szCs w:val="22"/>
          <w:color w:val="auto"/>
        </w:rPr>
        <w:t>on; Location. During the Term of Employment, the Executive shall serve as the Chief Medical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(the “</w:t>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[working out of the Company’s office in Cambridge, Massachusetts], and travelling as reasonably required by the Executive’s job duties.</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i w:val="1"/>
          <w:iCs w:val="1"/>
          <w:color w:val="auto"/>
        </w:rPr>
        <w:t>. Duties</w:t>
      </w:r>
      <w:r>
        <w:rPr>
          <w:rFonts w:ascii="Times New Roman" w:cs="Times New Roman" w:eastAsia="Times New Roman" w:hAnsi="Times New Roman"/>
          <w:sz w:val="22"/>
          <w:szCs w:val="22"/>
          <w:color w:val="auto"/>
        </w:rPr>
        <w:t>. During the Term of Employment, the Executive shall be responsible for the performance of those duties, and shall have such authorities and responsibilities, as are consistent with the Executive’s Position, and such other duties, authorities and responsibilities not inconsistent with the Executive’s Position as may be assigned to the Executive by the President and Chief Executive Officer from time to time. The Executive shall report to President and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provided that the foregoing will not prevent the Executive from serving on the boards of directors of non-profit organizations or participating in charitable, civic, educational, professional, community or industry affairs, so long as the Executive receives the Board’s prior express approval of any such activity, and such activities do not, individually or in the aggregate, create a potential conflict of interest or otherwise interfere with the Executive’s duties, obligations or restrictions hereunder. The Executive agrees to abide by the rules, regulations, instructions, personnel practices and policies of the Company and any changes therein that may be adopted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757"/>
        <w:spacing w:after="0" w:line="262" w:lineRule="auto"/>
        <w:tabs>
          <w:tab w:leader="none" w:pos="99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As full compensation for all services rendered by the Executive to the Company and any affiliate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during the Term of Employment, the Company will provide to the Executive the following:</w:t>
      </w:r>
    </w:p>
    <w:p>
      <w:pPr>
        <w:spacing w:after="0" w:line="150" w:lineRule="exact"/>
        <w:rPr>
          <w:sz w:val="20"/>
          <w:szCs w:val="20"/>
          <w:color w:val="auto"/>
        </w:rPr>
      </w:pPr>
    </w:p>
    <w:p>
      <w:pPr>
        <w:jc w:val="both"/>
        <w:ind w:firstLine="757"/>
        <w:spacing w:after="0" w:line="238" w:lineRule="auto"/>
        <w:tabs>
          <w:tab w:leader="none" w:pos="108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Effective as of the Start Date, the Executive shall receive a base salary at the annualized rate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$500,000, less all applicable withholdings and deductions (the “</w:t>
      </w:r>
      <w:r>
        <w:rPr>
          <w:rFonts w:ascii="Times New Roman" w:cs="Times New Roman" w:eastAsia="Times New Roman" w:hAnsi="Times New Roman"/>
          <w:sz w:val="22"/>
          <w:szCs w:val="22"/>
          <w:u w:val="single" w:color="auto"/>
          <w:color w:val="auto"/>
        </w:rPr>
        <w:t>Base Salar</w:t>
      </w:r>
      <w:r>
        <w:rPr>
          <w:rFonts w:ascii="Times New Roman" w:cs="Times New Roman" w:eastAsia="Times New Roman" w:hAnsi="Times New Roman"/>
          <w:sz w:val="22"/>
          <w:szCs w:val="22"/>
          <w:color w:val="auto"/>
        </w:rPr>
        <w:t>y”). The Executive’s Base Salary shall be paid in equal installments in accordance with the Company’s regularly established payroll procedures. The Executive’s Base Salary will be reviewed on an annual or more frequent basis by the Board and is subject to change in the sole and absolute discretion of the Board.</w:t>
      </w:r>
    </w:p>
    <w:p>
      <w:pPr>
        <w:spacing w:after="0" w:line="176" w:lineRule="exact"/>
        <w:rPr>
          <w:rFonts w:ascii="Times New Roman" w:cs="Times New Roman" w:eastAsia="Times New Roman" w:hAnsi="Times New Roman"/>
          <w:sz w:val="22"/>
          <w:szCs w:val="22"/>
          <w:color w:val="auto"/>
        </w:rPr>
      </w:pPr>
    </w:p>
    <w:p>
      <w:pPr>
        <w:jc w:val="both"/>
        <w:ind w:firstLine="757"/>
        <w:spacing w:after="0" w:line="232" w:lineRule="auto"/>
        <w:tabs>
          <w:tab w:leader="none" w:pos="106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Discretionary Bonus</w:t>
      </w:r>
      <w:r>
        <w:rPr>
          <w:rFonts w:ascii="Times New Roman" w:cs="Times New Roman" w:eastAsia="Times New Roman" w:hAnsi="Times New Roman"/>
          <w:sz w:val="22"/>
          <w:szCs w:val="22"/>
          <w:color w:val="auto"/>
        </w:rPr>
        <w:t>. For each calendar year during the Term of Employment (prorated for the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first calendar year of employment), the Executive will be eligible to earn an annual discretionary performance bonus (the “</w:t>
      </w:r>
      <w:r>
        <w:rPr>
          <w:rFonts w:ascii="Times New Roman" w:cs="Times New Roman" w:eastAsia="Times New Roman" w:hAnsi="Times New Roman"/>
          <w:sz w:val="22"/>
          <w:szCs w:val="22"/>
          <w:u w:val="single" w:color="auto"/>
          <w:color w:val="auto"/>
        </w:rPr>
        <w:t>Annual Discretionary Bonus</w:t>
      </w:r>
      <w:r>
        <w:rPr>
          <w:rFonts w:ascii="Times New Roman" w:cs="Times New Roman" w:eastAsia="Times New Roman" w:hAnsi="Times New Roman"/>
          <w:sz w:val="22"/>
          <w:szCs w:val="22"/>
          <w:color w:val="auto"/>
        </w:rPr>
        <w:t>”) in an initial amount of up to 40% of the Executive’s Base Salary (the “Target Bonus”), based upon the Board’s assessment of the Executive’s performance and the Company’s attainment of targeted goals as set by the Board in its sole and absolute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applying the initial target bonus percentage of Base Salary and the revised target bonus percentage of Base Salary based on the portion of the year during which each was in effect. The Board may determine to pay any earned Annual Discretionary Bonus in the form of cash, vested equity award(s), or a combination of cash and equity, in its sole and absolute discretion. Following the close of each calendar year, the Board will determine whether the Executive has achieved an Annual Discretionary Bonus for such year, and the amount of any such Annual Discretionary Bonus, based on the set criteria (which, for the avoidance of doubt, may be less than the Target Bonus). The Annual Discretionary Bonus, if earned, will be paid by no later than March 15 of the calendar year after the year to which it relates. No amount of the Annual Discretionary Bonus is guaranteed, and the Executive must remain employed by the Company in good standing through the date of payment of an Annual Discretionary Bonus in order to earn and receive such bonus, except as may be specifically set forth in Section 7 below. The Executive’s bonus eligibility, and the terms and conditions of the bonus (including the Target Bonus amount), will be reviewed on an annual or more frequent basis by the Board and are subject to change in the discretion of the Board.</w:t>
      </w:r>
    </w:p>
    <w:p>
      <w:pPr>
        <w:spacing w:after="0" w:line="188" w:lineRule="exact"/>
        <w:rPr>
          <w:rFonts w:ascii="Times New Roman" w:cs="Times New Roman" w:eastAsia="Times New Roman" w:hAnsi="Times New Roman"/>
          <w:sz w:val="22"/>
          <w:szCs w:val="22"/>
          <w:color w:val="auto"/>
        </w:rPr>
      </w:pPr>
    </w:p>
    <w:p>
      <w:pPr>
        <w:jc w:val="both"/>
        <w:ind w:firstLine="757"/>
        <w:spacing w:after="0" w:line="245" w:lineRule="auto"/>
        <w:tabs>
          <w:tab w:leader="none" w:pos="1059"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Initial Stock Option Award</w:t>
      </w:r>
      <w:r>
        <w:rPr>
          <w:rFonts w:ascii="Times New Roman" w:cs="Times New Roman" w:eastAsia="Times New Roman" w:hAnsi="Times New Roman"/>
          <w:sz w:val="21"/>
          <w:szCs w:val="21"/>
          <w:color w:val="auto"/>
        </w:rPr>
        <w:t>. On the Start Date, the Company will grant to the Executive, subject to the Executive’s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continued employment with the Company through the grant date, a one- time award consisting of nonqualified options to purchase 400,000 shares of the Company’s common stock (the “Shares”) at a per-Share exercise price equal to the grant date fair market value of one Share (the “Initial Option Award”), subject to all of the terms and conditions of the Company’s incentive equity plan and/or inducement plan, as applicable, an individual award agreement, and any ancillary agreements with the Company that the Executive may be required to enter into as a condition of such grant (collectively, the “Equity Documents”), which will provide, among other things, that the Initial Option Award will vest and become exercisable over 4 years as follows:</w:t>
      </w:r>
    </w:p>
    <w:p>
      <w:pPr>
        <w:spacing w:after="0" w:line="3" w:lineRule="exact"/>
        <w:rPr>
          <w:rFonts w:ascii="Times New Roman" w:cs="Times New Roman" w:eastAsia="Times New Roman" w:hAnsi="Times New Roman"/>
          <w:sz w:val="21"/>
          <w:szCs w:val="21"/>
          <w:color w:val="auto"/>
        </w:rPr>
      </w:pPr>
    </w:p>
    <w:p>
      <w:pPr>
        <w:jc w:val="both"/>
        <w:ind w:firstLine="8"/>
        <w:spacing w:after="0" w:line="233" w:lineRule="auto"/>
        <w:tabs>
          <w:tab w:leader="none" w:pos="29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25% of the Shares underlying the Initial Option Award on the first anniversary of the Start Date and (ii) as to an additional 6.25% of the Shares underlying the Initial Option Award on the last day of each of the next 12 successive calendar quarters, provided in each case that the Executive remains employed by the Company and in compliance with the Equity Documents through each such vesting date. In the event of any conflict between any terms of this Agreement and any terms of the Equity Documents, the terms of the Equity Documents will prevail.</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6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Discretionary Equity Awards</w:t>
      </w:r>
      <w:r>
        <w:rPr>
          <w:rFonts w:ascii="Times New Roman" w:cs="Times New Roman" w:eastAsia="Times New Roman" w:hAnsi="Times New Roman"/>
          <w:sz w:val="22"/>
          <w:szCs w:val="22"/>
          <w:color w:val="auto"/>
        </w:rPr>
        <w:t>. During the Term of Employment, the Executive will be eligible to receive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incentive equity awards, if any, at such times and on such terms and conditions as the Board shall, in its sole discretion,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757"/>
        <w:spacing w:after="0" w:line="262" w:lineRule="auto"/>
        <w:tabs>
          <w:tab w:leader="none" w:pos="104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Paid Time Off</w:t>
      </w:r>
      <w:r>
        <w:rPr>
          <w:rFonts w:ascii="Times New Roman" w:cs="Times New Roman" w:eastAsia="Times New Roman" w:hAnsi="Times New Roman"/>
          <w:sz w:val="22"/>
          <w:szCs w:val="22"/>
          <w:color w:val="auto"/>
        </w:rPr>
        <w:t>. During the Term of Employment, the Executive shall be entitled to paid time off, vacation time 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sick time, consistent with the Company’s policies.</w:t>
      </w:r>
    </w:p>
    <w:p>
      <w:pPr>
        <w:spacing w:after="0" w:line="149" w:lineRule="exact"/>
        <w:rPr>
          <w:rFonts w:ascii="Times New Roman" w:cs="Times New Roman" w:eastAsia="Times New Roman" w:hAnsi="Times New Roman"/>
          <w:sz w:val="22"/>
          <w:szCs w:val="22"/>
          <w:color w:val="auto"/>
        </w:rPr>
      </w:pPr>
    </w:p>
    <w:p>
      <w:pPr>
        <w:jc w:val="both"/>
        <w:ind w:firstLine="757"/>
        <w:spacing w:after="0" w:line="263" w:lineRule="auto"/>
        <w:tabs>
          <w:tab w:leader="none" w:pos="103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Business Expenses</w:t>
      </w:r>
      <w:r>
        <w:rPr>
          <w:rFonts w:ascii="Times New Roman" w:cs="Times New Roman" w:eastAsia="Times New Roman" w:hAnsi="Times New Roman"/>
          <w:sz w:val="21"/>
          <w:szCs w:val="21"/>
          <w:color w:val="auto"/>
        </w:rPr>
        <w:t>. Upon presentation of such substantiation and documentation as the Company may specify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to time, the Executive will be reimbursed in accordance with the Company’s expense reimbursement policy as in effect from time to time for all eligible out-of- pocket business expenses incurred and paid by the Executive during the Term of Employment.</w:t>
      </w:r>
    </w:p>
    <w:p>
      <w:pPr>
        <w:spacing w:after="0" w:line="151" w:lineRule="exact"/>
        <w:rPr>
          <w:rFonts w:ascii="Times New Roman" w:cs="Times New Roman" w:eastAsia="Times New Roman" w:hAnsi="Times New Roman"/>
          <w:sz w:val="21"/>
          <w:szCs w:val="21"/>
          <w:color w:val="auto"/>
        </w:rPr>
      </w:pPr>
    </w:p>
    <w:p>
      <w:pPr>
        <w:jc w:val="both"/>
        <w:ind w:firstLine="757"/>
        <w:spacing w:after="0" w:line="241" w:lineRule="auto"/>
        <w:tabs>
          <w:tab w:leader="none" w:pos="106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Benefits</w:t>
      </w:r>
      <w:r>
        <w:rPr>
          <w:rFonts w:ascii="Times New Roman" w:cs="Times New Roman" w:eastAsia="Times New Roman" w:hAnsi="Times New Roman"/>
          <w:sz w:val="22"/>
          <w:szCs w:val="22"/>
          <w:color w:val="auto"/>
        </w:rPr>
        <w:t>. During the Term of Employment, the Executive will be eligible to participate in any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 plan maintained by the Company for the benefit of its employees generally, subject to all of the terms and conditions (including eligibility requirements) of such plan. Notwithstanding the foregoing, the Company may modify or terminate any employee benefit plan at any time, in its sole and absolute discretion.</w:t>
      </w:r>
    </w:p>
    <w:p>
      <w:pPr>
        <w:spacing w:after="0" w:line="172" w:lineRule="exact"/>
        <w:rPr>
          <w:sz w:val="20"/>
          <w:szCs w:val="20"/>
          <w:color w:val="auto"/>
        </w:rPr>
      </w:pPr>
    </w:p>
    <w:p>
      <w:pPr>
        <w:jc w:val="both"/>
        <w:ind w:firstLine="757"/>
        <w:spacing w:after="0" w:line="246" w:lineRule="auto"/>
        <w:tabs>
          <w:tab w:leader="none" w:pos="100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Restrictive Covenants Agreement</w:t>
      </w:r>
      <w:r>
        <w:rPr>
          <w:rFonts w:ascii="Times New Roman" w:cs="Times New Roman" w:eastAsia="Times New Roman" w:hAnsi="Times New Roman"/>
          <w:sz w:val="22"/>
          <w:szCs w:val="22"/>
          <w:color w:val="auto"/>
        </w:rPr>
        <w:t>. The Executive hereby acknowledges that in connection with entering into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the Executive shall be required to enter into, and agrees to strictly abide by, an Employee Confidentiality and Assignment Agreement with the Company in the form attached as Exhibit A hereto (the “ECAA”).</w:t>
      </w:r>
    </w:p>
    <w:p>
      <w:pPr>
        <w:spacing w:after="0" w:line="167" w:lineRule="exact"/>
        <w:rPr>
          <w:rFonts w:ascii="Times New Roman" w:cs="Times New Roman" w:eastAsia="Times New Roman" w:hAnsi="Times New Roman"/>
          <w:sz w:val="22"/>
          <w:szCs w:val="22"/>
          <w:color w:val="auto"/>
        </w:rPr>
      </w:pPr>
    </w:p>
    <w:p>
      <w:pPr>
        <w:ind w:firstLine="757"/>
        <w:spacing w:after="0" w:line="262" w:lineRule="auto"/>
        <w:tabs>
          <w:tab w:leader="none" w:pos="9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Employment Termination</w:t>
      </w:r>
      <w:r>
        <w:rPr>
          <w:rFonts w:ascii="Times New Roman" w:cs="Times New Roman" w:eastAsia="Times New Roman" w:hAnsi="Times New Roman"/>
          <w:sz w:val="22"/>
          <w:szCs w:val="22"/>
          <w:color w:val="auto"/>
        </w:rPr>
        <w:t>. This Agreement, the Term of Employment, and the employment of the Executive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 upon the occurrence of any of the following:</w:t>
      </w:r>
    </w:p>
    <w:p>
      <w:pPr>
        <w:spacing w:after="0" w:line="154" w:lineRule="exact"/>
        <w:rPr>
          <w:sz w:val="20"/>
          <w:szCs w:val="20"/>
          <w:color w:val="auto"/>
        </w:rPr>
      </w:pPr>
    </w:p>
    <w:p>
      <w:pPr>
        <w:jc w:val="both"/>
        <w:ind w:firstLine="757"/>
        <w:spacing w:after="0" w:line="235" w:lineRule="auto"/>
        <w:tabs>
          <w:tab w:leader="none" w:pos="104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Automatically and immediately upon the death or “Disability” of the Executive. As used in this Agreement, the term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 The Executive will cooperate in all respects with the Company if a question arises as to whether the Executive has become Disabled (including, without limitation, submitting to reasonable examinations by one or more medical doctors and other health care specialists selected by the Company).</w:t>
      </w:r>
    </w:p>
    <w:p>
      <w:pPr>
        <w:spacing w:after="0" w:line="183" w:lineRule="exact"/>
        <w:rPr>
          <w:rFonts w:ascii="Times New Roman" w:cs="Times New Roman" w:eastAsia="Times New Roman" w:hAnsi="Times New Roman"/>
          <w:sz w:val="22"/>
          <w:szCs w:val="22"/>
          <w:color w:val="auto"/>
        </w:rPr>
      </w:pPr>
    </w:p>
    <w:p>
      <w:pPr>
        <w:ind w:firstLine="757"/>
        <w:spacing w:after="0" w:line="258" w:lineRule="auto"/>
        <w:tabs>
          <w:tab w:leader="none" w:pos="105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Company, with or without “Cause” (as defined below), immediately upon written notice by the Company to the Executive. As used in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158" w:lineRule="exact"/>
        <w:rPr>
          <w:rFonts w:ascii="Times New Roman" w:cs="Times New Roman" w:eastAsia="Times New Roman" w:hAnsi="Times New Roman"/>
          <w:sz w:val="22"/>
          <w:szCs w:val="22"/>
          <w:color w:val="auto"/>
        </w:rPr>
      </w:pPr>
    </w:p>
    <w:p>
      <w:pPr>
        <w:jc w:val="both"/>
        <w:ind w:left="1620" w:hanging="744"/>
        <w:spacing w:after="0" w:line="239" w:lineRule="auto"/>
        <w:tabs>
          <w:tab w:leader="none" w:pos="162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dishonest statements or acts with respect to the Company or any affiliate of the Company (each, a “</w:t>
      </w:r>
      <w:r>
        <w:rPr>
          <w:rFonts w:ascii="Times New Roman" w:cs="Times New Roman" w:eastAsia="Times New Roman" w:hAnsi="Times New Roman"/>
          <w:sz w:val="22"/>
          <w:szCs w:val="22"/>
          <w:u w:val="single" w:color="auto"/>
          <w:color w:val="auto"/>
        </w:rPr>
        <w:t>Group Company</w:t>
      </w:r>
      <w:r>
        <w:rPr>
          <w:rFonts w:ascii="Times New Roman" w:cs="Times New Roman" w:eastAsia="Times New Roman" w:hAnsi="Times New Roman"/>
          <w:sz w:val="22"/>
          <w:szCs w:val="22"/>
          <w:color w:val="auto"/>
        </w:rPr>
        <w:t>”), or any current or prospective customers, suppliers, vendors or other third parties with which such entity does business that results in or, in the good faith judgement of the Board, is anticipated to result in, material harm to any Group Company;</w:t>
      </w:r>
    </w:p>
    <w:p>
      <w:pPr>
        <w:spacing w:after="0" w:line="180" w:lineRule="exact"/>
        <w:rPr>
          <w:rFonts w:ascii="Times New Roman" w:cs="Times New Roman" w:eastAsia="Times New Roman" w:hAnsi="Times New Roman"/>
          <w:sz w:val="22"/>
          <w:szCs w:val="22"/>
          <w:color w:val="auto"/>
        </w:rPr>
      </w:pPr>
    </w:p>
    <w:p>
      <w:pPr>
        <w:jc w:val="both"/>
        <w:ind w:left="1620" w:right="20" w:hanging="744"/>
        <w:spacing w:after="0" w:line="244" w:lineRule="auto"/>
        <w:tabs>
          <w:tab w:leader="none" w:pos="162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(including any plea of guilty or nolo contendere to), or indictment for, (A) a felony or (B) any misdemeanor involving moral turpitude, deceit, dishonesty or fraud, or that materially and permanently impairs the Executive’s ability to perform the Executive’s duties with any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620" w:hanging="744"/>
        <w:spacing w:after="0" w:line="236" w:lineRule="auto"/>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gross negligence, willful misconduct or insubordination with respect to any Group Company that results in or, in the good faith judgement of the Board, is anticipated to result in, material harm to any Group Company, provided, however, that the Executive shall have a period of not less than ten (10) days to cure any curable act or omission (as determined by the Board in its good faith discretion) constituting Cause described in this Section 6(b)(iii) following the Board’s delivery to the Executive of written notice of such act or omission;</w:t>
      </w:r>
    </w:p>
    <w:p>
      <w:pPr>
        <w:spacing w:after="0" w:line="181" w:lineRule="exact"/>
        <w:rPr>
          <w:rFonts w:ascii="Times New Roman" w:cs="Times New Roman" w:eastAsia="Times New Roman" w:hAnsi="Times New Roman"/>
          <w:sz w:val="22"/>
          <w:szCs w:val="22"/>
          <w:color w:val="auto"/>
        </w:rPr>
      </w:pPr>
    </w:p>
    <w:p>
      <w:pPr>
        <w:ind w:left="1620" w:hanging="744"/>
        <w:spacing w:after="0" w:line="258" w:lineRule="auto"/>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theft, fraud, embezzlement, breach of fiduciary duty or material falsification of any documents or records of any Group Company;</w:t>
      </w:r>
    </w:p>
    <w:p>
      <w:pPr>
        <w:spacing w:after="0" w:line="158" w:lineRule="exact"/>
        <w:rPr>
          <w:rFonts w:ascii="Times New Roman" w:cs="Times New Roman" w:eastAsia="Times New Roman" w:hAnsi="Times New Roman"/>
          <w:sz w:val="22"/>
          <w:szCs w:val="22"/>
          <w:color w:val="auto"/>
        </w:rPr>
      </w:pPr>
    </w:p>
    <w:p>
      <w:pPr>
        <w:ind w:left="1620" w:hanging="744"/>
        <w:spacing w:after="0" w:line="258" w:lineRule="auto"/>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failure to abide by any Group Company’s code of conduct or other policies (including policies relating to confidentiality and workplace conduct);</w:t>
      </w:r>
    </w:p>
    <w:p>
      <w:pPr>
        <w:spacing w:after="0" w:line="158" w:lineRule="exact"/>
        <w:rPr>
          <w:rFonts w:ascii="Times New Roman" w:cs="Times New Roman" w:eastAsia="Times New Roman" w:hAnsi="Times New Roman"/>
          <w:sz w:val="22"/>
          <w:szCs w:val="22"/>
          <w:color w:val="auto"/>
        </w:rPr>
      </w:pPr>
    </w:p>
    <w:p>
      <w:pPr>
        <w:ind w:left="1620" w:hanging="744"/>
        <w:spacing w:after="0" w:line="258" w:lineRule="auto"/>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perform the Executive’s duties hereunder after written notice from the Board of such failure;</w:t>
      </w:r>
    </w:p>
    <w:p>
      <w:pPr>
        <w:spacing w:after="0" w:line="158" w:lineRule="exact"/>
        <w:rPr>
          <w:rFonts w:ascii="Times New Roman" w:cs="Times New Roman" w:eastAsia="Times New Roman" w:hAnsi="Times New Roman"/>
          <w:sz w:val="22"/>
          <w:szCs w:val="22"/>
          <w:color w:val="auto"/>
        </w:rPr>
      </w:pPr>
    </w:p>
    <w:p>
      <w:pPr>
        <w:jc w:val="both"/>
        <w:ind w:left="1620" w:hanging="744"/>
        <w:spacing w:after="0" w:line="244" w:lineRule="auto"/>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unauthorized use, misappropriation, destruction or diversion of any tangible or intangible asset or corporate opportunity of a Group Company (including the Executive’s improper use or disclosure of a Group Company’s confidential or proprietary information);</w:t>
      </w:r>
    </w:p>
    <w:p>
      <w:pPr>
        <w:spacing w:after="0" w:line="173" w:lineRule="exact"/>
        <w:rPr>
          <w:rFonts w:ascii="Times New Roman" w:cs="Times New Roman" w:eastAsia="Times New Roman" w:hAnsi="Times New Roman"/>
          <w:sz w:val="22"/>
          <w:szCs w:val="22"/>
          <w:color w:val="auto"/>
        </w:rPr>
      </w:pPr>
    </w:p>
    <w:p>
      <w:pPr>
        <w:ind w:left="1620" w:right="20" w:hanging="744"/>
        <w:spacing w:after="0" w:line="258" w:lineRule="auto"/>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cooperate with the Company and its legal counsel in connection with any investigation or other legal or similar proceeding involving any Group Company; or</w:t>
      </w:r>
    </w:p>
    <w:p>
      <w:pPr>
        <w:spacing w:after="0" w:line="158" w:lineRule="exact"/>
        <w:rPr>
          <w:rFonts w:ascii="Times New Roman" w:cs="Times New Roman" w:eastAsia="Times New Roman" w:hAnsi="Times New Roman"/>
          <w:sz w:val="22"/>
          <w:szCs w:val="22"/>
          <w:color w:val="auto"/>
        </w:rPr>
      </w:pPr>
    </w:p>
    <w:p>
      <w:pPr>
        <w:jc w:val="both"/>
        <w:ind w:left="1620" w:hanging="744"/>
        <w:spacing w:after="0" w:line="244" w:lineRule="auto"/>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violation of this Agreement or of any provision of any other agreement(s) between the Executive and the Company (including, without limitation, any provision relating to nonsolicitation, nondisclosure and/or assignment of inventions).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4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without the Executive’s consent:</w:t>
      </w:r>
    </w:p>
    <w:p>
      <w:pPr>
        <w:spacing w:after="0" w:line="173" w:lineRule="exact"/>
        <w:rPr>
          <w:rFonts w:ascii="Times New Roman" w:cs="Times New Roman" w:eastAsia="Times New Roman" w:hAnsi="Times New Roman"/>
          <w:sz w:val="22"/>
          <w:szCs w:val="22"/>
          <w:color w:val="auto"/>
        </w:rPr>
      </w:pPr>
    </w:p>
    <w:p>
      <w:pPr>
        <w:jc w:val="both"/>
        <w:ind w:left="1620" w:hanging="744"/>
        <w:spacing w:after="0" w:line="244" w:lineRule="auto"/>
        <w:tabs>
          <w:tab w:leader="none" w:pos="16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the Executive’s Base Salary, other than in connection with, and substantially proportionate to, reductions by the Company of the base compensation of all or substantially all senior executives of the Company;</w:t>
      </w:r>
    </w:p>
    <w:p>
      <w:pPr>
        <w:spacing w:after="0" w:line="173" w:lineRule="exact"/>
        <w:rPr>
          <w:rFonts w:ascii="Times New Roman" w:cs="Times New Roman" w:eastAsia="Times New Roman" w:hAnsi="Times New Roman"/>
          <w:sz w:val="22"/>
          <w:szCs w:val="22"/>
          <w:color w:val="auto"/>
        </w:rPr>
      </w:pPr>
    </w:p>
    <w:p>
      <w:pPr>
        <w:ind w:left="1620" w:hanging="744"/>
        <w:spacing w:after="0" w:line="258" w:lineRule="auto"/>
        <w:tabs>
          <w:tab w:leader="none" w:pos="16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duties, authority or responsibilities (other than temporarily while physically or mentally incapacitated or as required by applicable law);</w:t>
      </w:r>
    </w:p>
    <w:p>
      <w:pPr>
        <w:spacing w:after="0" w:line="158" w:lineRule="exact"/>
        <w:rPr>
          <w:rFonts w:ascii="Times New Roman" w:cs="Times New Roman" w:eastAsia="Times New Roman" w:hAnsi="Times New Roman"/>
          <w:sz w:val="22"/>
          <w:szCs w:val="22"/>
          <w:color w:val="auto"/>
        </w:rPr>
      </w:pPr>
    </w:p>
    <w:p>
      <w:pPr>
        <w:ind w:left="1620" w:right="20" w:hanging="744"/>
        <w:spacing w:after="0" w:line="258" w:lineRule="auto"/>
        <w:tabs>
          <w:tab w:leader="none" w:pos="16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Executive to relocate Executive’s primary office more than fifty (50) miles from the Executive’s then-current primary office, which increases the Executive’s one-way commute distance; or</w:t>
      </w:r>
    </w:p>
    <w:p>
      <w:pPr>
        <w:spacing w:after="0" w:line="158" w:lineRule="exact"/>
        <w:rPr>
          <w:rFonts w:ascii="Times New Roman" w:cs="Times New Roman" w:eastAsia="Times New Roman" w:hAnsi="Times New Roman"/>
          <w:sz w:val="22"/>
          <w:szCs w:val="22"/>
          <w:color w:val="auto"/>
        </w:rPr>
      </w:pPr>
    </w:p>
    <w:p>
      <w:pPr>
        <w:ind w:left="1620" w:hanging="744"/>
        <w:spacing w:after="0" w:line="258" w:lineRule="auto"/>
        <w:tabs>
          <w:tab w:leader="none" w:pos="16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Agreement between the Company and the Executive by the Company not otherwise covered by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1" w:name="page82"/>
    <w:bookmarkEnd w:id="8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76" w:lineRule="exact"/>
        <w:rPr>
          <w:sz w:val="20"/>
          <w:szCs w:val="20"/>
          <w:color w:val="auto"/>
        </w:rPr>
      </w:pPr>
    </w:p>
    <w:p>
      <w:pPr>
        <w:ind w:left="980" w:hanging="223"/>
        <w:spacing w:after="0"/>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3" w:lineRule="auto"/>
        <w:tabs>
          <w:tab w:leader="none" w:pos="1107" w:val="left"/>
        </w:tabs>
        <w:numPr>
          <w:ilvl w:val="0"/>
          <w:numId w:val="5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All Terminations Other Than by the Company Without Cause or by the Executive With Good Reason</w:t>
      </w:r>
      <w:r>
        <w:rPr>
          <w:rFonts w:ascii="Times New Roman" w:cs="Times New Roman" w:eastAsia="Times New Roman" w:hAnsi="Times New Roman"/>
          <w:sz w:val="22"/>
          <w:szCs w:val="22"/>
          <w:color w:val="auto"/>
        </w:rPr>
        <w:t>.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under any circumstances other than a Qualifying 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Termination Date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4(f) hereof, to be paid in accordance with the Company’s expense reimbursement policy,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payments described in this sentence,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i w:val="1"/>
          <w:iCs w:val="1"/>
          <w:color w:val="auto"/>
        </w:rPr>
      </w:pPr>
    </w:p>
    <w:p>
      <w:pPr>
        <w:jc w:val="both"/>
        <w:ind w:firstLine="757"/>
        <w:spacing w:after="0" w:line="232" w:lineRule="auto"/>
        <w:tabs>
          <w:tab w:leader="none" w:pos="106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Prior to or More Than Twelve Months Following a Change in Control and Subject to Executive’s Good Performance for at Least Twelve Months. </w:t>
      </w:r>
      <w:r>
        <w:rPr>
          <w:rFonts w:ascii="Times New Roman" w:cs="Times New Roman" w:eastAsia="Times New Roman" w:hAnsi="Times New Roman"/>
          <w:sz w:val="22"/>
          <w:szCs w:val="22"/>
          <w:color w:val="auto"/>
        </w:rPr>
        <w:t>If (x)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the Company without Cause pursuant to Section 6(b) (which, for the avoidance of doubt, does not include any termination due to the Executive’s death or Disability pursuant to Section 6(a)) or by the Executive with Good Reason pursuant to Section 6(c) (in either case, a “Qualifying Termination”) prior to or more than twelve (12) months following a Change in Control (as defined below), and (y) such Qualifying Termination occurs after the Executive has completed at least twelve (12) months of employment with good performance for the Company (as determined by the Board in its sole and absolute discretion), then the Executive shall be entitled to the Accrued Obligations. In addition, and subject to Section 8 and the conditions of Section 7(d), in the case of a termination described in the preceding sentence, the Company shall: (i) continue to pay to the Executive, in equal periodic installments in accordance with the Company’s regularly established payroll procedures (not less frequently than monthly), the Executive’s Base Salary for a period of Nine Months (9) months commencing on the Payment Date (as defined below); and (ii) provided the Executive is eligible for and timely elects to continue receiving group medical coverage pursuant to the “COBRA” law, continue to pay (but in no event longer than Nine Months (9) months following the Executive’s Termination Date) the share of 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will not apply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auto"/>
        </w:rPr>
      </w:pPr>
    </w:p>
    <w:p>
      <w:pPr>
        <w:jc w:val="both"/>
        <w:ind w:firstLine="757"/>
        <w:spacing w:after="0" w:line="238" w:lineRule="auto"/>
        <w:tabs>
          <w:tab w:leader="none" w:pos="104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Within Twelve Months Following a Change in Control. </w:t>
      </w:r>
      <w:r>
        <w:rPr>
          <w:rFonts w:ascii="Times New Roman" w:cs="Times New Roman" w:eastAsia="Times New Roman" w:hAnsi="Times New Roman"/>
          <w:sz w:val="22"/>
          <w:szCs w:val="22"/>
          <w:color w:val="auto"/>
        </w:rPr>
        <w:t>If a Qualifying Termination occurs within twelve (12) months following a Change in Control, then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shall be entitled to the Accrued Obligations. In addition, and subject to Section 8 and the conditions of Section 7(d), the Company shall: (i) continue to pay to the Executive, in equal periodic installments in accordance with the Company’s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2" w:name="page83"/>
    <w:bookmarkEnd w:id="8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established payroll procedures (not less frequently than monthly), the Executive’s Base Salary (or, if higher, the Executive’s Base Salary in effect immediately prior to the Change in Control) for a period of Twelve Months (12) commencing on the Payment Date; (ii) pay to the Executive, in a single lump sum on the Payment Date, an amount equal to 100% of the Executive’s Target Bonus for the year in which termination occurs or, if higher, the Executive’s Target Bonus immediately prior to the Change in Control; (iii) provided the Executive is eligible for and timely elects to continue receiving group medical coverage pursuant to the “COBRA” law, continue to pay (but in no event longer than Twelve Months (12) months following the Executive’s Termination Date) the share of 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181" w:lineRule="exact"/>
        <w:rPr>
          <w:sz w:val="20"/>
          <w:szCs w:val="20"/>
          <w:color w:val="auto"/>
        </w:rPr>
      </w:pPr>
    </w:p>
    <w:p>
      <w:pPr>
        <w:jc w:val="both"/>
        <w:ind w:firstLine="757"/>
        <w:spacing w:after="0" w:line="233" w:lineRule="auto"/>
        <w:tabs>
          <w:tab w:leader="none" w:pos="10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As a condition of the Executive’s receipt of the Severance Benefits or the Change in Control Severance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Benefits, as applicable, the Executive must execute and deliver to the Company a severance and release of claims agreement in a form to be provided by the Company (the “Severance Agreement”), which Severance Agreement must become irrevocable within 60 days following the Executive’s Termination Date (or such shorter period as may be directed by the Company). The Severance Benefits or the Change in Control Severance Benefits (other than any COBRA subsidy), as applicable, will be paid or commence to be paid in the first regular payroll beginning after the Severance Agreement becomes effective and irrevocable, provided that if the foregoing 60 day period (or such shorter period as may be directed by the Company) would end in a calendar year subsequent to the year in which the Executive’s employment ends, the Severance Benefits or Change in Control Severance Benefits (other than any COBRA subsidy), as applicable, will not be paid or begin to be paid before the first payroll of the subsequent calendar year (the date the Severance Benefits or Change in Control Severance Benefits, as applicable, commence pursuant to this sentence,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The Executive must continue to comply with the ECAA and any similar agreement with the Company or its affiliates in order to be eligible to continue receiving the Severance Benefits or Change in Control Severance Benefits, as applicable.</w:t>
      </w:r>
    </w:p>
    <w:p>
      <w:pPr>
        <w:spacing w:after="0" w:line="182" w:lineRule="exact"/>
        <w:rPr>
          <w:rFonts w:ascii="Times New Roman" w:cs="Times New Roman" w:eastAsia="Times New Roman" w:hAnsi="Times New Roman"/>
          <w:sz w:val="22"/>
          <w:szCs w:val="22"/>
          <w:color w:val="auto"/>
        </w:rPr>
      </w:pPr>
    </w:p>
    <w:p>
      <w:pPr>
        <w:jc w:val="both"/>
        <w:ind w:firstLine="757"/>
        <w:spacing w:after="0" w:line="250" w:lineRule="auto"/>
        <w:tabs>
          <w:tab w:leader="none" w:pos="1042"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in Control Definition</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the occurrence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following events</w:t>
      </w:r>
      <w:r>
        <w:rPr>
          <w:rFonts w:ascii="Times New Roman" w:cs="Times New Roman" w:eastAsia="Times New Roman" w:hAnsi="Times New Roman"/>
          <w:sz w:val="21"/>
          <w:szCs w:val="21"/>
          <w:i w:val="1"/>
          <w:iCs w:val="1"/>
          <w:color w:val="auto"/>
        </w:rPr>
        <w:t>, provided that such event or occurrence constitutes a change in the ownership or effective control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 or a change in the ownership of a substantial portion of the assets of the Company, as defined in Treasury Regulation</w:t>
      </w:r>
    </w:p>
    <w:p>
      <w:pPr>
        <w:spacing w:after="0" w:line="2" w:lineRule="exact"/>
        <w:rPr>
          <w:rFonts w:ascii="Times New Roman" w:cs="Times New Roman" w:eastAsia="Times New Roman" w:hAnsi="Times New Roman"/>
          <w:sz w:val="21"/>
          <w:szCs w:val="21"/>
          <w:color w:val="auto"/>
        </w:rPr>
      </w:pPr>
    </w:p>
    <w:p>
      <w:pPr>
        <w:jc w:val="both"/>
        <w:ind w:firstLine="8"/>
        <w:spacing w:after="0" w:line="241" w:lineRule="auto"/>
        <w:tabs>
          <w:tab w:leader="none" w:pos="270" w:val="left"/>
        </w:tabs>
        <w:numPr>
          <w:ilvl w:val="0"/>
          <w:numId w:val="5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1.409A-3(i)(5)(v), (vi) and (vii)</w:t>
      </w:r>
      <w:r>
        <w:rPr>
          <w:rFonts w:ascii="Times New Roman" w:cs="Times New Roman" w:eastAsia="Times New Roman" w:hAnsi="Times New Roman"/>
          <w:sz w:val="21"/>
          <w:szCs w:val="21"/>
          <w:color w:val="auto"/>
        </w:rPr>
        <w:t>: (i) the acquisition by an individual, entity or group (within the meaning of Section 13(d)(3)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w:t>
      </w:r>
    </w:p>
    <w:p>
      <w:pPr>
        <w:spacing w:after="0" w:line="4" w:lineRule="exact"/>
        <w:rPr>
          <w:rFonts w:ascii="Times New Roman" w:cs="Times New Roman" w:eastAsia="Times New Roman" w:hAnsi="Times New Roman"/>
          <w:sz w:val="21"/>
          <w:szCs w:val="21"/>
          <w:i w:val="1"/>
          <w:iCs w:val="1"/>
          <w:color w:val="auto"/>
        </w:rPr>
      </w:pPr>
    </w:p>
    <w:p>
      <w:pPr>
        <w:jc w:val="both"/>
        <w:spacing w:after="0" w:line="234" w:lineRule="auto"/>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2"/>
          <w:szCs w:val="22"/>
          <w:color w:val="auto"/>
        </w:rPr>
        <w:t>(y)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w:t>
      </w:r>
    </w:p>
    <w:p>
      <w:pPr>
        <w:spacing w:after="0" w:line="16" w:lineRule="exact"/>
        <w:rPr>
          <w:sz w:val="20"/>
          <w:szCs w:val="20"/>
          <w:color w:val="auto"/>
        </w:rPr>
      </w:pPr>
    </w:p>
    <w:p>
      <w:pPr>
        <w:jc w:val="both"/>
        <w:ind w:firstLine="8"/>
        <w:spacing w:after="0" w:line="233" w:lineRule="auto"/>
        <w:tabs>
          <w:tab w:leader="none" w:pos="3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 outstanding securities of such corporation entitled to vote generally in the election of directors (except to the extent that such ownership existed prior to the Business Combination); or (iv) the liquidation or dissolution of the Company.</w:t>
      </w:r>
    </w:p>
    <w:p>
      <w:pPr>
        <w:spacing w:after="0" w:line="175" w:lineRule="exact"/>
        <w:rPr>
          <w:rFonts w:ascii="Times New Roman" w:cs="Times New Roman" w:eastAsia="Times New Roman" w:hAnsi="Times New Roman"/>
          <w:sz w:val="22"/>
          <w:szCs w:val="22"/>
          <w:color w:val="auto"/>
        </w:rPr>
      </w:pPr>
    </w:p>
    <w:p>
      <w:pPr>
        <w:ind w:left="980" w:hanging="223"/>
        <w:spacing w:after="0"/>
        <w:tabs>
          <w:tab w:leader="none" w:pos="980" w:val="left"/>
        </w:tabs>
        <w:numPr>
          <w:ilvl w:val="1"/>
          <w:numId w:val="5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Tax Matters.</w:t>
      </w:r>
    </w:p>
    <w:p>
      <w:pPr>
        <w:spacing w:after="0" w:line="206" w:lineRule="exact"/>
        <w:rPr>
          <w:sz w:val="20"/>
          <w:szCs w:val="20"/>
          <w:color w:val="auto"/>
        </w:rPr>
      </w:pPr>
    </w:p>
    <w:p>
      <w:pPr>
        <w:ind w:right="20" w:firstLine="757"/>
        <w:spacing w:after="0" w:line="262" w:lineRule="auto"/>
        <w:tabs>
          <w:tab w:leader="none" w:pos="106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w:t>
      </w:r>
      <w:r>
        <w:rPr>
          <w:rFonts w:ascii="Times New Roman" w:cs="Times New Roman" w:eastAsia="Times New Roman" w:hAnsi="Times New Roman"/>
          <w:sz w:val="22"/>
          <w:szCs w:val="22"/>
          <w:color w:val="auto"/>
        </w:rPr>
        <w:t>. The Company may withhold from any compensation and benefits payable under this Agreement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federal, state, local, or other taxes, and any other applicable withholdings and deductions.</w:t>
      </w:r>
    </w:p>
    <w:p>
      <w:pPr>
        <w:spacing w:after="0" w:line="149"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620" w:hanging="744"/>
        <w:spacing w:after="0" w:line="234" w:lineRule="auto"/>
        <w:tabs>
          <w:tab w:leader="none" w:pos="162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Company does not guarantee the tax treatment of any payments or benefits under this Agreement, the intent of the Parties is that the payments and benefits under this Agreement be exempt from or, to the extent not exempt, comply with, Section 409A of the Code and the regulations and guidance promulgated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accordingly, to the maximum extent possible, this Agreement will be interpreted and construed consistent with such intent. Notwithstanding the foregoing, the Company does not guarantee any particular tax result, and in no event whatsoever will the Company, its affiliates, or their respective officers, directors, employees, counsel or other service providers, be liable for any tax, interest or penalty that may be imposed on the Executive by Section 409A or damages for failing to comply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744" w:hanging="744"/>
        <w:spacing w:after="0" w:line="238" w:lineRule="auto"/>
        <w:tabs>
          <w:tab w:leader="none" w:pos="7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the Executive’s right to receive installment payments pursuant to this Agreement shall be treated as a right to receive a series of separate payments and, accordingly, each installment payment will at all times be considered a separate and distinct payment. Whenever a payment hereunder specifies a payment period with reference to a number of days, the actual date of payment within the specified period shall be within the sole discretion of the Company.</w:t>
      </w:r>
    </w:p>
    <w:p>
      <w:pPr>
        <w:spacing w:after="0" w:line="176" w:lineRule="exact"/>
        <w:rPr>
          <w:rFonts w:ascii="Times New Roman" w:cs="Times New Roman" w:eastAsia="Times New Roman" w:hAnsi="Times New Roman"/>
          <w:sz w:val="22"/>
          <w:szCs w:val="22"/>
          <w:color w:val="auto"/>
        </w:rPr>
      </w:pPr>
    </w:p>
    <w:p>
      <w:pPr>
        <w:jc w:val="both"/>
        <w:ind w:left="744" w:hanging="744"/>
        <w:spacing w:after="0" w:line="249" w:lineRule="auto"/>
        <w:tabs>
          <w:tab w:leader="none" w:pos="74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reimbursements or other in-kind benefits hereunder constitute “deferred compensation” subject to Section 409A, (x) all expenses or other reimbursements hereunder will be made on or prior to the last day of the taxable year following the taxable year in which such expenses were incurred by the Executive,</w:t>
      </w:r>
    </w:p>
    <w:p>
      <w:pPr>
        <w:spacing w:after="0" w:line="1" w:lineRule="exact"/>
        <w:rPr>
          <w:rFonts w:ascii="Times New Roman" w:cs="Times New Roman" w:eastAsia="Times New Roman" w:hAnsi="Times New Roman"/>
          <w:sz w:val="21"/>
          <w:szCs w:val="21"/>
          <w:color w:val="auto"/>
        </w:rPr>
      </w:pPr>
    </w:p>
    <w:p>
      <w:pPr>
        <w:jc w:val="both"/>
        <w:ind w:left="744"/>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any right to reimbursement or in-kind benefits will not be subject to liquidation or exchange for another benefit, and (z) no such reimbursement, expenses eligible for reimbursement, or in-kind benefits provided in any taxable year will in any way affect the expenses eligible for reimbursement, or in-kind benefits to be provided, in any other taxable year.</w:t>
      </w:r>
    </w:p>
    <w:p>
      <w:pPr>
        <w:spacing w:after="0" w:line="177" w:lineRule="exact"/>
        <w:rPr>
          <w:rFonts w:ascii="Times New Roman" w:cs="Times New Roman" w:eastAsia="Times New Roman" w:hAnsi="Times New Roman"/>
          <w:sz w:val="21"/>
          <w:szCs w:val="21"/>
          <w:color w:val="auto"/>
        </w:rPr>
      </w:pPr>
    </w:p>
    <w:p>
      <w:pPr>
        <w:jc w:val="both"/>
        <w:ind w:left="744" w:hanging="744"/>
        <w:spacing w:after="0" w:line="244" w:lineRule="auto"/>
        <w:tabs>
          <w:tab w:leader="none" w:pos="7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provision of this Agreement to the contrary notwithstanding, in no event will any payment or benefit hereunder that constitutes “deferred compensation” subject to Section 409A be subject to offset by any other amount unless otherwise permitted by Section 409A.</w:t>
      </w:r>
    </w:p>
    <w:p>
      <w:pPr>
        <w:spacing w:after="0" w:line="173" w:lineRule="exact"/>
        <w:rPr>
          <w:rFonts w:ascii="Times New Roman" w:cs="Times New Roman" w:eastAsia="Times New Roman" w:hAnsi="Times New Roman"/>
          <w:sz w:val="22"/>
          <w:szCs w:val="22"/>
          <w:color w:val="auto"/>
        </w:rPr>
      </w:pPr>
    </w:p>
    <w:p>
      <w:pPr>
        <w:jc w:val="both"/>
        <w:ind w:left="744" w:hanging="744"/>
        <w:spacing w:after="0" w:line="235" w:lineRule="auto"/>
        <w:tabs>
          <w:tab w:leader="none" w:pos="7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employment will not be deemed to have occurred for purposes of any provision of this Agreement providing for the payment of any amounts or benefits that constitute “deferred compensation” subject to Section 409A upon or following a termination of employment, unless such termination is also a “separation from service” within the meaning of Section 409A, and, for purposes of any such provision, all references in this Agreement to the Executive’s “termination”, “termination of employment” or like terms will mean the Executive’s “separation from service” with the Company, and the date of such separation from service will be the date of termination for purposes of any such payment or benefit.</w:t>
      </w:r>
    </w:p>
    <w:p>
      <w:pPr>
        <w:spacing w:after="0" w:line="183" w:lineRule="exact"/>
        <w:rPr>
          <w:rFonts w:ascii="Times New Roman" w:cs="Times New Roman" w:eastAsia="Times New Roman" w:hAnsi="Times New Roman"/>
          <w:sz w:val="22"/>
          <w:szCs w:val="22"/>
          <w:color w:val="auto"/>
        </w:rPr>
      </w:pPr>
    </w:p>
    <w:p>
      <w:pPr>
        <w:jc w:val="both"/>
        <w:ind w:left="744" w:hanging="744"/>
        <w:spacing w:after="0" w:line="246" w:lineRule="auto"/>
        <w:tabs>
          <w:tab w:leader="none" w:pos="74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if, at the time of the Executive’s separation from service, the Executive is a “specified employee” within the meaning and in accordance with Treasury Regulation Section 1.409A-1(i), then the Company will defer the payment or commencement of any “deferred compensation” subject to Section 409A that is payable upon separation from service (without any reduction in such payments or benefits ultimately paid or provided to the Executive) until the date that is six</w:t>
      </w:r>
    </w:p>
    <w:p>
      <w:pPr>
        <w:spacing w:after="0" w:line="1" w:lineRule="exact"/>
        <w:rPr>
          <w:rFonts w:ascii="Times New Roman" w:cs="Times New Roman" w:eastAsia="Times New Roman" w:hAnsi="Times New Roman"/>
          <w:sz w:val="21"/>
          <w:szCs w:val="21"/>
          <w:color w:val="auto"/>
        </w:rPr>
      </w:pPr>
    </w:p>
    <w:p>
      <w:pPr>
        <w:jc w:val="both"/>
        <w:ind w:left="744"/>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 months following separation from service or, if earlier, the earliest other date as is permitted under Section 409A (and any amounts that otherwise would have been paid during this deferral period will be paid in a lump sum on the day after the expiration of the six (6) month period or such shorter period, if applicable). The Company will determine in its sole discretion all matters relating to who is a “specified employee” and the application of and effects of the change in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212725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4"/>
          </w:cols>
          <w:pgMar w:left="1196" w:top="49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757"/>
        <w:spacing w:after="0" w:line="234" w:lineRule="auto"/>
        <w:tabs>
          <w:tab w:leader="none" w:pos="104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280G</w:t>
      </w:r>
      <w:r>
        <w:rPr>
          <w:rFonts w:ascii="Times New Roman" w:cs="Times New Roman" w:eastAsia="Times New Roman" w:hAnsi="Times New Roman"/>
          <w:sz w:val="22"/>
          <w:szCs w:val="22"/>
          <w:color w:val="auto"/>
        </w:rPr>
        <w:t>. In the event that any payments and other benefits provided for in this Agreement or otherwise payable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Executive constitute “parachute payments” within the meaning of Section 280G of the Code, and, but for this paragraph, would be subject to the excise tax imposed by Section 4999 of the Code, then any post-termination severance payments and benefits payable under this Agreement or otherwise will be either (1) delivered in full or (2) delivered as to such lesser extent which would result in no portion of such payments and benefits being subject to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payments and benefits, notwithstanding that all or some portion of such benefits may be taxable under Section 4999 of the Code. If a reduction in the Executive’s payments and benefits is necessitated by the preceding sentence, such reduction will occur in the following order:</w:t>
      </w:r>
    </w:p>
    <w:p>
      <w:pPr>
        <w:spacing w:after="0" w:line="183" w:lineRule="exact"/>
        <w:rPr>
          <w:sz w:val="20"/>
          <w:szCs w:val="20"/>
          <w:color w:val="auto"/>
        </w:rPr>
      </w:pPr>
    </w:p>
    <w:p>
      <w:pPr>
        <w:ind w:left="1500" w:hanging="7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cash amounts payable to the Executive,</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benefits valued as parachute payments, and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7" w:lineRule="auto"/>
        <w:tabs>
          <w:tab w:leader="none" w:pos="150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acceleration of vesting of any equity awards. Any determination required under this paragraph will be made in writing by the Company’s independent public accountants (the “Firm”), whose determination will be conclusive and binding upon the Executive and the Company. For purposes of making the calculations required by this paragraph,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may reasonably request in order to make a determination under this paragraph. The Company will bear all costs the Firm may incur in connection with any calculations contemplated by this paragraph.</w:t>
      </w:r>
    </w:p>
    <w:p>
      <w:pPr>
        <w:spacing w:after="0" w:line="168" w:lineRule="exact"/>
        <w:rPr>
          <w:sz w:val="20"/>
          <w:szCs w:val="20"/>
          <w:color w:val="auto"/>
        </w:rPr>
      </w:pPr>
    </w:p>
    <w:p>
      <w:pPr>
        <w:jc w:val="both"/>
        <w:ind w:firstLine="757"/>
        <w:spacing w:after="0" w:line="241" w:lineRule="auto"/>
        <w:tabs>
          <w:tab w:leader="none" w:pos="100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Clawback</w:t>
      </w:r>
      <w:r>
        <w:rPr>
          <w:rFonts w:ascii="Times New Roman" w:cs="Times New Roman" w:eastAsia="Times New Roman" w:hAnsi="Times New Roman"/>
          <w:sz w:val="22"/>
          <w:szCs w:val="22"/>
          <w:color w:val="auto"/>
        </w:rPr>
        <w:t>. To the maximum extent permitted by applicable law, all amounts paid or provided to the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shall be subject to any clawback or recoupment policy that may be maintained by the Company from time to time, and the requirements of any law or regulation applicable to the Company and governing the clawback or recoupment of executive compensation, or as set forth in any final non-appealable order by any court of competent jurisdiction or arbitrator.</w:t>
      </w:r>
    </w:p>
    <w:p>
      <w:pPr>
        <w:spacing w:after="0" w:line="171" w:lineRule="exact"/>
        <w:rPr>
          <w:rFonts w:ascii="Times New Roman" w:cs="Times New Roman" w:eastAsia="Times New Roman" w:hAnsi="Times New Roman"/>
          <w:sz w:val="22"/>
          <w:szCs w:val="22"/>
          <w:color w:val="auto"/>
        </w:rPr>
      </w:pPr>
    </w:p>
    <w:p>
      <w:pPr>
        <w:jc w:val="both"/>
        <w:ind w:firstLine="757"/>
        <w:spacing w:after="0" w:line="241" w:lineRule="auto"/>
        <w:tabs>
          <w:tab w:leader="none" w:pos="108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Restrictions</w:t>
      </w:r>
      <w:r>
        <w:rPr>
          <w:rFonts w:ascii="Times New Roman" w:cs="Times New Roman" w:eastAsia="Times New Roman" w:hAnsi="Times New Roman"/>
          <w:sz w:val="22"/>
          <w:szCs w:val="22"/>
          <w:color w:val="auto"/>
        </w:rPr>
        <w:t>. The Executive represents and warrants that the Executive is not bound by any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71" w:lineRule="exact"/>
        <w:rPr>
          <w:rFonts w:ascii="Times New Roman" w:cs="Times New Roman" w:eastAsia="Times New Roman" w:hAnsi="Times New Roman"/>
          <w:sz w:val="22"/>
          <w:szCs w:val="22"/>
          <w:color w:val="auto"/>
        </w:rPr>
      </w:pPr>
    </w:p>
    <w:p>
      <w:pPr>
        <w:jc w:val="both"/>
        <w:ind w:firstLine="757"/>
        <w:spacing w:after="0" w:line="241" w:lineRule="auto"/>
        <w:tabs>
          <w:tab w:leader="none" w:pos="106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Any notice delivered under this Agreement shall be deemed duly delivered three (3) business days after it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To Executive: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At the address set forth in the Executive’s personnel file To</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Company:</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26 Landsdowne Street,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Cambridge,</w:t>
      </w:r>
    </w:p>
    <w:p>
      <w:pPr>
        <w:ind w:left="880"/>
        <w:spacing w:after="0"/>
        <w:rPr>
          <w:sz w:val="20"/>
          <w:szCs w:val="20"/>
          <w:color w:val="auto"/>
        </w:rPr>
      </w:pPr>
      <w:r>
        <w:rPr>
          <w:rFonts w:ascii="Times New Roman" w:cs="Times New Roman" w:eastAsia="Times New Roman" w:hAnsi="Times New Roman"/>
          <w:sz w:val="22"/>
          <w:szCs w:val="22"/>
          <w:color w:val="auto"/>
        </w:rPr>
        <w:t>MA 02139</w:t>
      </w:r>
    </w:p>
    <w:p>
      <w:pPr>
        <w:spacing w:after="0" w:line="182"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22"/>
          <w:szCs w:val="22"/>
          <w:color w:val="auto"/>
        </w:rPr>
        <w:t>Either Party may change the address to which notices are to be delivered by giving notice of such change to the other Party in the manner set forth in this Section 11.</w:t>
      </w:r>
    </w:p>
    <w:p>
      <w:pPr>
        <w:spacing w:after="0" w:line="154" w:lineRule="exact"/>
        <w:rPr>
          <w:sz w:val="20"/>
          <w:szCs w:val="20"/>
          <w:color w:val="auto"/>
        </w:rPr>
      </w:pPr>
    </w:p>
    <w:p>
      <w:pPr>
        <w:jc w:val="both"/>
        <w:ind w:firstLine="757"/>
        <w:spacing w:after="0" w:line="236" w:lineRule="auto"/>
        <w:tabs>
          <w:tab w:leader="none" w:pos="107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Applicable Law; Jury Trial Waiver</w:t>
      </w:r>
      <w:r>
        <w:rPr>
          <w:rFonts w:ascii="Times New Roman" w:cs="Times New Roman" w:eastAsia="Times New Roman" w:hAnsi="Times New Roman"/>
          <w:sz w:val="22"/>
          <w:szCs w:val="22"/>
          <w:color w:val="auto"/>
        </w:rPr>
        <w:t>. This Agreement shall be governed by and construed in accordance with the laws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0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respective successors and assigns, including any corporation with which or into which the Company may be merged or which may succeed to its assets or business (and, as used in this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will mean the Company and any such successor corporation); provided, however, that the obligations of the Executive are personal and shall not be assigned by the Executive.</w:t>
      </w:r>
    </w:p>
    <w:p>
      <w:pPr>
        <w:spacing w:after="0" w:line="176" w:lineRule="exact"/>
        <w:rPr>
          <w:rFonts w:ascii="Times New Roman" w:cs="Times New Roman" w:eastAsia="Times New Roman" w:hAnsi="Times New Roman"/>
          <w:sz w:val="22"/>
          <w:szCs w:val="22"/>
          <w:color w:val="auto"/>
        </w:rPr>
      </w:pPr>
    </w:p>
    <w:p>
      <w:pPr>
        <w:ind w:firstLine="757"/>
        <w:spacing w:after="0" w:line="262" w:lineRule="auto"/>
        <w:tabs>
          <w:tab w:leader="none" w:pos="108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Sections 5 and 7 through 22 hereof will survive and continue in full force and effect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respective terms notwithstanding any expiration or termination of the Term of Employment and/or this Agreement.</w:t>
      </w:r>
    </w:p>
    <w:p>
      <w:pPr>
        <w:spacing w:after="0" w:line="14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2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Pre-Employment Checks</w:t>
      </w:r>
      <w:r>
        <w:rPr>
          <w:rFonts w:ascii="Times New Roman" w:cs="Times New Roman" w:eastAsia="Times New Roman" w:hAnsi="Times New Roman"/>
          <w:sz w:val="22"/>
          <w:szCs w:val="22"/>
          <w:color w:val="auto"/>
        </w:rPr>
        <w:t>. The Executive acknowledges and agrees that the Executive’s employment, and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are contingent upon satisfactory completion prior to the Start Date of pre-employment screening activities, including favorable reference checks of former employment, verification of the Executive’s ability to work in the United States, and educational background and criminal history checks. The Executive agrees to assist the Company as needed to facilitate the timely completion of such checks.</w:t>
      </w:r>
    </w:p>
    <w:p>
      <w:pPr>
        <w:spacing w:after="0" w:line="176" w:lineRule="exact"/>
        <w:rPr>
          <w:rFonts w:ascii="Times New Roman" w:cs="Times New Roman" w:eastAsia="Times New Roman" w:hAnsi="Times New Roman"/>
          <w:sz w:val="22"/>
          <w:szCs w:val="22"/>
          <w:color w:val="auto"/>
        </w:rPr>
      </w:pPr>
    </w:p>
    <w:p>
      <w:pPr>
        <w:jc w:val="both"/>
        <w:ind w:firstLine="757"/>
        <w:spacing w:after="0" w:line="241" w:lineRule="auto"/>
        <w:tabs>
          <w:tab w:leader="none" w:pos="107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Acknowledgment</w:t>
      </w:r>
      <w:r>
        <w:rPr>
          <w:rFonts w:ascii="Times New Roman" w:cs="Times New Roman" w:eastAsia="Times New Roman" w:hAnsi="Times New Roman"/>
          <w:sz w:val="22"/>
          <w:szCs w:val="22"/>
          <w:color w:val="auto"/>
        </w:rPr>
        <w:t>. The Executive states and represents that the Executive has had an opportunity to fully discuss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71" w:lineRule="exact"/>
        <w:rPr>
          <w:rFonts w:ascii="Times New Roman" w:cs="Times New Roman" w:eastAsia="Times New Roman" w:hAnsi="Times New Roman"/>
          <w:sz w:val="22"/>
          <w:szCs w:val="22"/>
          <w:color w:val="auto"/>
        </w:rPr>
      </w:pPr>
    </w:p>
    <w:p>
      <w:pPr>
        <w:jc w:val="both"/>
        <w:ind w:firstLine="757"/>
        <w:spacing w:after="0" w:line="238" w:lineRule="auto"/>
        <w:tabs>
          <w:tab w:leader="none" w:pos="10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Oral Modification, Waiver, Cancellation or Discharge</w:t>
      </w:r>
      <w:r>
        <w:rPr>
          <w:rFonts w:ascii="Times New Roman" w:cs="Times New Roman" w:eastAsia="Times New Roman" w:hAnsi="Times New Roman"/>
          <w:sz w:val="22"/>
          <w:szCs w:val="22"/>
          <w:color w:val="auto"/>
        </w:rPr>
        <w:t>. This Agreement may be amended or modified only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6" w:lineRule="exact"/>
        <w:rPr>
          <w:rFonts w:ascii="Times New Roman" w:cs="Times New Roman" w:eastAsia="Times New Roman" w:hAnsi="Times New Roman"/>
          <w:sz w:val="22"/>
          <w:szCs w:val="22"/>
          <w:color w:val="auto"/>
        </w:rPr>
      </w:pPr>
    </w:p>
    <w:p>
      <w:pPr>
        <w:jc w:val="both"/>
        <w:ind w:firstLine="757"/>
        <w:spacing w:after="0" w:line="241" w:lineRule="auto"/>
        <w:tabs>
          <w:tab w:leader="none" w:pos="107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Captions and Pronouns</w:t>
      </w:r>
      <w:r>
        <w:rPr>
          <w:rFonts w:ascii="Times New Roman" w:cs="Times New Roman" w:eastAsia="Times New Roman" w:hAnsi="Times New Roman"/>
          <w:sz w:val="22"/>
          <w:szCs w:val="22"/>
          <w:color w:val="auto"/>
        </w:rPr>
        <w:t>. The captions of the sections of this Agreement are for convenience of reference only and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71" w:lineRule="exact"/>
        <w:rPr>
          <w:rFonts w:ascii="Times New Roman" w:cs="Times New Roman" w:eastAsia="Times New Roman" w:hAnsi="Times New Roman"/>
          <w:sz w:val="22"/>
          <w:szCs w:val="22"/>
          <w:color w:val="auto"/>
        </w:rPr>
      </w:pPr>
    </w:p>
    <w:p>
      <w:pPr>
        <w:ind w:left="1080" w:hanging="323"/>
        <w:spacing w:after="0"/>
        <w:tabs>
          <w:tab w:leader="none" w:pos="10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The Parties agree that this Agreement will be construed without regard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presumption or 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69" w:lineRule="exact"/>
        <w:rPr>
          <w:sz w:val="20"/>
          <w:szCs w:val="20"/>
          <w:color w:val="auto"/>
        </w:rPr>
      </w:pPr>
    </w:p>
    <w:p>
      <w:pPr>
        <w:jc w:val="both"/>
        <w:ind w:firstLine="757"/>
        <w:spacing w:after="0" w:line="236" w:lineRule="auto"/>
        <w:tabs>
          <w:tab w:leader="none" w:pos="107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Each provision of this Agreement must be interpreted in such manner as to be effective and valid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executed in several counterparts, each of which will be deemed to be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original but all of which together will constitute one and the same instrument. Facsimile, PDF, and electronic counterpart signatures to and versions of this Agreement will be acceptable and binding on the Parties.</w:t>
      </w:r>
    </w:p>
    <w:p>
      <w:pPr>
        <w:spacing w:after="0" w:line="167" w:lineRule="exact"/>
        <w:rPr>
          <w:rFonts w:ascii="Times New Roman" w:cs="Times New Roman" w:eastAsia="Times New Roman" w:hAnsi="Times New Roman"/>
          <w:sz w:val="22"/>
          <w:szCs w:val="22"/>
          <w:color w:val="auto"/>
        </w:rPr>
      </w:pPr>
    </w:p>
    <w:p>
      <w:pPr>
        <w:jc w:val="both"/>
        <w:ind w:firstLine="757"/>
        <w:spacing w:after="0" w:line="246"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including the agreements and arrangements referenced herein, constitutes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entire agreement between the Parties and supersedes all prior agreements and understandings, whether written or oral, relating to the subject matter of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day and year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Kim Hazen</w:t>
            </w:r>
          </w:p>
        </w:tc>
        <w:tc>
          <w:tcPr>
            <w:tcW w:w="6180" w:type="dxa"/>
            <w:vAlign w:val="bottom"/>
          </w:tcPr>
          <w:p>
            <w:pPr>
              <w:spacing w:after="0"/>
              <w:rPr>
                <w:sz w:val="24"/>
                <w:szCs w:val="24"/>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Kim Hazen</w:t>
            </w:r>
          </w:p>
        </w:tc>
        <w:tc>
          <w:tcPr>
            <w:tcW w:w="6180" w:type="dxa"/>
            <w:vAlign w:val="bottom"/>
          </w:tcPr>
          <w:p>
            <w:pPr>
              <w:spacing w:after="0"/>
              <w:rPr>
                <w:sz w:val="24"/>
                <w:szCs w:val="24"/>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Chief People Officer</w:t>
            </w:r>
          </w:p>
        </w:tc>
        <w:tc>
          <w:tcPr>
            <w:tcW w:w="6180" w:type="dxa"/>
            <w:vAlign w:val="bottom"/>
          </w:tcPr>
          <w:p>
            <w:pPr>
              <w:spacing w:after="0"/>
              <w:rPr>
                <w:sz w:val="24"/>
                <w:szCs w:val="24"/>
                <w:color w:val="auto"/>
              </w:rPr>
            </w:pPr>
          </w:p>
        </w:tc>
      </w:tr>
      <w:tr>
        <w:trPr>
          <w:trHeight w:val="749"/>
        </w:trPr>
        <w:tc>
          <w:tcPr>
            <w:tcW w:w="5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w:t>
            </w:r>
          </w:p>
        </w:tc>
        <w:tc>
          <w:tcPr>
            <w:tcW w:w="6180" w:type="dxa"/>
            <w:vAlign w:val="bottom"/>
          </w:tcPr>
          <w:p>
            <w:pPr>
              <w:spacing w:after="0"/>
              <w:rPr>
                <w:sz w:val="24"/>
                <w:szCs w:val="24"/>
                <w:color w:val="auto"/>
              </w:rPr>
            </w:pPr>
          </w:p>
        </w:tc>
      </w:tr>
      <w:tr>
        <w:trPr>
          <w:trHeight w:val="487"/>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Patrick Horn</w:t>
            </w:r>
          </w:p>
        </w:tc>
        <w:tc>
          <w:tcPr>
            <w:tcW w:w="6180" w:type="dxa"/>
            <w:vAlign w:val="bottom"/>
          </w:tcPr>
          <w:p>
            <w:pPr>
              <w:spacing w:after="0"/>
              <w:rPr>
                <w:sz w:val="24"/>
                <w:szCs w:val="24"/>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Patrick Horn</w:t>
            </w:r>
          </w:p>
        </w:tc>
        <w:tc>
          <w:tcPr>
            <w:tcW w:w="6180" w:type="dxa"/>
            <w:vAlign w:val="bottom"/>
          </w:tcPr>
          <w:p>
            <w:pPr>
              <w:spacing w:after="0"/>
              <w:rPr>
                <w:sz w:val="24"/>
                <w:szCs w:val="24"/>
                <w:color w:val="auto"/>
              </w:rPr>
            </w:pPr>
          </w:p>
        </w:tc>
      </w:tr>
      <w:tr>
        <w:trPr>
          <w:trHeight w:val="1000"/>
        </w:trPr>
        <w:tc>
          <w:tcPr>
            <w:tcW w:w="11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9" w:name="page90"/>
    <w:bookmarkEnd w:id="8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Alex C. Sapir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0" w:name="page91"/>
    <w:bookmarkEnd w:id="9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Alan Musso</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2024,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 C. Sapir</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2024,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34290</wp:posOffset>
            </wp:positionV>
            <wp:extent cx="32746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Alan Musso</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lowerRoman"/>
      <w:start w:val="1"/>
    </w:lvl>
  </w:abstractNum>
  <w:abstractNum w:abstractNumId="6">
    <w:nsid w:val="2463B9EA"/>
    <w:multiLevelType w:val="hybridMultilevel"/>
    <w:lvl w:ilvl="0">
      <w:lvlJc w:val="left"/>
      <w:lvlText w:val="(%1)"/>
      <w:numFmt w:val="lowerRoman"/>
      <w:start w:val="3"/>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4"/>
    </w:lvl>
  </w:abstractNum>
  <w:abstractNum w:abstractNumId="48">
    <w:nsid w:val="15B5AF5C"/>
    <w:multiLevelType w:val="hybridMultilevel"/>
    <w:lvl w:ilvl="0">
      <w:lvlJc w:val="left"/>
      <w:lvlText w:val="%1"/>
      <w:numFmt w:val="lowerLetter"/>
      <w:start w:val="1"/>
    </w:lvl>
    <w:lvl w:ilvl="1">
      <w:lvlJc w:val="left"/>
      <w:lvlText w:val="(%2)"/>
      <w:numFmt w:val="lowerLetter"/>
      <w:start w:val="1"/>
    </w:lvl>
  </w:abstractNum>
  <w:abstractNum w:abstractNumId="49">
    <w:nsid w:val="741226BB"/>
    <w:multiLevelType w:val="hybridMultilevel"/>
    <w:lvl w:ilvl="0">
      <w:lvlJc w:val="left"/>
      <w:lvlText w:val="(%1)"/>
      <w:numFmt w:val="lowerLetter"/>
      <w:start w:val="9"/>
    </w:lvl>
    <w:lvl w:ilvl="1">
      <w:lvlJc w:val="left"/>
      <w:lvlText w:val="(%2)"/>
      <w:numFmt w:val="lowerLetter"/>
      <w:start w:val="4"/>
    </w:lvl>
  </w:abstractNum>
  <w:abstractNum w:abstractNumId="50">
    <w:nsid w:val="D34B6A8"/>
    <w:multiLevelType w:val="hybridMultilevel"/>
    <w:lvl w:ilvl="0">
      <w:lvlJc w:val="left"/>
      <w:lvlText w:val="(%1)"/>
      <w:numFmt w:val="lowerLetter"/>
      <w:start w:val="5"/>
    </w:lvl>
  </w:abstractNum>
  <w:abstractNum w:abstractNumId="51">
    <w:nsid w:val="10233C99"/>
    <w:multiLevelType w:val="hybridMultilevel"/>
    <w:lvl w:ilvl="0">
      <w:lvlJc w:val="left"/>
      <w:lvlText w:val="%1."/>
      <w:numFmt w:val="decimal"/>
      <w:start w:val="5"/>
    </w:lvl>
  </w:abstractNum>
  <w:abstractNum w:abstractNumId="52">
    <w:nsid w:val="3F6AB60F"/>
    <w:multiLevelType w:val="hybridMultilevel"/>
    <w:lvl w:ilvl="0">
      <w:lvlJc w:val="left"/>
      <w:lvlText w:val="(%1)"/>
      <w:numFmt w:val="lowerLetter"/>
      <w:start w:val="1"/>
    </w:lvl>
    <w:lvl w:ilvl="1">
      <w:lvlJc w:val="left"/>
      <w:lvlText w:val="(%2)"/>
      <w:numFmt w:val="lowerRoman"/>
      <w:start w:val="1"/>
    </w:lvl>
  </w:abstractNum>
  <w:abstractNum w:abstractNumId="53">
    <w:nsid w:val="61574095"/>
    <w:multiLevelType w:val="hybridMultilevel"/>
    <w:lvl w:ilvl="0">
      <w:lvlJc w:val="left"/>
      <w:lvlText w:val="%1"/>
      <w:numFmt w:val="lowerLetter"/>
      <w:start w:val="1"/>
    </w:lvl>
    <w:lvl w:ilvl="1">
      <w:lvlJc w:val="left"/>
      <w:lvlText w:val="(%2)"/>
      <w:numFmt w:val="lowerRoman"/>
      <w:start w:val="3"/>
    </w:lvl>
  </w:abstractNum>
  <w:abstractNum w:abstractNumId="54">
    <w:nsid w:val="7E0C57B1"/>
    <w:multiLevelType w:val="hybridMultilevel"/>
    <w:lvl w:ilvl="0">
      <w:lvlJc w:val="left"/>
      <w:lvlText w:val="(%1)"/>
      <w:numFmt w:val="lowerLetter"/>
      <w:start w:val="3"/>
    </w:lvl>
    <w:lvl w:ilvl="1">
      <w:lvlJc w:val="left"/>
      <w:lvlText w:val="(%2)"/>
      <w:numFmt w:val="lowerRoman"/>
      <w:start w:val="1"/>
    </w:lvl>
  </w:abstractNum>
  <w:abstractNum w:abstractNumId="55">
    <w:nsid w:val="77AE35EB"/>
    <w:multiLevelType w:val="hybridMultilevel"/>
    <w:lvl w:ilvl="0">
      <w:lvlJc w:val="left"/>
      <w:lvlText w:val="%1."/>
      <w:numFmt w:val="decimal"/>
      <w:start w:val="7"/>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
      <w:numFmt w:val="bullet"/>
      <w:start w:val="1"/>
    </w:lvl>
    <w:lvl w:ilvl="1">
      <w:lvlJc w:val="left"/>
      <w:lvlText w:val="(%2)"/>
      <w:numFmt w:val="lowerLetter"/>
      <w:start w:val="4"/>
    </w:lvl>
  </w:abstractNum>
  <w:abstractNum w:abstractNumId="58">
    <w:nsid w:val="5FF87E05"/>
    <w:multiLevelType w:val="hybridMultilevel"/>
    <w:lvl w:ilvl="0">
      <w:lvlJc w:val="left"/>
      <w:lvlText w:val="(%1)"/>
      <w:numFmt w:val="lowerLetter"/>
      <w:start w:val="25"/>
    </w:lvl>
    <w:lvl w:ilvl="1">
      <w:lvlJc w:val="left"/>
      <w:lvlText w:val="%2."/>
      <w:numFmt w:val="decimal"/>
      <w:start w:val="8"/>
    </w:lvl>
  </w:abstractNum>
  <w:abstractNum w:abstractNumId="59">
    <w:nsid w:val="2F305DEF"/>
    <w:multiLevelType w:val="hybridMultilevel"/>
    <w:lvl w:ilvl="0">
      <w:lvlJc w:val="left"/>
      <w:lvlText w:val="(%1)"/>
      <w:numFmt w:val="lowerLetter"/>
      <w:start w:val="1"/>
    </w:lvl>
    <w:lvl w:ilvl="1">
      <w:lvlJc w:val="left"/>
      <w:lvlText w:val="(%2)"/>
      <w:numFmt w:val="lowerRoman"/>
      <w:start w:val="1"/>
    </w:lvl>
  </w:abstractNum>
  <w:abstractNum w:abstractNumId="60">
    <w:nsid w:val="25A70BF7"/>
    <w:multiLevelType w:val="hybridMultilevel"/>
    <w:lvl w:ilvl="0">
      <w:lvlJc w:val="left"/>
      <w:lvlText w:val="(%1)"/>
      <w:numFmt w:val="lowerRoman"/>
      <w:start w:val="2"/>
    </w:lvl>
  </w:abstractNum>
  <w:abstractNum w:abstractNumId="61">
    <w:nsid w:val="1DBABF00"/>
    <w:multiLevelType w:val="hybridMultilevel"/>
    <w:lvl w:ilvl="0">
      <w:lvlJc w:val="left"/>
      <w:lvlText w:val="(%1)"/>
      <w:numFmt w:val="lowerLetter"/>
      <w:start w:val="3"/>
    </w:lvl>
  </w:abstractNum>
  <w:abstractNum w:abstractNumId="62">
    <w:nsid w:val="4AD084E9"/>
    <w:multiLevelType w:val="hybridMultilevel"/>
    <w:lvl w:ilvl="0">
      <w:lvlJc w:val="left"/>
      <w:lvlText w:val="(%1)"/>
      <w:numFmt w:val="lowerRoman"/>
      <w:start w:val="1"/>
    </w:lvl>
  </w:abstractNum>
  <w:abstractNum w:abstractNumId="63">
    <w:nsid w:val="1F48EAA1"/>
    <w:multiLevelType w:val="hybridMultilevel"/>
    <w:lvl w:ilvl="0">
      <w:lvlJc w:val="left"/>
      <w:lvlText w:val="%1."/>
      <w:numFmt w:val="decimal"/>
      <w:start w:val="9"/>
    </w:lvl>
  </w:abstractNum>
  <w:abstractNum w:abstractNumId="64">
    <w:nsid w:val="1381823A"/>
    <w:multiLevelType w:val="hybridMultilevel"/>
    <w:lvl w:ilvl="0">
      <w:lvlJc w:val="left"/>
      <w:lvlText w:val="%1."/>
      <w:numFmt w:val="decimal"/>
      <w:start w:val="12"/>
    </w:lvl>
  </w:abstractNum>
  <w:abstractNum w:abstractNumId="65">
    <w:nsid w:val="5DB70AE5"/>
    <w:multiLevelType w:val="hybridMultilevel"/>
    <w:lvl w:ilvl="0">
      <w:lvlJc w:val="left"/>
      <w:lvlText w:val="%1."/>
      <w:numFmt w:val="decimal"/>
      <w:start w:val="20"/>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186" Type="http://schemas.openxmlformats.org/officeDocument/2006/relationships/hyperlink" Target="https://www.sec.gov/Archives/edgar/data/0001680581/000104746919004324/a2239321zex-3_1.htm" TargetMode="External"/><Relationship Id="rId187" Type="http://schemas.openxmlformats.org/officeDocument/2006/relationships/hyperlink" Target="https://www.sec.gov/Archives/edgar/data/1680581/000119312523164435/d463131dex31.htm" TargetMode="External"/><Relationship Id="rId188" Type="http://schemas.openxmlformats.org/officeDocument/2006/relationships/hyperlink" Target="https://www.sec.gov/Archives/edgar/data/0001680581/000104746919004324/a2239321zex-3_2.htm" TargetMode="External"/><Relationship Id="rId189" Type="http://schemas.openxmlformats.org/officeDocument/2006/relationships/hyperlink" Target="https://www.sec.gov/Archives/edgar/data/1680581/000119312524048095/d785884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2024-05-13T06:25:05Z</dcterms:created>
  <dcterms:modified xsi:type="dcterms:W3CDTF">2024-05-13T06:25:05Z</dcterms:modified>
</cp:coreProperties>
</file>