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 14a-12</w:t>
      </w: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FULCRUM THERAPEUTICS,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208280</wp:posOffset>
            </wp:positionV>
            <wp:extent cx="202311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June 8, 2022</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You are cordially invited to virtually attend the 2022 annual meeting of stockholders, or the Annual Meeting, of Fulcrum Therapeutics, Inc. The Annual Meeting will be held via the Internet at a virtual audio web conference at www.proxydocs.com/FULC on Wednesday, June 8, 2022 at 9:00 a.m., Eastern time.</w:t>
      </w:r>
    </w:p>
    <w:p>
      <w:pPr>
        <w:spacing w:after="0" w:line="176"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Only stockholders who owned shares of our common stock at the close of business on April 11, 2022 are entitled to notice of and to vote at the Annual Meeting or any adjournment or postponement thereof. At the Annual Meeting, the stockholders will consider and vote on the following matters:</w:t>
      </w:r>
    </w:p>
    <w:p>
      <w:pPr>
        <w:spacing w:after="0" w:line="45" w:lineRule="exact"/>
        <w:rPr>
          <w:sz w:val="20"/>
          <w:szCs w:val="20"/>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Class III directors, Katina Dorton, Robert Gould and Kate Haviland, as nominated by our board of directors, each to serve for a three-year term expiring at the 2025 annual meeting of stockholders;</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our independent registered public accounting firm for the fiscal year ending December 31, 2022;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of any other business that may properly come before the Annual Meeting or any adjournment or postponement thereof.</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Tuesday, June 7, 2022 at 5:00 p.m., Eastern time. Upon completing your registration, you will receive further instructions via email, including your unique links that will allow you to attend the Annual Meeting, vote your shares and submit questions. We believe that hosting a “virtual meeting” will enable greater stockholder attendance and participation from any location around the world.</w:t>
      </w:r>
    </w:p>
    <w:p>
      <w:pPr>
        <w:spacing w:after="0" w:line="189"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You can find more information, including the nominees for director, in the proxy statement for the Annual Meeting, which is available for viewing, printing and downloading at www.proxydocs.com/FULC. The board of directors recommends that you vote “FOR” each of the Class III director nominees (Proposal 1) and “FOR” the ratification of the appointment of the proposed independent registered public accounting firm (Proposal 2) as outlined in the attached proxy statement.</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pleased to comply with the rules of the Securities and Exchange Commission, or SEC, that allow companies to distribute their proxy materials over the Internet under the “notice and access” approach. As a result, we are sending to our stockholders a Notice of Internet Availability of Proxy Materials, or the Notice of Availability, instead of a paper copy of this proxy statement and our annual report for the fiscal year ended December 31, 2021, or the 2021 Annual Report. We will mail the Notice of Availability on or about April 28, 2022, and the Notice of Availability contains instructions on how to access our proxy materials over the Internet. The Notice of Availability also contains instructions on how each of our stockholders can receive a paper copy of our proxy materials, including the proxy statement, our 2021 Annual Report, and a form of proxy card.</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Your vote is important regardless of the number of shares you own. Whether or not you expect to virtually attend the Annual Meeting online, please vote your shares to ensure your representation and the presence of a quorum at the Annual Meeting. If you are a stockholder of record, you may vote your shares prior to the Annual Meeting on the Internet by visiting www.proxypush.com/FULC, by telephone by calling 866-390-9953 and following the recorded instructions, or by completing, signing, dating, and returning a proxy card. If you mail your proxy card or vote by telephone or the Internet and then decide to attend the Annual Meeting and vote your shares online during the Annual Meeting, you may still do so. Your proxy is revocable in accordance with the procedures set forth in the proxy statement.</w:t>
      </w:r>
    </w:p>
    <w:p>
      <w:pPr>
        <w:spacing w:after="0" w:line="18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bank, broker or other nominee, you will receive instructions from the bank, broker or other nominee that you must follow for your shares to be voted. Stockholders that hold shares in “street name” must demonstrate proof of beneficial ownership to virtually attend the Annual Meeting and must obtain a legal proxy from their bank, broker or other nominee to vote during the Annual Meeting.</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43180</wp:posOffset>
            </wp:positionV>
            <wp:extent cx="2297430"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743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Bryan Stuart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Cambridge, MA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Internet Availability of Proxy Materials: </w:t>
      </w:r>
      <w:r>
        <w:rPr>
          <w:rFonts w:ascii="Times New Roman" w:cs="Times New Roman" w:eastAsia="Times New Roman" w:hAnsi="Times New Roman"/>
          <w:sz w:val="18"/>
          <w:szCs w:val="18"/>
          <w:color w:val="auto"/>
        </w:rPr>
        <w:t>The attached proxy statement and our 2021 Annual Report, which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annual report on Form 10-K for the fiscal year ended December 31, 2021, are available for viewing, printing and downloading at www.proxydocs.com/FULC. These documents are also available to any stockholder who wishes to receive a paper copy upon written request to Fulcrum Therapeutics, Inc., 26 Landsdowne Street, Cambridge, Massachusetts 02139. This proxy statement and our annual report on Form 10-K for the fiscal year ended December 31, 2021 are also available on the SEC’s website at http://www.sec.gov.</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INFORMATION CONCERNING SOLICITATION AND VOTING</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IMPORTANT INFORMATION ABOUT THE ANNUAL MEETING AND VOTING</w:t>
            </w:r>
          </w:p>
        </w:tc>
        <w:tc>
          <w:tcPr>
            <w:tcW w:w="446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5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PROPOSAL NO. 1—ELECTION OF THREE CLASS III DIRECTORS</w:t>
            </w:r>
          </w:p>
        </w:tc>
        <w:tc>
          <w:tcPr>
            <w:tcW w:w="542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PROPOSAL 2—RATIFICATION OF THE APPOINTMENT OF ERNST &amp; YOUNG LLP AS OUR INDEPENDENT REGISTERED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PUBLIC ACCOUNTING FIRM FOR THE FISCAL YEAR ENDING DECEMBER 31, 2022</w:t>
            </w:r>
          </w:p>
        </w:tc>
        <w:tc>
          <w:tcPr>
            <w:tcW w:w="278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832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12"/>
        </w:trPr>
        <w:tc>
          <w:tcPr>
            <w:tcW w:w="38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68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3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TRANSACTIONS WITH RELATED PERSONS</w:t>
            </w:r>
          </w:p>
        </w:tc>
        <w:tc>
          <w:tcPr>
            <w:tcW w:w="710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2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PRINCIPAL STOCKHOLDERS</w:t>
            </w:r>
          </w:p>
        </w:tc>
        <w:tc>
          <w:tcPr>
            <w:tcW w:w="828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4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HOUSEHOLDING</w:t>
            </w:r>
          </w:p>
        </w:tc>
        <w:tc>
          <w:tcPr>
            <w:tcW w:w="4260" w:type="dxa"/>
            <w:vAlign w:val="bottom"/>
            <w:tcBorders>
              <w:top w:val="single" w:sz="8" w:color="0000EE"/>
            </w:tcBorders>
            <w:gridSpan w:val="8"/>
          </w:tcPr>
          <w:p>
            <w:pPr>
              <w:spacing w:after="0"/>
              <w:rPr>
                <w:sz w:val="24"/>
                <w:szCs w:val="24"/>
                <w:color w:val="auto"/>
              </w:rPr>
            </w:pPr>
          </w:p>
        </w:tc>
        <w:tc>
          <w:tcPr>
            <w:tcW w:w="49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STOCKHOLDER PROPOSALS FOR OUR 2023 ANNUAL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5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540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208280</wp:posOffset>
            </wp:positionV>
            <wp:extent cx="202311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June 8, 2022</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This proxy statement contains information about the Annual Meeting of Stockholders of Fulcrum Therapeutics, Inc., or the Annual Meeting, to be held on Wednesday, June 8, 2022 at 9:00 a.m., Eastern time. The Annual Meeting will be held via the Internet at www.proxydocs.com/FULC. There will not be a physical meeting location, and stockholders will not be able to attend the Annual Meeting in person. Further information about how to attend the Annual Meeting online is included in this proxy statement.</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of directors of Fulcrum is using this proxy statement to solicit proxies for use at the Annual Meeting. In this proxy statement, unless expressly stated otherwise or the context otherwise requires, references to “Fulcrum,” “the Company,” “we,” “us,” “our” and similar terms refer to Fulcrum Therapeutics, Inc. References to our website are inactive textual references only and the contents of our website are not incorporated by reference into this proxy statement.</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shares represented by the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Securities and Exchange Commission’s, or SEC’s, “notice and access” rules. As a result, we are mailing to our stockholders a Notice of Internet Availability of Proxy Materials, or Notice of Availability, instead of a paper copy of this proxy statement and our annual report for the fiscal year ended December 31, 2021, or the 2021 Annual Report. We are sending the Notice of Availability on or about April 28, 2022, and it contains instructions on how to access those documents over the Internet. The Notice of Availability also contains instructions on how each of our stockholders can receive a paper copy of our proxy materials, including this proxy statement, our 2021 Annual Report, and a form of proxy card.</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8, 2022:</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statement and our 2021 Annual Report are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available for viewing, printing and downloading at www.proxydocs.com/FULC.</w:t>
      </w:r>
    </w:p>
    <w:p>
      <w:pPr>
        <w:spacing w:after="0" w:line="95"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2021, as filed with the SEC except for exhibits, will be furnished without charge to any stockholder upon written request to Fulcrum Therapeutics, Inc., 26 Landsdowne Street, Cambridge, Massachusetts 02139. This proxy statement and our annual report on Form 10-K for the fiscal year ended December 31, 2021 are also available on the SEC’s website at http://www.sec.gov.</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Annual Meeting, our stockholders will consider and vote on the following matters:</w:t>
      </w:r>
    </w:p>
    <w:p>
      <w:pPr>
        <w:spacing w:after="0" w:line="131" w:lineRule="exact"/>
        <w:rPr>
          <w:sz w:val="20"/>
          <w:szCs w:val="20"/>
          <w:color w:val="auto"/>
        </w:rPr>
      </w:pPr>
    </w:p>
    <w:p>
      <w:pPr>
        <w:ind w:left="1080" w:right="1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III directors, Katina Dorton, Robert Gould and Kate Haviland, as nominated by our board of directors, each to serve for a three-year term expiring at the 2025 annual meeting of stockholders;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2022;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any other business that may properly come before the annual meeting or any adjournment or postponement thereof.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meeting other than the first two items noted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w:t>
      </w:r>
    </w:p>
    <w:p>
      <w:pPr>
        <w:spacing w:after="0" w:line="22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three nominees to serve as Class III directors on our board of directors, each for a three-year term expiring at the 2025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and</w:t>
      </w:r>
    </w:p>
    <w:p>
      <w:pPr>
        <w:spacing w:after="0" w:line="155"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2022.</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proxy materials, including this proxy statement, a proxy card and our 2021 Annual Report are available for viewing, printing and downloading on the Internet at www.proxydocs.com/FULC. If you would like to receive a paper copy of our proxy materials, you should follow the instructions for requesting paper materials in the Notice of Availability.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of April 11, 2022 are entitled to receive notice of the Annual Meeting and to vote the shares of our common stock that they held on that date. As of April 11, 2022, there were 40,817,861 shares of our common stock issued and outstanding. Each share of common stock is entitled to one vote on each matter properly brought before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 Between a “Stockholder of Record” and a Beneficial Owner of Shares Held in “Street Name”</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your shares are registered directly in your name with our transfer agent, Computershare Trust Company, then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“stockholder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below.</w:t>
      </w:r>
    </w:p>
    <w:p>
      <w:pPr>
        <w:spacing w:after="0" w:line="180"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i w:val="1"/>
          <w:iCs w:val="1"/>
          <w:color w:val="auto"/>
        </w:rPr>
        <w:t>Beneficial Owner of Shares Held in Street Name</w:t>
      </w:r>
      <w:r>
        <w:rPr>
          <w:rFonts w:ascii="Times New Roman" w:cs="Times New Roman" w:eastAsia="Times New Roman" w:hAnsi="Times New Roman"/>
          <w:sz w:val="18"/>
          <w:szCs w:val="18"/>
          <w:color w:val="auto"/>
        </w:rPr>
        <w:t>. If your shares are held by a bank, broker or other nominee, then you are considered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those shares, which are held in “street name.” In this case, your Notice of Availability will be sent to you by that organization. The organization holding your shares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Full Set of Proxy Materials?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pleased to comply with the SEC rules that allow companies to distribute their proxy materials over the Internet under the “notice and access” approach. As a result, are sending our stockholders and beneficial owners of our common stock a copy of the Notice of Availability instead of paper copies of this proxy statement, our proxy card, and our 2021 Annual Report. We will send the Notice of Availability on or about April 28, 2022. Detailed instructions on how to access these materials via the Internet may be found in the Notice of Availability. This proxy statement and our 2021 Annual Report are available for viewing, printing and downloading on the Internet at www.proxydocs.com/FULC.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Annual Meeting a Virtual, Online Meeting?</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The Annual Meeting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safely participate from any location around the world. Our virtual meeting will be governed by our Rules of Conduct and Procedures, which will be posted at </w:t>
      </w:r>
      <w:r>
        <w:rPr>
          <w:rFonts w:ascii="Times New Roman" w:cs="Times New Roman" w:eastAsia="Times New Roman" w:hAnsi="Times New Roman"/>
          <w:sz w:val="18"/>
          <w:szCs w:val="18"/>
          <w:u w:val="single" w:color="auto"/>
          <w:color w:val="auto"/>
        </w:rPr>
        <w:t>www.proxydocs</w:t>
      </w:r>
      <w:r>
        <w:rPr>
          <w:rFonts w:ascii="Times New Roman" w:cs="Times New Roman" w:eastAsia="Times New Roman" w:hAnsi="Times New Roman"/>
          <w:sz w:val="18"/>
          <w:szCs w:val="18"/>
          <w:color w:val="auto"/>
        </w:rPr>
        <w:t>.com/FULC in advance of the meeting. We have designed the virtual annual meeting to provide our stockholders with the same rights and opportunities to participate as stockholders would have at an in-person meeting, including the right to vote and ask questions during and shortly before the meeting through the virtual meeting platform.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Virtually Attend the Annual Meeting</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Annual Meeting will be a virtual meeting and you may not attend in person. In order to attend the meeting online, you must register in advance at www.proxydocs.com/FULC prior to the deadline of June 7, 2022 at 5:00 p.m., Eastern time. You may attend the Annual Meeting online by following the instructions that you will receive once your registration is complete.</w:t>
      </w:r>
    </w:p>
    <w:p>
      <w:pPr>
        <w:spacing w:after="0" w:line="17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Online registration for the Annual Meeting will begin on April 28, 2022, and you should allow ample time for the online registration. Upon completing your registration, you will receive further instructions via email, including your unique link that will allow you access to the meeting and you will have the ability to submit questions. Please be sure to following the instructions you will receive once your registration is complete.</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Annual Meeting will start at 9:00 a.m., Eastern time, on June 8, 2022. You may log on to the virtual meeting starting one hour before it begins. We will have technicians standing by and ready to assist you with any technical difficulties you may have accessing the virtual meeting starting at 8:00 a.m., Eastern time, on June 8, 2022. If you encounter any difficulties accessing the virtual Annual Meeting, please contact technical support by following the instructions provided to you upon registration for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17"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If you are the stockholder of record of your shares</w:t>
      </w:r>
      <w:r>
        <w:rPr>
          <w:rFonts w:ascii="Times New Roman" w:cs="Times New Roman" w:eastAsia="Times New Roman" w:hAnsi="Times New Roman"/>
          <w:sz w:val="18"/>
          <w:szCs w:val="18"/>
          <w:color w:val="auto"/>
        </w:rPr>
        <w:t>, you can vote your shares by proxy prior to the Annual Meeting or online during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If you choose to vote by proxy prior to the Annual Meeting, you may do so by telephone, via the Internet or by mail as follows:</w:t>
      </w:r>
    </w:p>
    <w:p>
      <w:pPr>
        <w:spacing w:after="0" w:line="62"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 Prior to the Annual Meeting</w:t>
      </w:r>
      <w:r>
        <w:rPr>
          <w:rFonts w:ascii="Times New Roman" w:cs="Times New Roman" w:eastAsia="Times New Roman" w:hAnsi="Times New Roman"/>
          <w:sz w:val="18"/>
          <w:szCs w:val="18"/>
          <w:color w:val="auto"/>
        </w:rPr>
        <w:t>. You may transmit your proxy prior to the Annual Meeting over the phone by calling</w:t>
      </w:r>
    </w:p>
    <w:p>
      <w:pPr>
        <w:spacing w:after="0" w:line="29" w:lineRule="exact"/>
        <w:rPr>
          <w:rFonts w:ascii="Times New Roman" w:cs="Times New Roman" w:eastAsia="Times New Roman" w:hAnsi="Times New Roman"/>
          <w:sz w:val="18"/>
          <w:szCs w:val="18"/>
          <w:color w:val="auto"/>
        </w:rPr>
      </w:pPr>
    </w:p>
    <w:p>
      <w:pPr>
        <w:ind w:left="1080"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866-390-9953 and following the instructions provided in the Notice of Availability and on the proxy card. You will need to have your Notice of Availability or proxy card in hand when you call.</w:t>
      </w:r>
    </w:p>
    <w:p>
      <w:pPr>
        <w:spacing w:after="0" w:line="84"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 Prior to the Annual Meeting</w:t>
      </w:r>
      <w:r>
        <w:rPr>
          <w:rFonts w:ascii="Times New Roman" w:cs="Times New Roman" w:eastAsia="Times New Roman" w:hAnsi="Times New Roman"/>
          <w:sz w:val="18"/>
          <w:szCs w:val="18"/>
          <w:color w:val="auto"/>
        </w:rPr>
        <w:t>. You may transmit your proxy via the Internet prior to the Annual Meeting by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provided in the Notice of Availability and on the proxy card. You will need to have your Notice of Availability or proxy card in hand when you access the website. The website for voting is available at www.proxypush.com/FULC.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480" w:hanging="424"/>
        <w:spacing w:after="0" w:line="284"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 Prior to the Annual Meeting</w:t>
      </w:r>
      <w:r>
        <w:rPr>
          <w:rFonts w:ascii="Times New Roman" w:cs="Times New Roman" w:eastAsia="Times New Roman" w:hAnsi="Times New Roman"/>
          <w:sz w:val="18"/>
          <w:szCs w:val="18"/>
          <w:color w:val="auto"/>
        </w:rPr>
        <w:t>. If you requested printed copies of proxy materials, you can vote by mailing your proxy card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proxy materials.</w:t>
      </w:r>
    </w:p>
    <w:p>
      <w:pPr>
        <w:spacing w:after="0" w:line="63" w:lineRule="exact"/>
        <w:rPr>
          <w:rFonts w:ascii="Times New Roman" w:cs="Times New Roman" w:eastAsia="Times New Roman" w:hAnsi="Times New Roman"/>
          <w:sz w:val="18"/>
          <w:szCs w:val="18"/>
          <w:color w:val="auto"/>
        </w:rPr>
      </w:pPr>
    </w:p>
    <w:p>
      <w:pPr>
        <w:ind w:left="1080" w:right="10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Online during the Annual Meeting</w:t>
      </w:r>
      <w:r>
        <w:rPr>
          <w:rFonts w:ascii="Times New Roman" w:cs="Times New Roman" w:eastAsia="Times New Roman" w:hAnsi="Times New Roman"/>
          <w:sz w:val="18"/>
          <w:szCs w:val="18"/>
          <w:color w:val="auto"/>
        </w:rPr>
        <w:t>. In order to attend the Annual Meeting online and vote online during the Annual Meeting, you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in advance at www.proxydocs.com/FULC prior to the deadline of June 7, 2022 at 5:00 p.m., Eastern time. You may vote your shares online while virtually attending the Annual Meeting by following the instructions found on your Notice, proxy card and/or voting instruction form and subsequent instructions that will be delivered to you via email following your registration. If you vote by proxy prior to the Annual Meeting and choose to attend the Annual Meeting online, there is no need to vote again during the Annual Meeting unless you wish to change your vote.</w:t>
      </w:r>
    </w:p>
    <w:p>
      <w:pPr>
        <w:spacing w:after="0" w:line="18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Telephone and Internet voting for stockholders of record will be available until 11:59 p.m. Eastern time on June 7, 2022, and mailed proxy cards must be received by 11:59 p.m. Eastern time on June 7, 2022 in order to be counted at the Annual Meeting. If the Annual Meeting is adjourned or postponed, these deadlines may be extended.</w:t>
      </w:r>
    </w:p>
    <w:p>
      <w:pPr>
        <w:spacing w:after="0" w:line="1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If your shares are held in street name</w:t>
      </w:r>
      <w:r>
        <w:rPr>
          <w:rFonts w:ascii="Times New Roman" w:cs="Times New Roman" w:eastAsia="Times New Roman" w:hAnsi="Times New Roman"/>
          <w:sz w:val="18"/>
          <w:szCs w:val="18"/>
          <w:color w:val="auto"/>
        </w:rPr>
        <w:t>, your bank, broker or other nominee is required to vote the shares it holds on your behalf according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June 7, 2022 at 5:00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 of Internet Availability of Proxy Materials?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No. The Notice of Availability and proxy card contain instructions on how to vote by proxy via the Internet, by telephone, by requesting and returning a paper proxy card, or by voting online while virtually attending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Submit a Question at the Annual Meeting?</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If you wish to submit a question during the Annual Meeting, beginning at 8:45 a.m., Eastern time, on June 8, 2022, you may log into, and submit a question on, the virtual meeting platform using the unique link provided to you via email following the completion of your registration at www.proxydocs.com/FULC, and follow the instructions there. Our virtual meeting will be governed by our Rules of Conduct and Procedures, which will be posted at www.proxydocs.com/FULC in advance of the Annual Meeting. The Rules of Conduct and Procedures will address the ability of stockholders to ask questions during the meeting, including rules on permissible topics, and rules for how questions and comments will be recognized and disclosed to meeting participants.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See a List of Stockholders Entitled to Vote as of the Record Date?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list of stockholders as of the close of business on the record date will be available for examination by the stockholders during the Annual Meeting using the unique link provided via email following the completion of registration for the Annual Meeting. In addition, a list of our stockholders of record will be open for examination by any stockholder beginning ten days prior to the Annual Meeting. If you would like to view the list, please contact our corporate secretary to make arrangements by calling (617) 651-8851 or writing to our corporate secretary at 26 Landsdowne Street, Cambridge, Massachusetts 02139, Attention: Corporate Secretary.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7"/>
          <w:szCs w:val="17"/>
          <w:color w:val="auto"/>
        </w:rPr>
        <w:t>A quorum of stockholders is necessary to hold a valid meeting. Our amended and restated bylaws provide that a quorum will exist if holders of a majority of the shares of common stock issued and outstanding and entitled to vote at the meeting are present at the meeting in person or by proxy. Shares that are represented virtually during the Annual Meeting will be considered shares of common stock represented in person at the meeting for purposes of determining whether a quorum is present. If a quorum is not present, we expect to adjourn the Annual Meeting until a quorum is obtained.</w:t>
      </w:r>
    </w:p>
    <w:p>
      <w:pPr>
        <w:spacing w:after="0" w:line="16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Abstentions and broker non-votes count as present for establishing a quorum but will not be counted as votes cast. Broker non-votes occur when your bank, broker or other nominee submits a proxy for your shares (because the bank, broker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Ballot Measures Considered “Discretionary” and “Non-Discretionary”</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election of directors (Proposal No. 1) is a matter considered non-discretionary under applicable rules. A bank, broker or other nominee cannot vote without instructions on non-discretionary matters, and therefore there may be broker non-votes on Proposal No. 1.</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2022 (Proposal No. 2) is a matter considered discretionary under applicable rules. A bank, broker or other nominee generally may exercise discretionary authority and vote on discretionary matters. If they exercise this discretionary authority, no broker non-votes are expected in connection with Proposal No. 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Votes Required to Elect a Director and to Ratify Appointment of Ernst &amp; Young LLP</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 nominee will be elected as a director if the nominee receives a plurality of the votes cast by stockholders entitled to vote on the election (Proposal No. 1). Votes withheld and broker non-votes will not be counted as votes cast on Proposal No. 1. Accordingly, votes withheld and broker non-votes will have no have no effect on the voting on Proposal No. 1.</w:t>
      </w:r>
    </w:p>
    <w:p>
      <w:pPr>
        <w:spacing w:after="0" w:line="176"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2022 requires the affirmative vote of a majority of the shares of common stock present or represented by proxy and voted “for” or “against” such matter (Proposal No. 2).</w:t>
      </w:r>
    </w:p>
    <w:p>
      <w:pPr>
        <w:spacing w:after="0" w:line="176"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be counted as votes cast or voted on Proposal No. 2. Accordingly, abstentions and broker non-votes will have no effect on the voting on Proposal No. 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Method of Counting Votes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Each holder of common stock is entitled to one vote at the Annual Meeting on each matter to come before the Annual Meeting, including the election of directors, for each share held by such stockholder as of the record date. Votes cast online during the Annual Meeting or by proxy by mail, via the Internet or by telephone will be tabulated by the inspector of election appointed for the Annual Meeting, who will also determine whether a quorum is present.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a Proxy; Changing Your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and change your vote before the vote is taken at the Annual Meeting:</w:t>
      </w:r>
    </w:p>
    <w:p>
      <w:pPr>
        <w:spacing w:after="0" w:line="131" w:lineRule="exact"/>
        <w:rPr>
          <w:sz w:val="20"/>
          <w:szCs w:val="20"/>
          <w:color w:val="auto"/>
        </w:rPr>
      </w:pPr>
    </w:p>
    <w:p>
      <w:pPr>
        <w:ind w:left="1080" w:right="4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with a later date before the applicable deadline either signed and returned by mail or transmitted using the telephone or Internet voting procedures described in the “How to Vote” section above, in each case, prior to the Annual Meeting;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 using the procedures described in the “How to Vote” section above;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written revocation to our corporate secretary before the Annual Meeting.</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virtual attendance at the Annual Meeting, without voting online during the Annual Meeting, will not revoke your proxy.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of Proxy Solicitation</w:t>
      </w:r>
    </w:p>
    <w:p>
      <w:pPr>
        <w:spacing w:after="0" w:line="121"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We will bear the costs of soliciting proxies. Our directors, officers and regular employees, without additional remuneration, may solicit proxies by mail, telephone, facsimile, email, personal interviews and other means.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remain an emerging growth company until December 31, 2024, although if the market value of our common stock that is held by non-affiliates exceeds $700 million as of any June 30 before that time or if we have annual gross revenues of $1.07 billion or more in any fiscal year, we would cease to be an emerging growth company as of December 31 of the applicable year. We also would cease to be an emerging growth company if we issue more than $1 billion of non-convertible debt over a three-year period.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1—ELECTION OF THREE CLASS III DIRECTORS</w:t>
      </w:r>
    </w:p>
    <w:p>
      <w:pPr>
        <w:spacing w:after="0" w:line="22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with one vacancy in Class I. Effective April 18, 2022, Mark Levin resigned as a Class I member of the board of directors.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spacing w:after="0" w:line="85"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Alan Ezekowitz and Sonja Banks, and their term expires at the annual meeting of stockholders to be held in 2023;</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James Collins, James Geraghty and Bryan Stuart, and their term expires at the annual meeting of stockholders to be held in 2024;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Katina Dorton, Robert Gould and Kate Haviland, and their current term expires at the Annual Meeting.</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3"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Our board of directors has nominated Katina Dorton, Robert Gould, and Kate Haviland for election as Class III directors at the Annual Meeting. Proxies may not be voted for a greater number of persons than the number of nominees named in this proxy statement as only Class III is up for re-election at the Annual Meeting. Mr. Gould and Mses. Dorton and Haviland are all presently directors, and have indicated a willingness to continue to serve as directors, if elected, and management has no reason to believe that such nominees will be unavailable to serve. In the event the nominees are unable or decline to serve as directors at the time of the Annual Meeting, the proxies will be voted for any nominee who may be designated by the present board of directors to fill the vacancy. Unless otherwise instructed, the proxy holders will vote the proxies received by them FOR the nominees named below.</w:t>
      </w:r>
    </w:p>
    <w:p>
      <w:pPr>
        <w:spacing w:after="0" w:line="17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have no formal policy regarding board diversity, but our Corporate Governance Guidelines provide that the value of diversity should be considered and that the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Biographical information as of March 31, 2022, including principal occupation and business experience during the last five years, for our nominees for election as Class III directors at our Annual Meeting is set forth below.</w:t>
      </w:r>
    </w:p>
    <w:p>
      <w:pPr>
        <w:spacing w:after="0" w:line="15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Katina Dorton</w:t>
      </w:r>
      <w:r>
        <w:rPr>
          <w:rFonts w:ascii="Times New Roman" w:cs="Times New Roman" w:eastAsia="Times New Roman" w:hAnsi="Times New Roman"/>
          <w:sz w:val="18"/>
          <w:szCs w:val="18"/>
          <w:color w:val="auto"/>
        </w:rPr>
        <w:t>, age 64, has served on our board of directors since January 2020. Ms. Dorton has served as chief financial officer of Nodthera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company developing a new class of medicines to inhibit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72" w:lineRule="auto"/>
        <w:rPr>
          <w:sz w:val="20"/>
          <w:szCs w:val="20"/>
          <w:color w:val="auto"/>
        </w:rPr>
      </w:pPr>
      <w:r>
        <w:rPr>
          <w:rFonts w:ascii="Times New Roman" w:cs="Times New Roman" w:eastAsia="Times New Roman" w:hAnsi="Times New Roman"/>
          <w:sz w:val="17"/>
          <w:szCs w:val="17"/>
          <w:color w:val="auto"/>
        </w:rPr>
        <w:t>NLRP3 inflammasome in inflammatory diseases, since November 2020. Ms. Dorton previously served as executive vice president and chief financial officer at Repare Therapeutics, an oncology company focused on DNA damage repair and synthetic lethality, from April 2019 to December 2019 and prior to that, as chief financial officer at AVROBIO, Inc., a gene therapy company focused on rare disease, from August 2017 to December 2018.</w:t>
      </w:r>
    </w:p>
    <w:p>
      <w:pPr>
        <w:spacing w:after="0" w:line="2" w:lineRule="exact"/>
        <w:rPr>
          <w:sz w:val="20"/>
          <w:szCs w:val="20"/>
          <w:color w:val="auto"/>
        </w:rPr>
      </w:pPr>
    </w:p>
    <w:p>
      <w:pPr>
        <w:jc w:val="both"/>
        <w:ind w:left="120" w:right="220"/>
        <w:spacing w:after="0" w:line="265" w:lineRule="auto"/>
        <w:rPr>
          <w:sz w:val="20"/>
          <w:szCs w:val="20"/>
          <w:color w:val="auto"/>
        </w:rPr>
      </w:pPr>
      <w:r>
        <w:rPr>
          <w:rFonts w:ascii="Times New Roman" w:cs="Times New Roman" w:eastAsia="Times New Roman" w:hAnsi="Times New Roman"/>
          <w:sz w:val="17"/>
          <w:szCs w:val="17"/>
          <w:color w:val="auto"/>
        </w:rPr>
        <w:t>Ms. Dorton also served as chief financial officer of Immatics GmbH, a biotechnology company, from 2015 to 2017. Prior to that, she was a Managing Director at Morgan Stanley and a Managing Director at Needham &amp; Co. She also served as an attorney in private practice at Sullivan &amp; Cromwell.</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Ms. Dorton currently is on the board of directors of US Ecology, Inc., an environmental services company, and TScan Therapeutics, Inc., a clinical stage biotechnology company developing T cell therapies for patients with cancer. Ms. Dorton served on the board of directors of Pandion Therapeutics, Inc., a biopharmaceutical company, from December 2020 until its acquisition by Merck &amp; Co., Inc in April 2021. Ms. Dorton holds a J.D. from the University of Virginia School of Law, an M.B.A. from George Washington University and a B.A. from Duke University. We believe that Ms. Dorton’s extensive experience working with life sciences companies qualifies her to serve on our board of directors.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Robert J. Gould, Ph.D.</w:t>
      </w:r>
      <w:r>
        <w:rPr>
          <w:rFonts w:ascii="Times New Roman" w:cs="Times New Roman" w:eastAsia="Times New Roman" w:hAnsi="Times New Roman"/>
          <w:sz w:val="18"/>
          <w:szCs w:val="18"/>
          <w:color w:val="auto"/>
        </w:rPr>
        <w:t>, age 67, has served as a member of our board of directors since July 2016 and served as our president and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July 2016 to March 2021. Dr. Gould has served as an operating partner of Khosla Ventures since September 2021.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currently is on the board of directors of Hemoshear Therapeutics, Inc., a biotechnology company, Turnstone Biologics Corp, a biotechnology company, and Faeth Therapeutics, Inc., a biotechnology company. Dr. Gould served as a member of the board of directors of Epizyme from March 2010 to March 2016. Dr. Gould received a B.A. from Spring Arbor University and a Ph.D. from the University of Iowa and completed postdoctoral studies at the Johns Hopkins University. We believe that</w:t>
      </w:r>
    </w:p>
    <w:p>
      <w:pPr>
        <w:spacing w:after="0" w:line="3"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Dr. Gould’s extensive leadership experience in the life sciences industry and his extensive knowledge of our company based on his previous role as our chief executive officer qualify him to serve on our board of directors.</w:t>
      </w:r>
    </w:p>
    <w:p>
      <w:pPr>
        <w:spacing w:after="0" w:line="17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Kate Haviland</w:t>
      </w:r>
      <w:r>
        <w:rPr>
          <w:rFonts w:ascii="Times New Roman" w:cs="Times New Roman" w:eastAsia="Times New Roman" w:hAnsi="Times New Roman"/>
          <w:sz w:val="17"/>
          <w:szCs w:val="17"/>
          <w:color w:val="auto"/>
        </w:rPr>
        <w:t>, age 46, has served on our board of directors since June 2018, and as chair of the board since January 2022. Ms. Haviland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executive officer of Blueprint Medicines Corporation, or Blueprint, a precision therapy company, since April 2022. Prior to her serving as chief executive officer, Ms. Haviland served as chief operating officer of Blueprint from January 2019 to April 2022, and chief business officer of Blueprint from January 2016 to January 2019. Over this time, she served as the founding chair of the portfolio management team, formed and executed business development strategy, drove global capital investment plans, and played a key role in capital market financings. In addition, she worked to drive the transformative growth of Blueprint and support its evolution into a fully integrated business by developing and providing ongoing management of critical functions, including portfolio strategy, corporate development, commercial strategy, international, technical operations, corporate affairs, and information systems. Prior to that, from April 2014 to December 2015, Ms. Haviland served as vice president, rare diseases and oncology program leadership at Idera Pharmaceuticals, Inc., or Idera, a clinical-stage biopharmaceutical company,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a commercial-stage biopharmaceutical company, where she was responsible for product development and commercial planning and for cultivating relationships with key opinion leaders and patient advocacy groups. In addition, Ms. Haviland previously served as executive director of commercial development at PTC Therapeutics, Inc., a biopharmaceutical company, from March 2007 to June 2012 and held corporate development and project management roles at Genzyme, a biotechnology company, from July 2005 to April 2007.</w:t>
      </w: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Ms. Haviland received a B.A. from Wesleyan University with a double major in biochemistry/molecular biology and economics and an M.B.A. from Harvard Business School. We believe that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Ms. Haviland’s extensive experience working with life sciences companies and leadership within the biopharmaceutical industry qualifies her to serve on our board of directors.</w:t>
      </w:r>
    </w:p>
    <w:p>
      <w:pPr>
        <w:spacing w:after="0" w:line="15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Katina Dorton, Robert Gould, and Kate Haviland as Class III directors for a three-year term ending at the annual meeting of stockholders to be held in 2025.</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Biographical information as of March 31, 2022, including principal occupation and business experience during the last five years, for our directors continuing in office after the Annual Meeting is set forth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w:t>
      </w:r>
    </w:p>
    <w:p>
      <w:pPr>
        <w:spacing w:after="0" w:line="11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Sonja L. Banks</w:t>
      </w:r>
      <w:r>
        <w:rPr>
          <w:rFonts w:ascii="Times New Roman" w:cs="Times New Roman" w:eastAsia="Times New Roman" w:hAnsi="Times New Roman"/>
          <w:sz w:val="18"/>
          <w:szCs w:val="18"/>
          <w:color w:val="auto"/>
        </w:rPr>
        <w:t>, age 53, has served on our board of directors since December 2021. Ms. Banks has been the chief executive officer of the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Dyslexia Association since December 2018. Prior to that, Ms. Banks served in various leadership roles at the Sickle Cell Disease Association of America, Inc., or SCDAA, from May 2010 to December 2018, including as a senior advisor, president, and chief operating officer. Prior to joining the SCDAA, Ms. Banks was a director of community service and outreach at the St. Vincent’s Health System in Alabama from May 2007 to June 2010 and held key leadership roles at the United Negro College Fund and the United Way of Central Alabama from February 2000 to May 2007. Ms. Banks has previously served on the National Heart, Lung, and Blood Institute’s Sickle Cell Disease Advisory Committee, Community Health Charities Board, and the American Society of Hematology’s Sickle Cell Disease Coalition. Ms. Banks is currently the first vice chairman for the 6:52 Aids Project Foundation. Ms. Banks earned a B.A. in Political Science from the University of Alabama and an M.P.A. in Public Administration &amp; Business from Jacksonville State University. We believe Ms. Bank’s experience in the life sciences industry, in particular her knowledge and understanding regarding access, reimbursement and treatment options in sickle cell disease, among others, qualifies her to serve on our board of directors.</w:t>
      </w:r>
    </w:p>
    <w:p>
      <w:pPr>
        <w:spacing w:after="0" w:line="18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Alan Ezekowitz, MBChB, D.Phil</w:t>
      </w:r>
      <w:r>
        <w:rPr>
          <w:rFonts w:ascii="Times New Roman" w:cs="Times New Roman" w:eastAsia="Times New Roman" w:hAnsi="Times New Roman"/>
          <w:sz w:val="17"/>
          <w:szCs w:val="17"/>
          <w:color w:val="auto"/>
        </w:rPr>
        <w:t>, age 68, has served on our board of directors since December 2016. Dr. Ezekowitz has served as a venture partner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Third Rock Ventures, LLC since December 2019. Dr. Ezekowitz served as the president and chief executive 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Research Laboratories, or Merck, a healthcare company, from March 2006 to March 2011. Dr. Ezekowitz currently is on the board of directors of Organon &amp; Co., a global healthcare company.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w:t>
      </w:r>
    </w:p>
    <w:p>
      <w:pPr>
        <w:spacing w:after="0" w:line="4"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w:t>
      </w:r>
    </w:p>
    <w:p>
      <w:pPr>
        <w:spacing w:after="0" w:line="117"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James J. Collins, Ph.D.</w:t>
      </w:r>
      <w:r>
        <w:rPr>
          <w:rFonts w:ascii="Times New Roman" w:cs="Times New Roman" w:eastAsia="Times New Roman" w:hAnsi="Times New Roman"/>
          <w:sz w:val="18"/>
          <w:szCs w:val="18"/>
          <w:color w:val="auto"/>
        </w:rPr>
        <w:t>, age 56, has served on our board of directors since January 2017. Dr. Collins has served as the Termeer Professor of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currently is on the board of directors of Orion Biotech Opportunities Corp. Dr. Collins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James Geraghty</w:t>
      </w:r>
      <w:r>
        <w:rPr>
          <w:rFonts w:ascii="Times New Roman" w:cs="Times New Roman" w:eastAsia="Times New Roman" w:hAnsi="Times New Roman"/>
          <w:sz w:val="18"/>
          <w:szCs w:val="18"/>
          <w:color w:val="auto"/>
        </w:rPr>
        <w:t>, age 67, has served on our board of directors since July 2016. Mr. Geraghty is an industry leader with over 30 years of strategic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experience. Mr. Geraghty currently serves as chairman of the board of directors of Orchard Therapeutics plc, Idera Pharmaceuticals, and Pieris Pharmaceuticals, Inc., each publicly traded companies, and as a member of the board of directors of Voyager Therapeutics, Inc., or Voyager, a publicly traded company. From May 2013 to December 2016, Mr. Geraghty was an Entrepreneur in Residence at Third Rock Ventures, a leading biotech venture and company-formation fund. From April 2011 to December 2012, Mr. Geraghty served as a senior vice president of Sanofi, a global healthcare company. Prior to that, he served in various senior management roles at Genzyme Corporation, or Genzyme, a biotechnology company, including as senior vice president, international development, president of Genzyme Europe, and chief executive officer of Genzyme Transgenics. He previously served as chairman of the board of Juniper Pharmaceuticals, Inc. and as a director of bluebird bio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18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Bryan Stuart</w:t>
      </w:r>
      <w:r>
        <w:rPr>
          <w:rFonts w:ascii="Times New Roman" w:cs="Times New Roman" w:eastAsia="Times New Roman" w:hAnsi="Times New Roman"/>
          <w:sz w:val="18"/>
          <w:szCs w:val="18"/>
          <w:color w:val="auto"/>
        </w:rPr>
        <w:t>, age 45, has served as our president and chief executive officer and as a member of our board of directors since March 2021, and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chief operating officer from December 2018 to March 2021. Prior to joining our company, Mr. Stuart served as president and chief executive officer of Yarra Therapeutics, LLC, or Yarra, from December 2017 to August 2018. Prior to joining Yarra, Mr. Stuart served as president of Kastle Therapeutics, LLC, or Kastle, from July 2015 to March 2017 and as president and chief executive officer from March 2017 to November 2017. Both Yarra and Kastle focused on developing therapies for rare diseases. Mr. Stuart was the chief business officer of Civitas Therapeutics, Inc., a biopharmaceutical company, from August 2012 to October 2014. He previously led business development, corporate development and strategy at EKR Therapeutics Inc. (acquired by Chiesi Farmaceutici S.p.A.) and Ovation Pharmaceuticals Inc. (acquired by Lundbeck A/S). Mr. Stuart began his career as a healthcare investment banker at William Blair &amp; Company. Mr. Stuart received an MBA from the Kellogg School of Management at Northwestern University and a B.S. from the University of Illinois. We believe that Mr. Stuart is qualified to serve on our board of directors due to his extensive knowledge of our company and his significant background in working with life sciences companies.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Biographical information as of March 31, 2022 for our executive officers who are not directors is listed below.</w:t>
      </w:r>
    </w:p>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Judith A. Dunn, Ph.D., </w:t>
      </w:r>
      <w:r>
        <w:rPr>
          <w:rFonts w:ascii="Times New Roman" w:cs="Times New Roman" w:eastAsia="Times New Roman" w:hAnsi="Times New Roman"/>
          <w:sz w:val="18"/>
          <w:szCs w:val="18"/>
          <w:color w:val="auto"/>
        </w:rPr>
        <w:t>age 59, has served as our president, research and development since April 2021. Dr. Dunn served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entrepreneur-in-residence at Atlas Venture, a venture capital firm, from June 2018 to March 2021, where she supported the development of new companies targeting areas of unmet need in neuroscience. Prior to joining Atlas Venture, she served as vice president, clinical development at F. Hoffman-La Roche AG, a healthcare company, from January 2013 to January 2018 and as the Head of Roche Innovation Center from 2013 to 2018. Dr. Dunn also served as the executive medical director, CNS clinical development (Ph I-III) at Sepracor, Inc. (now Sunovion Pharmaceuticals Inc.) from 2005 to 2010 and in a number of roles at Pfizer Inc. from 1997 to 2005. She supported the establishment of the Empire Discovery Institute, a New York State initiative to support progression of early stage research to clinical application. She has been a member of the board of directors of Eliem Therapeutics, Inc., a public traded company, since February 2021, and previously served as a member of the board of directors of Seelos Therapeutics, Inc., a publicly traded biopharmaceutical company, from May 2020 to August 2021. Dr. Dunn has also served as a member of the board of Evolution Research Group, a private company in the Linden Partners portfolio since August 2018. Dr. Dunn received a Postdoctoral Fellowship in New Drug Development from Pfizer Inc., a Training Fellowship in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Neuropharmacology from the Center for Brain Research, a Doctor of Philosophy, Developmental Neurobiology from Wesleyan University and a B.S. in Neurobiology from the University of Rochester.</w:t>
      </w:r>
    </w:p>
    <w:p>
      <w:pPr>
        <w:spacing w:after="0" w:line="15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J. Morabito, M.D., </w:t>
      </w:r>
      <w:r>
        <w:rPr>
          <w:rFonts w:ascii="Times New Roman" w:cs="Times New Roman" w:eastAsia="Times New Roman" w:hAnsi="Times New Roman"/>
          <w:sz w:val="18"/>
          <w:szCs w:val="18"/>
          <w:color w:val="auto"/>
        </w:rPr>
        <w:t>age 52, has served as our chief medical officer since May 2021. Prior to joining our company, Dr. Morabito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medical officer of Cardurion Pharmaeuticals, Inc., or Cardurion, a biotechnology company focused on developing therapeutics for the treatment of cardiovascular diseases, from July 2020 to May 2021. Prior to joining Cardurion, Dr. Morabito served as senior vice president and head of research and development for plasma-derived protein therapies at Takeda Pharmaceutical Company Limited, or Takeda from January 2019 to July 2020, vice president and head of research and development integration from May 2018 to December 2018, and vice president and head of portfolio strategy from October 2016 to May 2018. Prior to joining Takeda, Dr. Morabito served as senior director at Sanofi from April 2014 to January 2016, and as director at Merck &amp; Co. Inc. from October 2010 to April 2014. Dr. Morabito served as the chief of the division of neonatology at Lehigh Valley Hospital and Health Network from 2002 to 2007. And prior to that, Dr. Morabito served as a clinical instructor in pediatrics (neonatology) at UC San Francisco from 2001 to 2002. Dr. Morabito received a B.A. in Biology from Franklin and Marshall College, and a M.D. from Penn State University College of Medicine.</w:t>
      </w:r>
    </w:p>
    <w:p>
      <w:pPr>
        <w:spacing w:after="0" w:line="18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Curtis Oltmans, J.D.</w:t>
      </w:r>
      <w:r>
        <w:rPr>
          <w:rFonts w:ascii="Times New Roman" w:cs="Times New Roman" w:eastAsia="Times New Roman" w:hAnsi="Times New Roman"/>
          <w:sz w:val="18"/>
          <w:szCs w:val="18"/>
          <w:color w:val="auto"/>
        </w:rPr>
        <w:t>, age 58, has served as our general counsel since November 2020. Mr. Oltmans previously served as vice president, 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for DaVita, Inc., or DaVita, a healthcare company, from June 2019 to November 2020. Prior to joining DaVita, he served as general counsel for Array BioPharma, a biopharmaceutical company which was acquired by Pfizer Inc. Prior to joining Array BioPharma, Mr. Oltmans served as the US general counsel for Novo Nordisk, a pharmaceutical company. Mr. Oltmans is on the board of directors of Avenue Therapeutics, Inc., a biopharmaceutical company. Mr. Oltmans earned a B.A. in Political Science from the University of Nebraska and a J.D. from the University of Nebraska College of Law.</w:t>
      </w:r>
    </w:p>
    <w:p>
      <w:pPr>
        <w:spacing w:after="0" w:line="18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Esther Rajavelu</w:t>
      </w:r>
      <w:r>
        <w:rPr>
          <w:rFonts w:ascii="Times New Roman" w:cs="Times New Roman" w:eastAsia="Times New Roman" w:hAnsi="Times New Roman"/>
          <w:sz w:val="18"/>
          <w:szCs w:val="18"/>
          <w:color w:val="auto"/>
        </w:rPr>
        <w:t>, age 43, has served as our chief financial officer since January 2022. Prior to joining our company, Ms. Rajavelu’s career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sector includes her time as an equities research analyst, investment banker, and strategy consultant. She served as a senior equities research analyst at UBS Securities, or UBS, an investment bank, from June 2020 to December 2021. Prior to joining UBS, Ms. Rajavelu served as a senior equities research analyst at Oppenheimer &amp; Co. Inc., or Oppenheimer, an investment bank, from June 2018 to June 2020. Prior to joining Oppenheimer, Ms. Rajavelu served as an equities research analyst at Deutsche Bank, or Deutsche Bank, an investment bank, from June 2014 to June 2018. Prior to joining Deutsche Bank, she served as vice president, life sciences M&amp;A and capital &amp; debt advisory at Ernst &amp; Young Capital Advisors, LLC, or EY Capital Advisors, a brokerage firm from 2011 to 2014. Prior to joining EY Capital Advisors, she worked at Bank of America Merrill Lynch, an investment bank, from 2006 to 2011 in the healthcare investment banking group where she focused on financing and strategic transactions in the biotechnology and medical devices sectors. Ms. Rajavelu received a MBA from The Wharton School of the University of Pennsylvania and a B.A. in Economics and International Relations from Wesleyan University.</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any of our directors or executive officers and any other person or persons pursuant to which he or she was or is to be selected as a director or executive officer.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40"/>
        <w:spacing w:after="0" w:line="286" w:lineRule="auto"/>
        <w:rPr>
          <w:sz w:val="20"/>
          <w:szCs w:val="20"/>
          <w:color w:val="auto"/>
        </w:rPr>
      </w:pPr>
      <w:r>
        <w:rPr>
          <w:rFonts w:ascii="Times New Roman" w:cs="Times New Roman" w:eastAsia="Times New Roman" w:hAnsi="Times New Roman"/>
          <w:sz w:val="18"/>
          <w:szCs w:val="18"/>
          <w:b w:val="1"/>
          <w:bCs w:val="1"/>
          <w:color w:val="auto"/>
        </w:rPr>
        <w:t>PROPOSAL 2—RATIFICATION OF THE APPOINTMENT OF ERNST &amp; YOUNG LLP AS OUR INDEPENDENT REGISTERED PUBLIC ACCOUNTING FIRM FOR THE FISCAL YEAR ENDING DECEMBER 31, 2022</w:t>
      </w:r>
    </w:p>
    <w:p>
      <w:pPr>
        <w:spacing w:after="0" w:line="15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Ernst &amp; Young LLP as our independent registered public accounting firm for the fiscal year ending December 31, 2022. Ernst &amp; Young LLP has served as our independent registered public accounting firm since 2017.</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2022. Stockholder approval is not required to appoint Ernst &amp; Young LLP as our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 representative of Ernst &amp; Young LLP is expected to virtually attend the Annual Meeting and will have an opportunity to make a statement if he or she desires to do so and is expected to be available to respond to appropriate questions from our stockholders.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Ernst &amp; Young LLP for the audit of the consolidated financial statements and for other services provided during the years ended December 31, 2021 and 2020.</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6"/>
                <w:szCs w:val="16"/>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483,300</w:t>
            </w:r>
          </w:p>
        </w:tc>
        <w:tc>
          <w:tcPr>
            <w:tcW w:w="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42,900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555,700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526,200</w:t>
            </w:r>
          </w:p>
        </w:tc>
      </w:tr>
      <w:tr>
        <w:trPr>
          <w:trHeight w:val="20"/>
        </w:trPr>
        <w:tc>
          <w:tcPr>
            <w:tcW w:w="6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compliance, advice and tax planning.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During our 2021 and 2020 fiscal years, no services were provided to us by Ernst &amp; Young LLP other than in accordance with the pre-approval policies and procedures described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Ernst &amp; Young LLP as our independent registered public accounting firm for the fiscal year ending December 31, 2022.</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60"/>
          </w:cols>
          <w:pgMar w:left="320" w:top="455" w:right="11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While there are no specific minimum qualifications for a committee-recommended nominee to our board of directors, the qualifications, qualities and skills that our nominating and corporate governance committee believes must be met by a committee-recommended nominee for a position on our board of directors are as follows:</w:t>
      </w:r>
    </w:p>
    <w:p>
      <w:pPr>
        <w:spacing w:after="0" w:line="8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 our company and our industry and to regularly attend and participate in meetings of our board of directors and its committees.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 conflict of interest that would impair the nominee’s ability to represent the interests of all of our stockholders and to fulfill the responsibilities of a director.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shall not be discriminated against on the basis of race, religion, national origin, sex, sexual orientation, disability or any other basis proscribed by law. The value of diversity on our board of directors is considered.</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 third-party search firm in those situations where particular qualifications are required or where existing contacts are not sufficient to identify an appropriate candidate.</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2023 Annual Meeting.”</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stockholder-recommended candidate and recommends his or her election, then his or her name will be included on our proxy card for the next annual meeting.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among other things,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9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April 2022,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Mr. Stuart and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Mr. Stuart is not an independent director under these rules because he is our president and chief executive officer. Dr. Gould is not an independent director under these rules because he was previously our president and chief executive officer.</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the compensation committee, the nominating and corporate governance committee and the science and technology committee is posted on the “Corporate Governance” section of the “Investor Relations” section of our website, which is located at www.fulcrumtx.com. Our board of directors also appoints from time to time ad hoc committees to address specific matters.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members of our audit committee are Katina Dorton, James Geraghty and Kate Haviland, and Katina Dorton serves as the chair of the audit committee. Our audit committee met six times during 2021. Our audit committee’s responsibilities include:</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and retention of accounting related complaints and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3"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160"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Katina Dorton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Alan Ezekowitz, Sonja Banks and Katina Dorton, and Alan Ezekowitz serves as chair of the compensation committee. Kate Haviland served as a member of the compensation committee until April 11, 2022, at which time Sonja Banks joined the compensation committee. Our compensation committee met five times during 2021. Our compensation committee’s responsibilities include:</w:t>
      </w:r>
    </w:p>
    <w:p>
      <w:pPr>
        <w:spacing w:after="0" w:line="81" w:lineRule="exact"/>
        <w:rPr>
          <w:sz w:val="20"/>
          <w:szCs w:val="20"/>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the compensation of our chief executive officer and our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if and to the extent then required by SEC rules;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to the extent then required by SEC rules.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our compensation committee meets the requirements for independence under current Nasdaq and SEC rules and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James Geraghty and Kate Haviland, and Jim Geraghty serves as chair of the nominating and corporate governance committee. Mark Levin served as a member of the nominating and corporate governance committee until</w:t>
      </w: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April 18, 2022. Kate Haviland joined the nominating and corporate governance committee on April 11, 2022. Our nominating and corporate governance committee met three times during 2021. Our nominating and corporate governance committee’s responsibilities include:</w:t>
      </w:r>
    </w:p>
    <w:p>
      <w:pPr>
        <w:spacing w:after="0" w:line="8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our board’s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our board leadership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our board of directors.</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our nominating and corporate governance committee meets the requirements for independence under current Nasdaq and SEC rules and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members of our science and technology committee are James Collins, Alan Ezekowitz and Robert J. Gould, and James Collins serves as chair of the science and technology committee. Mark Levin served as a member of the science and technology committee until April 18, 2022. The science and technology committee assists our board’s oversight of our research activities and assists us in evaluating science and technology issues. Our science and technology committee’s responsibilities include:</w:t>
      </w:r>
    </w:p>
    <w:p>
      <w:pPr>
        <w:spacing w:after="0" w:line="85" w:lineRule="exact"/>
        <w:rPr>
          <w:sz w:val="20"/>
          <w:szCs w:val="20"/>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our board of directors and management regarding our long-term strategic goals and objectives and the quality and direction of our research and development programs;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trends in research and development, and recommending to our board of directors and management emerging technologies for building the company’s technological strength;</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approaches to acquiring and maintaining technology positions (including but not limited to contracts, grants, collaborative efforts, alliances, and capital);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and management on the scientific aspects of business development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reviewing our research and development pipeline; and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with its oversight responsibility for enterprise risk management in areas affecting our research and development.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We believe that it is important that our board of directors reflects the diversity of employees and the communities that we serve. Diversity is an important part of the process that our nominating and corporate governance committee follows when identifying nominees to serve as directors. As required by rules of the Nasdaq Stock Market that were approved by the SEC in August 2021, we are providing information about the gender and demographic diversity of our directors in the format required by Nasdaq rules.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information in the matrix below is based solely on information provided by our directors about their gender and demographic self-identification as of April 28, 2022. Directors who indicated that they preferred not to answer a question are shown as “did not disclose gender” or “did not disclose demographic background”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240" w:type="dxa"/>
            <w:vAlign w:val="bottom"/>
            <w:gridSpan w:val="3"/>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Board Diversity Matrix</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40" w:type="dxa"/>
            <w:vAlign w:val="bottom"/>
            <w:gridSpan w:val="3"/>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as of April 28, 2022</w:t>
            </w: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7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600" w:type="dxa"/>
            <w:vAlign w:val="bottom"/>
            <w:vMerge w:val="restart"/>
          </w:tcPr>
          <w:p>
            <w:pPr>
              <w:spacing w:after="0"/>
              <w:rPr>
                <w:sz w:val="12"/>
                <w:szCs w:val="12"/>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5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580" w:type="dxa"/>
            <w:vAlign w:val="bottom"/>
            <w:vMerge w:val="restart"/>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18"/>
                <w:szCs w:val="18"/>
                <w:color w:val="auto"/>
              </w:rPr>
            </w:pPr>
          </w:p>
        </w:tc>
        <w:tc>
          <w:tcPr>
            <w:tcW w:w="438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960" w:type="dxa"/>
            <w:vAlign w:val="bottom"/>
            <w:shd w:val="clear" w:color="auto" w:fill="CCEEFF"/>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29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5</w:t>
            </w:r>
          </w:p>
        </w:tc>
      </w:tr>
      <w:tr>
        <w:trPr>
          <w:trHeight w:val="90"/>
        </w:trPr>
        <w:tc>
          <w:tcPr>
            <w:tcW w:w="368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960" w:type="dxa"/>
            <w:vAlign w:val="bottom"/>
          </w:tcPr>
          <w:p>
            <w:pPr>
              <w:spacing w:after="0"/>
              <w:rPr>
                <w:sz w:val="7"/>
                <w:szCs w:val="7"/>
                <w:color w:val="auto"/>
              </w:rPr>
            </w:pPr>
          </w:p>
        </w:tc>
      </w:tr>
      <w:tr>
        <w:trPr>
          <w:trHeight w:val="216"/>
        </w:trPr>
        <w:tc>
          <w:tcPr>
            <w:tcW w:w="3680" w:type="dxa"/>
            <w:vAlign w:val="bottom"/>
            <w:shd w:val="clear" w:color="auto" w:fill="CCEEFF"/>
          </w:tcPr>
          <w:p>
            <w:pPr>
              <w:spacing w:after="0"/>
              <w:rPr>
                <w:sz w:val="18"/>
                <w:szCs w:val="18"/>
                <w:color w:val="auto"/>
              </w:rPr>
            </w:pPr>
          </w:p>
        </w:tc>
        <w:tc>
          <w:tcPr>
            <w:tcW w:w="4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w:t>
            </w:r>
          </w:p>
        </w:tc>
        <w:tc>
          <w:tcPr>
            <w:tcW w:w="4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Hispanic</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Latino</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Native American</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Pacific Islander</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4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296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38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During 2021, the members of our compensation committee were Alan Ezekowitz, Kate Haviland, and Katina Dorton. 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current members, or members serving during 2021, of our compensation committee is, or has ever been, an officer or employee of our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 Meetings and Attendance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importance of director attendance at board and committee meetings. The full board of directors met eight times during 2021. During 2021,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jc w:val="both"/>
        <w:ind w:left="120" w:right="180"/>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directors are responsible for attending the annual meeting of stockholders. All then-serving directors attended our 2021 annual meeting of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Governance” section of the “Investor Relations” section of our website, which is located at www.fulcrumtx.com. In addition, we intend to post on our website all disclosures that are required by law or Nasdaq listing standards concerning any amendments to, or waivers from, any provision of the code.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the board of directors in the exercise of its duties and responsibilities and to serve the best interests of our company and our stockholders. These guidelines provide that:</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responsibility of our board of directors is to oversee our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of directors must be independent directors, unless otherwise permitted by Nasdaq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in executive session at least twice a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independent advisors;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all directors are expected to participate in continuing director education on an ongoing basis;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corporate governance committee will oversee an annual self-evaluation of the board to determine whether it and its committees are functioning effectively.</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 copy of the corporate governance guidelines is available on the “Corporate Governance” section of the “Investor Relations” section of our website, which is located at www.fulcrumtx.com.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 and Oversight of Risk</w:t>
      </w:r>
    </w:p>
    <w:p>
      <w:pPr>
        <w:spacing w:after="0" w:line="121"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the nominating and corporate governance committee shall periodically assess the board of directors’ leadership structure, including whether the offices of chief executive officer and chairman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chairman of our board of directors is independent within the meaning of the Nasdaq listing rules.</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currently separate the roles of chief executive officer and chairman of the board of directors. Our president and chief executive officer is responsible for setting the strategic direction for our company and the day-to-day leadership and performance of our company, while the chairman of our board of directors presides over meetings of the board of directors, including executive sessions of the board of directors, and performs oversight responsibilities. 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 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 Although the roles of chair and chief executive officer are currently separate, our nominating and corporate governance committee and board of directors believe it is appropriate for our chief executive officer to serve as a member of our board of directors.</w:t>
      </w:r>
    </w:p>
    <w:p>
      <w:pPr>
        <w:spacing w:after="0" w:line="19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January 2022, our board of directors appointed Kate Haviland, an independent director, as chairman. Ms. Haviland possesses valuable leadership skills and has an in-depth knowledge of our company, opportunities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and challenges, and the board of directors believes she is the person best positioned to ensure that the time and attention of our directors is focused on the most critical matters.</w:t>
      </w:r>
    </w:p>
    <w:p>
      <w:pPr>
        <w:spacing w:after="0" w:line="162"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those described under “Risk Factors” in our annual report on Form 10-K for the year ended December 31, 2021. Our board of directors is actively involved in oversight of risks that could affect us.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board composition and management succession planning. Our science and technology committee assists our board of directors in its oversight of our research activities and provides input to management on decisions regarding research strategy. 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insider trading policy expressly prohibits all of our employees, including our executive officers, and our directors from engaging in any purchases of financial instruments (including prepaid variable forward contracts, equity swaps, collars and exchange funds) that are designed to hedge or offset any decrease in the market value of our securities. Our insider trading policy also expressly prohibits such persons from purchasing our securities on margin, borrowing against our securities held in a margin account, or pledging our securities as collateral for a loan, although an exception may be granted in extraordinary situations where a person wishes to pledge our securities as collateral for a loan (other than a margin loan) and clearly demonstrates the financial capacity to repay the loan without resort to the pledged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with Our Directors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20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6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Communications may be forwarded to all directors if they relate to important substantive matters and include suggestions or comments that may be important for the directors to know. In general, communications relating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our general counsel at 26 Landsdowne Street, Cambridge, Massachusetts 02139 or via the toll-free telephone number 855-718-8021.</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elements of compensation awarded to, earned by or paid to each of our named executive officers for 2021. Our named executive officers for 2021 were Robert J. Gould, Bryan Stuart, Judith A. Dunn and Christopher Morabito. This section also describes the material elements of compensation awarded to, earned by or paid to each of our non-employee directors.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This section also provides qualitative information regarding the manner and context in which compensation is awarded to and earned by our executive officers and our directors and is intended to place in perspective the data presented in the tables and narrative that follow.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Processes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executive compensation program is administered by the compensation committee of our board of directors, subject to the oversight and approval of our board of directors. Our compensation committee reviews our executive compensation practices on an annual basis and based on this review approves, or, as appropriate, makes recommendations to our board of directors for approval of, our executive compensation program. In designing our executive compensation program, our compensation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Since 2018, our compensation committee has retained Aon’s Human Capital Solutions practice, a division of Aon plc (formerly known as Radford), or Aon, as its independent compensation consultant, to provide comparative data on executive compensation practices in our industry and to advise on our executive compensation program generally. During 2021, our compensation committee directly retained Aon to advise the compensation committee on our compensation program for executive officers, which includes base salaries, annual performance-based cash incentives and equity incentive awards, and our compensation program for directors and Aon made recommendations with respect to the amount and form of executive and director compensation. Although our compensation committee considers the advice and guidance of Aon as to our executive compensation program and our director compensation program, our compensation committee ultimately makes its own decisions about these matters. In the future, we expect that our compensation committee will continue to engage independent compensation consultants to provide additional guidance on our executive compensation programs and our director compensation programs and to conduct further competitive benchmarking against a peer group of publicly traded companies.</w:t>
      </w:r>
    </w:p>
    <w:p>
      <w:pPr>
        <w:spacing w:after="0" w:line="19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reviewed information regarding the independence and potential conflicts of interest of Aon, taking into account, among other things, the factors set forth in the Nasdaq listing standards. Based on such review, the compensation committee concluded that the engagement of Aon did not raise any conflict of interest.</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consisting of independent directors, as it deems appropriate. During 2021, the compensation committee did not form or delegate authority to such subcommittees. In addition, under its charter, the compensation committee may delegate to one or more executive officers the power to grant options or other stock awards pursuant to our equity-based plans or as inducement awards to employees who are not directors or executive officers of the Company. During 2021, the compensation committee delegated authority to the then-current chief executive officer to grant certain stock options to non-executive employees.</w:t>
      </w:r>
    </w:p>
    <w:p>
      <w:pPr>
        <w:spacing w:after="0" w:line="183"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Our director compensation program is administered by our board of directors with the assistance of the compensation committee. The compensation committee conducts an annual review of director compensation and makes recommendations to the board of directors with respect thereto.</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each of our named executive officers for the years ended December 31, 2021 and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Stuart</w:t>
            </w:r>
            <w:r>
              <w:rPr>
                <w:rFonts w:ascii="Times New Roman" w:cs="Times New Roman" w:eastAsia="Times New Roman" w:hAnsi="Times New Roman"/>
                <w:sz w:val="15"/>
                <w:szCs w:val="15"/>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2021</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515,376</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4,218,728</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5,055,104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1,176,315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158,400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1,774,715</w:t>
            </w:r>
          </w:p>
        </w:tc>
        <w:tc>
          <w:tcPr>
            <w:tcW w:w="0" w:type="dxa"/>
            <w:vAlign w:val="bottom"/>
          </w:tcPr>
          <w:p>
            <w:pPr>
              <w:spacing w:after="0"/>
              <w:rPr>
                <w:sz w:val="1"/>
                <w:szCs w:val="1"/>
                <w:color w:val="auto"/>
              </w:rPr>
            </w:pPr>
          </w:p>
        </w:tc>
      </w:tr>
      <w:tr>
        <w:trPr>
          <w:trHeight w:val="30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Robert J. Gould</w:t>
            </w:r>
            <w:r>
              <w:rPr>
                <w:rFonts w:ascii="Times New Roman" w:cs="Times New Roman" w:eastAsia="Times New Roman" w:hAnsi="Times New Roman"/>
                <w:sz w:val="15"/>
                <w:szCs w:val="15"/>
                <w:color w:val="auto"/>
              </w:rPr>
              <w:t>(4)</w:t>
            </w:r>
          </w:p>
        </w:tc>
        <w:tc>
          <w:tcPr>
            <w:tcW w:w="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167,681</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2,174,058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2,341,739</w:t>
            </w: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 Officer</w:t>
            </w:r>
          </w:p>
        </w:tc>
        <w:tc>
          <w:tcPr>
            <w:tcW w:w="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535,000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2,240,600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240,750</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3,016,350</w:t>
            </w: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Judith Dunn</w:t>
            </w:r>
            <w:r>
              <w:rPr>
                <w:rFonts w:ascii="Times New Roman" w:cs="Times New Roman" w:eastAsia="Times New Roman" w:hAnsi="Times New Roman"/>
                <w:sz w:val="15"/>
                <w:szCs w:val="15"/>
                <w:color w:val="auto"/>
              </w:rPr>
              <w:t>(5)</w:t>
            </w:r>
          </w:p>
        </w:tc>
        <w:tc>
          <w:tcPr>
            <w:tcW w:w="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337,500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1,876,628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216,000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2,430,128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Research and Development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Morabito</w:t>
            </w:r>
            <w:r>
              <w:rPr>
                <w:rFonts w:ascii="Times New Roman" w:cs="Times New Roman" w:eastAsia="Times New Roman" w:hAnsi="Times New Roman"/>
                <w:sz w:val="15"/>
                <w:szCs w:val="15"/>
                <w:color w:val="auto"/>
              </w:rPr>
              <w:t>(6)</w:t>
            </w:r>
          </w:p>
        </w:tc>
        <w:tc>
          <w:tcPr>
            <w:tcW w:w="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274,479</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1,185,629</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204,000</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1,664,108</w:t>
            </w: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20" w:hanging="424"/>
        <w:spacing w:after="0" w:line="256"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stock-based compensation awarded during the year computed in accordance with the provisions of Financial Accounting Standards Board, or FASB, Accounting Standards Codification, or ASC, Topic 718. See Note 9 to our consolidated financial statements appearing in the 2021 Annual Report, regarding assumptions underlying the valuation of stock option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92" w:lineRule="exact"/>
        <w:rPr>
          <w:rFonts w:ascii="Times New Roman" w:cs="Times New Roman" w:eastAsia="Times New Roman" w:hAnsi="Times New Roman"/>
          <w:sz w:val="18"/>
          <w:szCs w:val="18"/>
          <w:color w:val="auto"/>
        </w:rPr>
      </w:pPr>
    </w:p>
    <w:p>
      <w:pPr>
        <w:ind w:left="540" w:right="280" w:hanging="424"/>
        <w:spacing w:after="0" w:line="266"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noted otherwise, the amounts reported in the “Non-Equity Incentive Plan” column reflect annual cash bonuses paid to our named executive officers for their performance in 2021 and 2020, respectively. See “—Narrative to Summary Compensation Table—Annual Target Bonus.”</w:t>
      </w:r>
    </w:p>
    <w:p>
      <w:pPr>
        <w:spacing w:after="0" w:line="81"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Stuart was promoted from chief operating officer to president and chief executive officer in March 2021, and his salary and annual target bonus were increased in connection therewith.</w:t>
      </w:r>
    </w:p>
    <w:p>
      <w:pPr>
        <w:spacing w:after="0" w:line="67" w:lineRule="exact"/>
        <w:rPr>
          <w:rFonts w:ascii="Times New Roman" w:cs="Times New Roman" w:eastAsia="Times New Roman" w:hAnsi="Times New Roman"/>
          <w:sz w:val="18"/>
          <w:szCs w:val="18"/>
          <w:color w:val="auto"/>
        </w:rPr>
      </w:pPr>
    </w:p>
    <w:p>
      <w:pPr>
        <w:ind w:left="540" w:right="180" w:hanging="424"/>
        <w:spacing w:after="0" w:line="266"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Gould resigned as our president and chief executive officer in March 2021. The salary reported reflects the pro rata portion of Mr. Gould’s annualized salary of $553,725 that was earned during 2021, and $29,250 in fees earned in 2021 for service as a non-employee director following his resignation.</w:t>
      </w:r>
    </w:p>
    <w:p>
      <w:pPr>
        <w:spacing w:after="0" w:line="81" w:lineRule="exact"/>
        <w:rPr>
          <w:rFonts w:ascii="Times New Roman" w:cs="Times New Roman" w:eastAsia="Times New Roman" w:hAnsi="Times New Roman"/>
          <w:sz w:val="18"/>
          <w:szCs w:val="18"/>
          <w:color w:val="auto"/>
        </w:rPr>
      </w:pPr>
    </w:p>
    <w:p>
      <w:pPr>
        <w:ind w:left="540" w:right="20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Dunn’s employment commenced in April 2021. The salary reported reflects the pro rata portion of Dr. Dunn’s annualized salary of $450,000 that was earned during 2021.</w:t>
      </w:r>
    </w:p>
    <w:p>
      <w:pPr>
        <w:spacing w:after="0" w:line="67"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Morabito’s employment commenced in May 2021. The salary reported reflects the pro rata portion of Dr. Morabito’s annualized salary of $425,000 that was earned during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74" w:lineRule="exact"/>
        <w:rPr>
          <w:sz w:val="20"/>
          <w:szCs w:val="20"/>
          <w:color w:val="auto"/>
        </w:rPr>
      </w:pPr>
    </w:p>
    <w:p>
      <w:pPr>
        <w:jc w:val="both"/>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In 2020, Mr. Stuart’s base salary was $440,000. In January 2021, Mr. Stuart’s base salary was increased to $455,400, and upon his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promotion to chief executive officer, was further increased to $535,000. In 2020 and 2021, Dr. Gould’s base salary was $535,000 until his March 2021 resignation. In April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2021, in connection with the commencement of Dr. Dunn’s employment, our board of directors set Dr. Dunn’s base salary at $450,000. In May 2021, in connection with the commencement of Dr. Morabito’s employment, our board of directors set Dr. Morabito’s base salary at $425,000.</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In January 2022, our board of directors set Mr. Stuart’s 2022 annual base salary at $572,450, Dr. Dunn’s 2022 annual base salary at $461,867, and Dr. Morabito’s 2022 annual base salary at $441,450.</w:t>
      </w:r>
    </w:p>
    <w:p>
      <w:pPr>
        <w:spacing w:after="0" w:line="16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Annual Target Bonus. </w:t>
      </w:r>
      <w:r>
        <w:rPr>
          <w:rFonts w:ascii="Times New Roman" w:cs="Times New Roman" w:eastAsia="Times New Roman" w:hAnsi="Times New Roman"/>
          <w:sz w:val="18"/>
          <w:szCs w:val="18"/>
          <w:color w:val="auto"/>
        </w:rPr>
        <w:t>Our board of directors may, in its discretion, award bonuses to our named executive officers from time to time. Our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The bonus may be in the form of cash, equity award, or a combination of cash and equity. From time to time, our board of directors has approved discretionary annual cash bonuses to our named executive officers with respect to their prior year performance.</w:t>
      </w:r>
    </w:p>
    <w:p>
      <w:pPr>
        <w:spacing w:after="0" w:line="18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2021 target bonus amounts, expressed as a percentage of annual base salary, for our named executive officers were 50% for Mr. Stuart, 40% for Dr. Dunn, and 40% for Dr. Morabito. The 2021 goals included development goals relating to advancing our product candidates for facioscapulohumeral muscular dystrophy and sickle cell disease, research goals relating to maintaining a portfolio in rare muscle and hematology diseases, business operations goals relating to management of resources, and human resources goals relating to effective utilization and maximum development. With respect to 2021 performance, our board of directors awarded bonuses of $321,000, $216,000, and $204,000 to Mr. Stuart, Dr. Dunn, and Dr. Morabito, respectively.</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January 2022, our board of directors set 2022 target bonus amounts, expressed as a percentage of annual base salary, at 55% for Mr. Stuart, 40% for Dr. Dunn, and 40% for Dr. Morabito.</w:t>
      </w:r>
    </w:p>
    <w:p>
      <w:pPr>
        <w:spacing w:after="0" w:line="16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Incentives. </w:t>
      </w: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Our executive officers generally were awarded an initial equity award upon commencement of employment. In April 2021 we granted an option to purchase 215,000 shares of our common stock to Dr. Dunn in connection with the commencement of her employment and in May 2021, we granted an option to purchase 163,000 shares of our common stock to Dr. Morabito in connection with the commencement of his employment. These initial grants vest as to 25% of the shares underlying the award on the first anniversary of the commencement of employment and as to an additional 6.25% of the original number of shares underlying the award quarterly thereafter.</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Additional equity awards may be granted periodically to specifically incentivize our executive officers to achieve certain corporate goals or to reward them for exceptional performance. In January 2021, we granted an option to purchase 134,376 shares of our common stock to Mr. Stuart and in February 2021, we granted an option to purchase 269,390 shares of our common stock to Dr. Gould . These options vest in equal quarterly installments over a term of four years from January 1, 2021. In March 2021, we granted Mr. Stuart an additional equity grant of 350,000 options in connection with his promotion to president and chief executive officer, which options are vesting in equal quarterly installments over a term of four years from March 31, 2021.</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Prior to our initial public offering in July 2019, our executives were eligible to receive equity awards under our 2016 Stock Incentive Plan, as amended to date, or the 2016 Plan. Following our initial public offering,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employees and executives are eligible to receive stock options and other stock-based awards pursuant to our 2019 Stock Incentive Plan, or the 2019 Plan. Since our initial public offering, our named executive officers have solely received stock options for any equity awards granted to them.</w:t>
      </w:r>
    </w:p>
    <w:p>
      <w:pPr>
        <w:spacing w:after="0" w:line="162" w:lineRule="exact"/>
        <w:rPr>
          <w:sz w:val="20"/>
          <w:szCs w:val="20"/>
          <w:color w:val="auto"/>
        </w:rPr>
      </w:pPr>
    </w:p>
    <w:p>
      <w:pPr>
        <w:ind w:left="120" w:right="180"/>
        <w:spacing w:after="0" w:line="274" w:lineRule="auto"/>
        <w:rPr>
          <w:sz w:val="20"/>
          <w:szCs w:val="20"/>
          <w:color w:val="auto"/>
        </w:rPr>
      </w:pPr>
      <w:r>
        <w:rPr>
          <w:rFonts w:ascii="Times New Roman" w:cs="Times New Roman" w:eastAsia="Times New Roman" w:hAnsi="Times New Roman"/>
          <w:sz w:val="17"/>
          <w:szCs w:val="17"/>
          <w:color w:val="auto"/>
        </w:rPr>
        <w:t>We have granted restricted stock and option awards to our executive officers with time-based vesting. The restricted stock and option awards that we have granted to our executive officers in connection with commencement of employment typically become exercisable as to 25% of the shares underlying the award on the first anniversary of the applicable vesting commencement date and as to an additional 6.25% of the original number of shares underlying the award quarterly thereafter. The restricted stock and option awards that we have granted to our executive officers at times other than in connection with employment typically become exercisable in equal quarterly installments over a term of four years from the applicable vesting commencement date. Vesting rights cease upon termination of employment and exercise rights for options generally cease shortly after termination..</w:t>
      </w:r>
    </w:p>
    <w:p>
      <w:pPr>
        <w:spacing w:after="0" w:line="173"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See “—Outstanding Equity Awards at December 31, 2021” for information regarding prior equity awards to our named executive officers that remained outstanding as of fiscal year end. In January 2022, we granted an option to purchase 340,000, 140,890, and 59,744 shares of our common stock to</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Stuart, Dr. Dunn, and Dr. Morabito, respectively. These options vest in equal quarterly installments over a term of four years from January 1,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2021</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stock options and shares of restricted stock held by each of our named executive officers as of December 31,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1540" w:type="dxa"/>
            <w:vAlign w:val="bottom"/>
            <w:gridSpan w:val="2"/>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6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6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6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vMerge w:val="continue"/>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36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5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Stuart</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75,893(2)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12/17/2028</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44,196</w:t>
            </w: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14,732(2)</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7.84</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1/21/2029</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16,071</w:t>
            </w: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12,500(3)</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16.00</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7/17/2029</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59,062(4)</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16.87</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1/22/2030</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109,180(5)</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13.09</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1/24/2031</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284,375(6)</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11.78</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3/30/2031</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Robert J. Gould</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216,308</w:t>
            </w:r>
          </w:p>
        </w:tc>
        <w:tc>
          <w:tcPr>
            <w:tcW w:w="1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108,154(7)</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7.84</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1/21/2029</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4,018(8)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71,078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60,267</w:t>
            </w:r>
          </w:p>
        </w:tc>
        <w:tc>
          <w:tcPr>
            <w:tcW w:w="1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46,875(3)</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16.00</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7/17/2029</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87,500</w:t>
            </w:r>
          </w:p>
        </w:tc>
        <w:tc>
          <w:tcPr>
            <w:tcW w:w="1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112,500(4)</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16.87</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1/22/2030</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50,510</w:t>
            </w:r>
          </w:p>
        </w:tc>
        <w:tc>
          <w:tcPr>
            <w:tcW w:w="1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218,880(5)</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11.33</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2/1/2031</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Judith A. Dunn</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215,000(9)</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12.00</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4/1/2031</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Morabito</w:t>
            </w:r>
          </w:p>
        </w:tc>
        <w:tc>
          <w:tcPr>
            <w:tcW w:w="3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163,000(10)</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10.01</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5/29/2031</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8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based on the closing price of our common stock on the Nasdaq Global Market on December 31, 2021 of $17.69 per share.</w:t>
      </w:r>
    </w:p>
    <w:p>
      <w:pPr>
        <w:spacing w:after="0" w:line="67" w:lineRule="exact"/>
        <w:rPr>
          <w:rFonts w:ascii="Times New Roman" w:cs="Times New Roman" w:eastAsia="Times New Roman" w:hAnsi="Times New Roman"/>
          <w:sz w:val="18"/>
          <w:szCs w:val="18"/>
          <w:color w:val="auto"/>
        </w:rPr>
      </w:pPr>
    </w:p>
    <w:p>
      <w:pPr>
        <w:ind w:left="540" w:right="12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vested on December 17, 2019 and 6.25% of the shares vesting thereafter in equal quarterly installments over three years, subject to continued service.</w:t>
      </w:r>
    </w:p>
    <w:p>
      <w:pPr>
        <w:spacing w:after="0" w:line="67"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July 1, 2019, subject to continued service.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January 1, 2020, subject to continued service.</w:t>
      </w:r>
    </w:p>
    <w:p>
      <w:pPr>
        <w:spacing w:after="0" w:line="67"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January 1, 2021, subject to continued service.</w:t>
      </w:r>
    </w:p>
    <w:p>
      <w:pPr>
        <w:spacing w:after="0" w:line="67"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March 31, 2021, subject to continued service.</w:t>
      </w:r>
    </w:p>
    <w:p>
      <w:pPr>
        <w:spacing w:after="0" w:line="67"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January 1, 2019, subject to continued service.</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restricted stock award vests in equal quarterly installments over four years beginning on the vesting commencement date of January 1, 2018, subject to continued service.</w:t>
      </w:r>
    </w:p>
    <w:p>
      <w:pPr>
        <w:spacing w:after="0" w:line="67" w:lineRule="exact"/>
        <w:rPr>
          <w:rFonts w:ascii="Times New Roman" w:cs="Times New Roman" w:eastAsia="Times New Roman" w:hAnsi="Times New Roman"/>
          <w:sz w:val="18"/>
          <w:szCs w:val="18"/>
          <w:color w:val="auto"/>
        </w:rPr>
      </w:pPr>
    </w:p>
    <w:p>
      <w:pPr>
        <w:ind w:left="540" w:right="5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vested on April 1, 2022 and 6.25% of the shares vesting thereafter in equal quarterly installments over three years, subject to continued service.</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vested on May 10, 2022 and 6.25% of the shares vesting thereafter in equal quarterly installments over three years, subject to continued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named executive officers. These employment agreements set forth the terms of the executive officer’s compensation, including base salary and annual performance bonus opportunity. In addition, the agreements provide that, subject to eligibility requirements under the plan documents governing such programs and our policies, the executive officers are eligible to participate in company-sponsored benefit programs that are generally available to all of our similarly-situated employees. Each executive officer will also be eligible to receive equity awards at such times and on such terms and conditions as the board of directors may determine. Annual base salaries and bonus target percentages are reviewed by our compensation committee and the board of directors on an annual or more frequent basis and are subject to change in the discretion of our board of directors or compensation committee. See “ – Narrative to Summary Compensation Table” for the 2021 and 2022 annual base salaries, 2021 and 2022 target bonus percentages, and the actual 2021 bonus payouts.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employment agreements and the employment of Mr. Stuart, Dr. Dunn, and Dr. Morabito may be terminated as follows: (1) upon the death or “disability” (as disability is defined in the applicable employment agreement) of such executive officer; (2) at our election, with or without “cause” (as cause is defined in the applicable employment agreement); and (3) at such executive officer’s election, with or without “good reason” (as good reason is defined in the applicable employment agreement).</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Dr. Gould resigned as our president and chief executive officer effective March 31, 2021. During the period that Dr. Gould served as our president and chief executive officer he was entitled to the same severance benefits as stated below for Mr. Stuart. Dr, Gould did not receive any additional compensation as a result of his resignation, nor does he receive compensation under his consulting agreement (although Dr. Gould’s outstanding equity awards continue to vest in accordance with their terms due to his continuous service relationship).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Bryan Stuart</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Mr. Stuart was appointed as our president and chief executive officer, effective March 31, 2021. Prior to that, Mr. Stuart served as our chief operating officer. In connection with his appointment as our president and chief executive officer, Mr. Stuart entered into a new employment agreement with us providing for, among other things, the following severance benefits.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the event of the termination of Mr. Stuart’s employment by us without cause, or by him for good reason, prior to or more than 12 months following a “change in control” (as change in control is defined in his employment agreement), Mr. Stuart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8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Mr. Stuart’s employment by us without cause, or by him for good reason, within 12 months following a change in control, Mr. Stuart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Stuart is entitled to (1) continued payment of his then-current base salary (or, if higher, his base salary in effect immediately prior to the change in control),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92"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If Mr. Stuart’s employment is terminated for any other reason, including as a result of his death or disability, for cause, or voluntarily by Mr. Stuart without good reason, our obligations under the employment agreement cease immediately, and Mr. Stuart is only entitled to the accrued obligations.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Judith A. Dunn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event of the termination of Dr. Dunn’s employment by us without cause, or by such executive officer for good reason, prior to or more than 12 months following a “change in control” (as change in control is defined in his employment agreement) (collectively, a “non-change in control termination”), such executive officer is entitled to the accrued obligations. In addition, subject to her execution and nonrevocation of a release of claims in our favor and her continued compliance with her non-solicitation, confidential information and assignment of inventions agreement and any similar agreement with us, such executive officer is entitled to (1) continued payment of her base salary, in accordance with our regular payroll procedures, for a period of 12 months and (2) 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 date of termination.</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event of the termination of Dr, Dunn’s employment by us without cause, or by such executive officer for good reason, within 12 months following a change in control, such executive officer is entitled to the accrued obligations. In addition, subject to her execution and nonrevocation of a release of claims in our favor and her continued compliance with his non-solicitation, confidential information and assignment of inventions agreement and any similar agreement with us, such executive officer is entitled to (1) continued payment of her then-current base salary (or, if higher, her base salary in effect immediately prior to the change in control), in accordance with</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our regular payroll procedures, for a period of 12 months, (2) 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w:t>
      </w:r>
    </w:p>
    <w:p>
      <w:pPr>
        <w:spacing w:after="0" w:line="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12 months following her date of termination, (3) a lump sum payment equal to 100% of his target bonus for the year in which her employment is terminated or, if higher, her target bonus immediately prior to the change in control and (4) full vesting acceleration of her then-unvested equity awards that vest solely based on the passage of time, such that her time-based equity awards become fully exercisable and non-forfeitable as of the termination date.</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Dr. Dunn’s employment is terminated for any other reason, including as a result of such executive officer’s death or disability, for cause, or voluntarily by such executive officer without good reason, our obligations under the employment agreement cease immediately, and such executive officer is only entitled to the accrued obligations.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Christopher Morabito</w:t>
      </w:r>
    </w:p>
    <w:p>
      <w:pPr>
        <w:spacing w:after="0" w:line="121"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In the event of the termination of Dr. Morabito’s employment by us without cause, or by such executive officer for good reason, prior to or more than 12 months following a “change in control” (as change in control is defined in his employment agreement) (collectively, a “non-change in control termination”),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 (1) continued payment of his base salary, in accordance with our regular payroll procedures, for a period of 9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w:t>
      </w:r>
    </w:p>
    <w:p>
      <w:pPr>
        <w:spacing w:after="0" w:line="1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Dr. Morabito’s employment by us without cause, or by such executive officer for good reason, within 12 months following a change in control,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9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If Dr. Morabito’s employment is terminated for any other reason, including as a result of such executive officer’s death or disability, for cause, or voluntarily by such executive officer without good reason, our obligations under the employment agreement cease immediately, and such executive officer is only entitled to the accrued obligations.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Non-Solicitation, Confidentiality and Assignment of Inventions Agreements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In connection with the employment agreements, each of our named executive officers has entered into a standard form agreement with respect to non-solicitation, confidential information and assignment of inventions.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As of December 31, 2021, we had not provided any employer matching contributions. Effective January 1, 2022, we match 100% of the first 2% that an employee contributes to the 401(k) plan, and 50% on the next 4% that an employee contributes to the 401(k) plan. Matching contributions are 100% vested immediately.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shows all compensation we paid to our non-employee directors during the year ended December 31,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0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(1)(2)</w:t>
            </w:r>
          </w:p>
        </w:tc>
        <w:tc>
          <w:tcPr>
            <w:tcW w:w="360" w:type="dxa"/>
            <w:vAlign w:val="bottom"/>
          </w:tcPr>
          <w:p>
            <w:pPr>
              <w:spacing w:after="0"/>
              <w:rPr>
                <w:sz w:val="15"/>
                <w:szCs w:val="15"/>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Sonja L. Banks(3)</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347,358</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Collins</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44,151</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92,058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136,209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Katina Dorton</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55,000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92,058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147,058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Ezekowitz</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49,000</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92,058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141,058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Geraghty</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50,500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92,058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142,558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Haviland</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47,500</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92,058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139,558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Levin</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73,000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92,058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20" w:hanging="424"/>
        <w:spacing w:after="0" w:line="25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stock options awarded during the year computed in accordance with the provisions of ASC 718. See Note 9 to our consolidated financial statements appearing in the 2021 Annual Report, regarding assumptions underlying the valuation of the option awards.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60" w:hanging="424"/>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aggregate number of shares of our common stock subject to outstanding option awards for each non-employee director serving during 2021 was as follows: Ms. Banks, 30,000 shares; Dr. Collins, 37,141 shares; Ms. Dorton, 33,571 shares, Dr. Ezekowitz, 46,785 shares; Mr. Geraghty, 40,712 shares; Ms. Haviland, 57,141 shares; and Mr. Levin, 24,285 shares.</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Banks joined our board of directors in December 2021.</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Dr. Gould, one of our directors who served as our president and chief executive officer until March 31, 2021, did not receive any additional compensation for his service as a director while serving as our president and a chief executive officer. Following Dr. Gould’s resignation as our president and chief executive, he continues to serve on our board of directors and joined our science and technology committee. Dr. Gould is one of our named executive officers for 2021 and, accordingly, the compensation that we paid to Dr. Gould as an employee, and subsequent to his resignation as a non-employee director, is discussed above under “—Summary Compensation Table” and “—Narrative to Summary Compensation Table.” Mr. Stuart was appointed as our president and chief executive officer and as a member of our board of directors, effective March 31, 2021. Mr. Stuart will not receive any additional compensation for his service as a director.</w:t>
      </w:r>
    </w:p>
    <w:p>
      <w:pPr>
        <w:spacing w:after="0" w:line="18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June 2019, our board of directors approved a non-employee director compensation program that became effective on July 17, 2019. Under this non-employee director compensation program, we pay our non-employee directors a cash retainer for service on the board of directors and for service on each committee on which the director is a member. The chairman of the board and of each committee receive additional retainers for such service. These cash retainer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in the year ended December 31, 2021 were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Member Annual</w:t>
            </w:r>
          </w:p>
        </w:tc>
        <w:tc>
          <w:tcPr>
            <w:tcW w:w="440" w:type="dxa"/>
            <w:vAlign w:val="bottom"/>
          </w:tcPr>
          <w:p>
            <w:pPr>
              <w:spacing w:after="0"/>
              <w:rPr>
                <w:sz w:val="13"/>
                <w:szCs w:val="13"/>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Chair Incremental</w:t>
            </w:r>
          </w:p>
        </w:tc>
      </w:tr>
      <w:tr>
        <w:trPr>
          <w:trHeight w:val="173"/>
        </w:trPr>
        <w:tc>
          <w:tcPr>
            <w:tcW w:w="58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Fee</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Annual Fee</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3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38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3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238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Effective January 1, 2022, our board of directors increased the annual cash retainer for service on the board of directors to $40,000, as well as the fees payable for service on the science and technology committee to both the members and chair (each of which were increased to $5,000).</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other expenses incurred in connection with attending meetings of our board of directors and any committee of our board of directors on which he or she serves.</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during 2021, under our director compensation program, each non-employee director received, upon his or her initial election or appointment to our board of directors, an option under our 2019 Plan to purchase 30,000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our 2021 annual meeting of stockholders, each non-employee director that served on our board of directors for at least six months received an option under the 2019 Plan to purchase 15,000 shares of our common stock under the 2019 Plan. Each of these options vests with respect to all of the shares underlying such option immediately prior to the Annual Meeting, subject to the non-employee director’s continued service as a director.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January 2022, our board of directors approved a revised director compensation program, effective January 1, 2022. Under our revised director compensation program, each non-employee director will receive, upon his or her initial election or appointment to our board of directors, an option under our 2019 Plan to purchase 38,000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an option under the 2019 Plan to purchase 19,000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spacing w:after="0" w:line="188"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All options issued to our non-employee directors under our director compensation program are issued with exercise prices equal to the fair market value of our common stock on the Nasdaq Global Market on the date of grant and will become exercisable in full upon specified change in control events.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our 2016 Plan, our 2019 Plan and our 2019 Employee Stock Purchase Plan, or 2019 ESPP, as of December 31,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4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460" w:type="dxa"/>
            <w:vAlign w:val="bottom"/>
          </w:tcPr>
          <w:p>
            <w:pPr>
              <w:spacing w:after="0"/>
              <w:rPr>
                <w:sz w:val="12"/>
                <w:szCs w:val="12"/>
                <w:color w:val="auto"/>
              </w:rPr>
            </w:pPr>
          </w:p>
        </w:tc>
        <w:tc>
          <w:tcPr>
            <w:tcW w:w="190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5900" w:type="dxa"/>
            <w:vAlign w:val="bottom"/>
            <w:gridSpan w:val="2"/>
            <w:vMerge w:val="continue"/>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42"/>
        </w:trPr>
        <w:tc>
          <w:tcPr>
            <w:tcW w:w="51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8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(1)(2)(3)</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5,188,354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13.91</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992,982</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 (4)</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198,000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28.40</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5,386,354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14.44</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992,982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2019 Plan and 2019 ESPP.</w:t>
      </w:r>
    </w:p>
    <w:p>
      <w:pPr>
        <w:spacing w:after="0" w:line="130" w:lineRule="exact"/>
        <w:rPr>
          <w:rFonts w:ascii="Times New Roman" w:cs="Times New Roman" w:eastAsia="Times New Roman" w:hAnsi="Times New Roman"/>
          <w:sz w:val="18"/>
          <w:szCs w:val="18"/>
          <w:color w:val="auto"/>
        </w:rPr>
      </w:pPr>
    </w:p>
    <w:p>
      <w:pPr>
        <w:ind w:left="540" w:right="180" w:hanging="424"/>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286,324 shares of our common stock were available for issuance under the 2019 Plan. The number of shares reserved for issuance under the 2019 Plan will be increased on each January 1 through January 1, 2029 by the least of (i) 2,000,000 shares, (ii) 4% of the number of shares of our common stock outstanding on the first day of such year or (iii) an amount determined by our board of directors. The shares of common stock underlying any awards that are expired, forfeited, canceled, held back upon exercise or settlement of an award to satisfy the exercise price or tax withholding, repurchased or are otherwise terminated by us under the 2019 Plan or the 2016 Plan are added back to the shares of common stock available for issuance under the 2019 Plan. On January 1, 2022, the shares under the 2019 Plan were increased by 1,625,455 shares pursuant to the annual increase described above.</w:t>
      </w:r>
    </w:p>
    <w:p>
      <w:pPr>
        <w:spacing w:after="0" w:line="94" w:lineRule="exact"/>
        <w:rPr>
          <w:rFonts w:ascii="Times New Roman" w:cs="Times New Roman" w:eastAsia="Times New Roman" w:hAnsi="Times New Roman"/>
          <w:sz w:val="18"/>
          <w:szCs w:val="18"/>
          <w:color w:val="auto"/>
        </w:rPr>
      </w:pPr>
    </w:p>
    <w:p>
      <w:pPr>
        <w:jc w:val="both"/>
        <w:ind w:left="540" w:right="140" w:hanging="424"/>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706,658 shares of our common stock were available for issuance under the 2019 ESPP, including 21,085 shares of our common stock subject to purchase during the current purchase period which commenced on November 15, 2021 and ends on May 14, 2022. The number of shares reserved for issuance under the 2019 ESPP will be increased on each January 1 through January 1, 2029 by the least of</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(i) 428,571 shares, (ii) 1% of the number of shares of our common stock outstanding on the first day of such year or (iii) an amount determined by our board of directors. On January 1, 2022, the shares under the 2019 ESPP were increased by 406,363 shares pursuant to annual increase described above.</w:t>
      </w:r>
    </w:p>
    <w:p>
      <w:pPr>
        <w:spacing w:after="0" w:line="81" w:lineRule="exact"/>
        <w:rPr>
          <w:sz w:val="20"/>
          <w:szCs w:val="20"/>
          <w:color w:val="auto"/>
        </w:rPr>
      </w:pPr>
    </w:p>
    <w:p>
      <w:pPr>
        <w:ind w:left="540" w:hanging="424"/>
        <w:spacing w:after="0" w:line="258"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granted as inducements material to acceptance of employment with us in accordance with Nasdaq Listing Rule 5635(c)(4). In February 2022, our board of directors adopted the 2022 Inducement Stock Incentive Plan, or the Inducement Plan, pursuant to which we may grant, subject to the terms of the Inducement Plan and Nasdaq rules, stock-based awards. We initially reserved a total of 1,750,000 shares of common stock for the issuance of awards under the Inducement Plan. The number of shares reserved and available for issuance under the Inducement Plan can be increased at any time with the approval of our board of directors.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2020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in Public Offerings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January 2021, we issued and sold 4,600,000 shares of our common stock in a public offering at a public offering price of $11.00 per share. Certain holders of more than 5% of our voting securities at the time of the January 2021 offering and their affiliates purchased an aggregate of 2,968,181 shares of our common stock in the initial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240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Suvretta Capital Management, LLC</w:t>
            </w:r>
          </w:p>
        </w:tc>
        <w:tc>
          <w:tcPr>
            <w:tcW w:w="8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1,363,636</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RTW Investments, LP</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11,000,000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w:t>
            </w:r>
          </w:p>
        </w:tc>
        <w:tc>
          <w:tcPr>
            <w:tcW w:w="24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454,545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4,999,995</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 Capital Partners, L.P.</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August 2021, we issued and sold 7,590,000 shares of our common stock in a public offering at a public offering price of $19.00 per share. Certain holders of more than 5% of our voting securities at the time of the August 2021 offering and their affiliates purchased an aggregate of 2,590,000 shares of our common stock in the initial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4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73"/>
        </w:trPr>
        <w:tc>
          <w:tcPr>
            <w:tcW w:w="7240" w:type="dxa"/>
            <w:vAlign w:val="bottom"/>
            <w:gridSpan w:val="2"/>
            <w:vMerge w:val="continue"/>
          </w:tcPr>
          <w:p>
            <w:pPr>
              <w:spacing w:after="0"/>
              <w:rPr>
                <w:sz w:val="15"/>
                <w:szCs w:val="15"/>
                <w:color w:val="auto"/>
              </w:rPr>
            </w:pPr>
          </w:p>
        </w:tc>
        <w:tc>
          <w:tcPr>
            <w:tcW w:w="248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w:t>
            </w:r>
          </w:p>
        </w:tc>
        <w:tc>
          <w:tcPr>
            <w:tcW w:w="8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 Capital Partners, L.P.</w:t>
            </w:r>
          </w:p>
        </w:tc>
        <w:tc>
          <w:tcPr>
            <w:tcW w:w="24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650,000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12,350,000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RTW Investments, LP</w:t>
            </w:r>
          </w:p>
        </w:tc>
        <w:tc>
          <w:tcPr>
            <w:tcW w:w="24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650,000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12,350,000</w:t>
            </w:r>
          </w:p>
        </w:tc>
        <w:tc>
          <w:tcPr>
            <w:tcW w:w="0" w:type="dxa"/>
            <w:vAlign w:val="bottom"/>
          </w:tcPr>
          <w:p>
            <w:pPr>
              <w:spacing w:after="0"/>
              <w:rPr>
                <w:sz w:val="1"/>
                <w:szCs w:val="1"/>
                <w:color w:val="auto"/>
              </w:rPr>
            </w:pPr>
          </w:p>
        </w:tc>
      </w:t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Suvretta Capital Management, LLC</w:t>
            </w:r>
          </w:p>
        </w:tc>
        <w:tc>
          <w:tcPr>
            <w:tcW w:w="24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“Principal Stockholders” for additional information about shares held by these entities.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our directors and officers to the fullest extent permitted by Delaware law. In addition, we have entered into indemnification agreements with all of our directors and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written policies and procedures for the review of any transaction, arrangement or relationship in which our company is a participant, the amount involved exceeds (i) the lesser of (x) $120,000 and (y)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 of our average total assets at year end for the last two completed fiscal years, if we are a “smaller reporting company” under applicable SEC rules, or</w:t>
      </w:r>
    </w:p>
    <w:p>
      <w:pPr>
        <w:spacing w:after="0" w:line="39" w:lineRule="exact"/>
        <w:rPr>
          <w:sz w:val="20"/>
          <w:szCs w:val="20"/>
          <w:color w:val="auto"/>
        </w:rPr>
      </w:pPr>
    </w:p>
    <w:p>
      <w:pPr>
        <w:ind w:left="380" w:hanging="264"/>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 if we are not a “smaller reporting company” under applicable SEC rules, and one of our executive officers, directors, director nominees or</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stockholders, or their immediate family members, each of whom we refer to as a “related person,” has a direct or indirect material interest.</w:t>
      </w:r>
    </w:p>
    <w:p>
      <w:pPr>
        <w:spacing w:after="0" w:line="20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89" w:lineRule="exact"/>
        <w:rPr>
          <w:sz w:val="20"/>
          <w:szCs w:val="20"/>
          <w:color w:val="auto"/>
        </w:rPr>
      </w:pPr>
    </w:p>
    <w:p>
      <w:pPr>
        <w:ind w:left="120" w:right="580"/>
        <w:spacing w:after="0" w:line="312" w:lineRule="auto"/>
        <w:rPr>
          <w:sz w:val="20"/>
          <w:szCs w:val="20"/>
          <w:color w:val="auto"/>
        </w:rPr>
      </w:pPr>
      <w:r>
        <w:rPr>
          <w:rFonts w:ascii="Times New Roman" w:cs="Times New Roman" w:eastAsia="Times New Roman" w:hAnsi="Times New Roman"/>
          <w:sz w:val="17"/>
          <w:szCs w:val="17"/>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45"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that could have been reached with an unrelated third party;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jc w:val="both"/>
        <w:ind w:left="120" w:right="580"/>
        <w:spacing w:after="0" w:line="312" w:lineRule="auto"/>
        <w:rPr>
          <w:sz w:val="20"/>
          <w:szCs w:val="20"/>
          <w:color w:val="auto"/>
        </w:rPr>
      </w:pPr>
      <w:r>
        <w:rPr>
          <w:rFonts w:ascii="Times New Roman" w:cs="Times New Roman" w:eastAsia="Times New Roman" w:hAnsi="Times New Roman"/>
          <w:sz w:val="17"/>
          <w:szCs w:val="17"/>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4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81" w:lineRule="exact"/>
        <w:rPr>
          <w:sz w:val="20"/>
          <w:szCs w:val="20"/>
          <w:color w:val="auto"/>
        </w:rPr>
      </w:pPr>
    </w:p>
    <w:p>
      <w:pPr>
        <w:ind w:left="1080" w:right="20" w:hanging="424"/>
        <w:spacing w:after="0" w:line="277"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7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specifically contemplated by provisions of our certificate of incorporation or bylaws.</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with respect to the beneficial ownership of our common stock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 by:</w:t>
      </w:r>
    </w:p>
    <w:p>
      <w:pPr>
        <w:spacing w:after="0" w:line="112"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to us to be the beneficial owner of 5% or more of the outstanding shares of our common stock.</w:t>
      </w:r>
    </w:p>
    <w:p>
      <w:pPr>
        <w:spacing w:after="0" w:line="162"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40,684,025 shares of our common stock outstanding as of March 31, 2022.</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2022 are considered outstanding and beneficially owned by the person holding the options for the purpose of calculating the percentage ownership of that person but not for the purpose of calculating the percentage ownership of any other person. The table is based upon information supplied by our officers, directors and 5% stockholders and/or a review of Schedules 13D and 13G documents filed with the SEC, if any, and other sources.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Fulcrum Therapeutics, Inc., 26 Landsdowne Street, Cambridge, Massachusetts 02139.</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3080" w:type="dxa"/>
            <w:vAlign w:val="bottom"/>
            <w:vMerge w:val="restart"/>
          </w:tcPr>
          <w:p>
            <w:pPr>
              <w:jc w:val="center"/>
              <w:ind w:left="119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2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1220" w:type="dxa"/>
            <w:vAlign w:val="bottom"/>
            <w:gridSpan w:val="2"/>
          </w:tcPr>
          <w:p>
            <w:pPr>
              <w:jc w:val="center"/>
              <w:ind w:left="173"/>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080" w:type="dxa"/>
            <w:vAlign w:val="bottom"/>
          </w:tcPr>
          <w:p>
            <w:pPr>
              <w:jc w:val="center"/>
              <w:ind w:left="1192"/>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20" w:type="dxa"/>
            <w:vAlign w:val="bottom"/>
            <w:gridSpan w:val="2"/>
          </w:tcPr>
          <w:p>
            <w:pPr>
              <w:jc w:val="center"/>
              <w:ind w:left="173"/>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3080" w:type="dxa"/>
            <w:vAlign w:val="bottom"/>
          </w:tcPr>
          <w:p>
            <w:pPr>
              <w:jc w:val="center"/>
              <w:ind w:left="119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2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0" w:type="dxa"/>
            <w:vAlign w:val="bottom"/>
          </w:tcPr>
          <w:p>
            <w:pPr>
              <w:spacing w:after="0"/>
              <w:rPr>
                <w:sz w:val="1"/>
                <w:szCs w:val="1"/>
                <w:color w:val="auto"/>
              </w:rPr>
            </w:pPr>
          </w:p>
        </w:tc>
      </w:tr>
      <w:tr>
        <w:trPr>
          <w:trHeight w:val="210"/>
        </w:trPr>
        <w:tc>
          <w:tcPr>
            <w:tcW w:w="6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30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Third Rock Ventures</w:t>
            </w:r>
            <w:r>
              <w:rPr>
                <w:rFonts w:ascii="Times New Roman" w:cs="Times New Roman" w:eastAsia="Times New Roman" w:hAnsi="Times New Roman"/>
                <w:sz w:val="15"/>
                <w:szCs w:val="15"/>
                <w:color w:val="auto"/>
              </w:rPr>
              <w:t>(1)</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6,305,356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15"/>
                <w:szCs w:val="15"/>
                <w:color w:val="auto"/>
              </w:rPr>
              <w:t>(2)</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6,082,317</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RTW Investments, LP</w:t>
            </w:r>
            <w:r>
              <w:rPr>
                <w:rFonts w:ascii="Times New Roman" w:cs="Times New Roman" w:eastAsia="Times New Roman" w:hAnsi="Times New Roman"/>
                <w:sz w:val="15"/>
                <w:szCs w:val="15"/>
                <w:color w:val="auto"/>
              </w:rPr>
              <w:t>(3)</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3,866,872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Suvretta Capital Management, LLC</w:t>
            </w:r>
            <w:r>
              <w:rPr>
                <w:rFonts w:ascii="Times New Roman" w:cs="Times New Roman" w:eastAsia="Times New Roman" w:hAnsi="Times New Roman"/>
                <w:sz w:val="15"/>
                <w:szCs w:val="15"/>
                <w:color w:val="auto"/>
              </w:rPr>
              <w:t>(4)</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2,375,571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15"/>
                <w:szCs w:val="15"/>
                <w:color w:val="auto"/>
              </w:rPr>
              <w:t>(5)</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2,208,078</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Adage Capital Partners, L.P. </w:t>
            </w:r>
            <w:r>
              <w:rPr>
                <w:rFonts w:ascii="Times New Roman" w:cs="Times New Roman" w:eastAsia="Times New Roman" w:hAnsi="Times New Roman"/>
                <w:sz w:val="15"/>
                <w:szCs w:val="15"/>
                <w:color w:val="auto"/>
              </w:rPr>
              <w:t>(6)</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2,150,000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Cowen Financial Products LLC</w:t>
            </w:r>
            <w:r>
              <w:rPr>
                <w:rFonts w:ascii="Times New Roman" w:cs="Times New Roman" w:eastAsia="Times New Roman" w:hAnsi="Times New Roman"/>
                <w:sz w:val="15"/>
                <w:szCs w:val="15"/>
                <w:color w:val="auto"/>
              </w:rPr>
              <w:t>(7)</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2,096,890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90"/>
        </w:trPr>
        <w:tc>
          <w:tcPr>
            <w:tcW w:w="67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3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Bryan Stuart</w:t>
            </w:r>
            <w:r>
              <w:rPr>
                <w:rFonts w:ascii="Times New Roman" w:cs="Times New Roman" w:eastAsia="Times New Roman" w:hAnsi="Times New Roman"/>
                <w:sz w:val="15"/>
                <w:szCs w:val="15"/>
                <w:color w:val="auto"/>
              </w:rPr>
              <w:t>(8)</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465,226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Gould</w:t>
            </w:r>
            <w:r>
              <w:rPr>
                <w:rFonts w:ascii="Times New Roman" w:cs="Times New Roman" w:eastAsia="Times New Roman" w:hAnsi="Times New Roman"/>
                <w:sz w:val="15"/>
                <w:szCs w:val="15"/>
                <w:color w:val="auto"/>
              </w:rPr>
              <w:t>(9)</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1,036,542</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Judith A. Dunn</w:t>
            </w:r>
            <w:r>
              <w:rPr>
                <w:rFonts w:ascii="Times New Roman" w:cs="Times New Roman" w:eastAsia="Times New Roman" w:hAnsi="Times New Roman"/>
                <w:sz w:val="15"/>
                <w:szCs w:val="15"/>
                <w:color w:val="auto"/>
              </w:rPr>
              <w:t>(10)</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62,555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Morabito</w:t>
            </w:r>
            <w:r>
              <w:rPr>
                <w:rFonts w:ascii="Times New Roman" w:cs="Times New Roman" w:eastAsia="Times New Roman" w:hAnsi="Times New Roman"/>
                <w:sz w:val="15"/>
                <w:szCs w:val="15"/>
                <w:color w:val="auto"/>
              </w:rPr>
              <w:t>(11)</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45,584</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Kate Haviland</w:t>
            </w:r>
            <w:r>
              <w:rPr>
                <w:rFonts w:ascii="Times New Roman" w:cs="Times New Roman" w:eastAsia="Times New Roman" w:hAnsi="Times New Roman"/>
                <w:sz w:val="15"/>
                <w:szCs w:val="15"/>
                <w:color w:val="auto"/>
              </w:rPr>
              <w:t>(12)</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40,667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Sonja L. Banks</w:t>
            </w:r>
            <w:r>
              <w:rPr>
                <w:rFonts w:ascii="Times New Roman" w:cs="Times New Roman" w:eastAsia="Times New Roman" w:hAnsi="Times New Roman"/>
                <w:sz w:val="15"/>
                <w:szCs w:val="15"/>
                <w:color w:val="auto"/>
              </w:rPr>
              <w:t>(13)</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4,166</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James J. Collins</w:t>
            </w:r>
            <w:r>
              <w:rPr>
                <w:rFonts w:ascii="Times New Roman" w:cs="Times New Roman" w:eastAsia="Times New Roman" w:hAnsi="Times New Roman"/>
                <w:sz w:val="15"/>
                <w:szCs w:val="15"/>
                <w:color w:val="auto"/>
              </w:rPr>
              <w:t>(14)</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45,712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Katina Dorton</w:t>
            </w:r>
            <w:r>
              <w:rPr>
                <w:rFonts w:ascii="Times New Roman" w:cs="Times New Roman" w:eastAsia="Times New Roman" w:hAnsi="Times New Roman"/>
                <w:sz w:val="15"/>
                <w:szCs w:val="15"/>
                <w:color w:val="auto"/>
              </w:rPr>
              <w:t>(15)</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14,444</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Alan Ezekowitz</w:t>
            </w:r>
            <w:r>
              <w:rPr>
                <w:rFonts w:ascii="Times New Roman" w:cs="Times New Roman" w:eastAsia="Times New Roman" w:hAnsi="Times New Roman"/>
                <w:sz w:val="15"/>
                <w:szCs w:val="15"/>
                <w:color w:val="auto"/>
              </w:rPr>
              <w:t>(16)</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60,712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Geraghty</w:t>
            </w:r>
            <w:r>
              <w:rPr>
                <w:rFonts w:ascii="Times New Roman" w:cs="Times New Roman" w:eastAsia="Times New Roman" w:hAnsi="Times New Roman"/>
                <w:sz w:val="15"/>
                <w:szCs w:val="15"/>
                <w:color w:val="auto"/>
              </w:rPr>
              <w:t>(17)</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116,426</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Mark Levin</w:t>
            </w:r>
            <w:r>
              <w:rPr>
                <w:rFonts w:ascii="Times New Roman" w:cs="Times New Roman" w:eastAsia="Times New Roman" w:hAnsi="Times New Roman"/>
                <w:sz w:val="15"/>
                <w:szCs w:val="15"/>
                <w:color w:val="auto"/>
              </w:rPr>
              <w:t>(18)</w:t>
            </w:r>
          </w:p>
        </w:tc>
        <w:tc>
          <w:tcPr>
            <w:tcW w:w="3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3,971,487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All current executive officers and directors as a group </w:t>
            </w:r>
            <w:r>
              <w:rPr>
                <w:rFonts w:ascii="Times New Roman" w:cs="Times New Roman" w:eastAsia="Times New Roman" w:hAnsi="Times New Roman"/>
                <w:sz w:val="18"/>
                <w:szCs w:val="18"/>
                <w:color w:val="auto"/>
              </w:rPr>
              <w:t>(13 persons)</w:t>
            </w:r>
            <w:r>
              <w:rPr>
                <w:rFonts w:ascii="Times New Roman" w:cs="Times New Roman" w:eastAsia="Times New Roman" w:hAnsi="Times New Roman"/>
                <w:sz w:val="15"/>
                <w:szCs w:val="15"/>
                <w:color w:val="auto"/>
              </w:rPr>
              <w:t>(19)</w:t>
            </w:r>
          </w:p>
        </w:tc>
        <w:tc>
          <w:tcPr>
            <w:tcW w:w="3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5,917,607</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Less than 1%</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3"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Third Rock Ventures III, L.P. on February 14, 2022 and a Schedule 13G filed by Third Rock Ventures IV, L.P. on February 14, 2022. Consists of (i) 3,962,202 shares of common stock held by Third Rock Ventures III, L.P., or TRV III LP, and (ii) 2,343,154 shares of common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 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97" w:lineRule="exact"/>
        <w:rPr>
          <w:rFonts w:ascii="Times New Roman" w:cs="Times New Roman" w:eastAsia="Times New Roman" w:hAnsi="Times New Roman"/>
          <w:sz w:val="18"/>
          <w:szCs w:val="18"/>
          <w:color w:val="auto"/>
        </w:rPr>
      </w:pPr>
    </w:p>
    <w:p>
      <w:pPr>
        <w:ind w:left="540" w:right="120" w:hanging="424"/>
        <w:spacing w:after="0" w:line="253"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FMR LLC on February 9, 2022. These accounts are managed by direct or indirect subsidiaries of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Massachusetts 02210.</w:t>
      </w:r>
    </w:p>
    <w:p>
      <w:pPr>
        <w:spacing w:after="0" w:line="95" w:lineRule="exact"/>
        <w:rPr>
          <w:rFonts w:ascii="Times New Roman" w:cs="Times New Roman" w:eastAsia="Times New Roman" w:hAnsi="Times New Roman"/>
          <w:sz w:val="18"/>
          <w:szCs w:val="18"/>
          <w:color w:val="auto"/>
        </w:rPr>
      </w:pPr>
    </w:p>
    <w:p>
      <w:pPr>
        <w:ind w:left="540" w:right="180" w:hanging="424"/>
        <w:spacing w:after="0" w:line="25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RTW Investments, LP and Roderick Wong on February 14, 2022. Consists of 3,866,872 shares of common stock held by certain RTW funds, which are referred to herein collectively as the “Funds”, managed by RTW Investments, LP, or the Adviser. The Adviser, in its capacity as the investment manager of the Funds, has the power to vote and the power to direct the disposition of all shares held by the Funds, and accordingly, the Adviser may be deemed to beneficially own an aggregate of 3,866,872 shares. Roderick Wong is the managing partner of the Adviser. Each of the reporting persons disclaims beneficial ownership of the shares except to the extent of the reporting person’s pecuniary interest therein. The address of RTW Investments, LP is 40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Floor 7, New York, NY 10014.</w:t>
      </w:r>
    </w:p>
    <w:p>
      <w:pPr>
        <w:spacing w:after="0" w:line="92"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Suvretta Capital Management, LLC (Suvretta Capital), Averill Master Fund, Ltd. (Averill Fund) and Aaron Cowen (Suvretta Capital, together with Averill Fund and Mr. Cowen, the Suvretta Reporting Persons) on February 11, 2022. The Suvretta Reporting Persons reported that Suvretta Capital beneficially owns and has shared dispositive power with respect to 2,375,571 shares of our common stock, Averill Fund beneficially owns and has shared dispositive power with respect to 2,375,571 shares of our common stock and Mr. Cowen beneficially owns and has shared dispositive power with respect to 2,375,571 shares of our common stock. The principal business address for Suvretta Capital is 540 Madison Avenue, 7th Floor, New York, New York 10022 and the address of Averill Fund is c/o Maples Corporate Services Limited, P.O. Box 309, Ugland House, Grand Cayman KY1-1104, Cayman Islands.</w:t>
      </w:r>
    </w:p>
    <w:p>
      <w:pPr>
        <w:spacing w:after="0" w:line="94"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BlackRock, Inc. on February 4, 2022. Consists of 2,208,078 shares of common stock held by BlackRock, Inc. BlackRock reported that it possessed sole voting power of 2,159,645 shares and sole dispositive power of 2,208,078 shares. The principal business address for BlackRock is 55 East 52nd Street, New York, New York 10055.</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Adage Capital Partners, L.P. and related entities on March 10, 2022. Consists of 2,150,000 shares directly owned by Adage Capital Partners, L.P., and which shares may be deemed to be beneficially owned by Adage Capital Partners GP, L.L.C. and Adage Capital Advisors, L.L.C. Robert Atchinso and Phillip Gross are managing members of Adage Capital Partners GP, L.L.C. and Adage Capital Advisors, L.L.C. The address of each of Adage Capital Partners L.P., Adage Capital Partners GP, L.L.C. and Adage Capital Advisors, L.L.C. is 200 Clarendon Street, 52nd Floor, Boston, MA 02116.</w:t>
      </w:r>
    </w:p>
    <w:p>
      <w:pPr>
        <w:spacing w:after="0" w:line="88" w:lineRule="exact"/>
        <w:rPr>
          <w:rFonts w:ascii="Times New Roman" w:cs="Times New Roman" w:eastAsia="Times New Roman" w:hAnsi="Times New Roman"/>
          <w:sz w:val="18"/>
          <w:szCs w:val="18"/>
          <w:color w:val="auto"/>
        </w:rPr>
      </w:pPr>
    </w:p>
    <w:p>
      <w:pPr>
        <w:ind w:left="540" w:right="22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Cowen Financial Products LLC on March 9, 2022. Consists of 2,096,890 shares of common stock held by Cowen Financial Products LLC. Cowen Financial Products LLC reported that it possessed sole voting power of 2,096,890 shares and sole dispositive power of 2,096,890 shares. The principal business address for Cowen Financial Products LLC is 599 Lexington Avenue, New York, New York 10022.</w:t>
      </w:r>
    </w:p>
    <w:p>
      <w:pPr>
        <w:spacing w:after="0" w:line="85"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1,248 shares of common stock held by Mr. Stuart and 463,978 shares of common stock underlying options held by Mr. Stuart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506,630 shares of common stock held by Dr. Gould and 529,912 shares of common stock underlying options held by Dr. Gould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6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62,555 shares of common stock underlying options held by Dr. Dunn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1,100 shares of common stock held by Dr. Morabito and 44,484 shares of common stock underlying options held by Dr. Morabito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40,667 shares of common stock underlying options held by Ms. Haviland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6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4,166 shares of common stock underlying options held by Ms. Banks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23,571 shares of common stock held by Dr. Collins and 22,141 shares of common stock underlying options held by Dr. Collins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14,444 shares of common stock underlying options held by Ms. Dorton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1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28,927 shares of common stock held by Dr. Ezekowitz and 31,785 shares of common stock underlying options held by Dr. Ezekowitz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90,714 shares of common stock held by Mr. Geraghty and 25,712 shares of common stock underlying options held by Mr. Geraghty that are exercisable as of March 31, 2022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Note 1 above held by TRV III LP and 9,285 shares of common stock underlying options held by Mr. Levin that are exercisable as of March 31, 2022 or will become exercisable within 60 days after such date. Mr. Levin, a member of our board of directors, is a manager of TRV III LLC, which is the sole general partner of TRV GP III, which is the sole general partner of TRV III LP and may be deemed to be the indirect beneficial owner of such shares. Mr. Levin disclaims beneficial ownership over such shares, except to the extent of his proportionate pecuniary interest therein.</w:t>
      </w:r>
    </w:p>
    <w:p>
      <w:pPr>
        <w:spacing w:after="0" w:line="88"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4,616,728 shares of common stock and 1,300,879 shares of common stock underlying options that are exercisable as of March 31, 2022 or will become exercisable within 60 days after such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our audited consolidated financial statements for the fiscal year ended December 31, 2021 and discussed them with the Company’s management and Ernst &amp; Young LLP, the Company’s independent registered public accounting firm.</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consolidated financial statements be included in the Company’s Annual Report on Form 10-K for the year ended December 31, 2021.</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the audit committee of the board of directors of Fulcrum Therapeutics, Inc.</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Katina Dorton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Geraghty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Kate Haviland</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2022</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2021 Annual Report and proxy statement, may have been sent to multiple stockholders in your household unless you have requested otherwise. We will promptly deliver a separate copy of any of the above documents to you if you write or call us at Fulcrum Therapeutics, Inc., 26 Landsdowne Street, Cambridge, Massachusetts 02139, Attention: Corporate Secretary, telephone: (617) 651-8851.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 FOR OUR 2023 ANNUAL MEETING</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2023 proxy statement must submit the proposal in accordance with the procedures outlined in Rule 14a-8 of the Exchange Act so that it is received by us no later than December 29, 2022. However, if the date of the 2023 annual meeting of stockholders is changed by more than 30 days from the date of the previous year’s meeting, then the deadline is a reasonable time before we begin to print and send our proxy statement for the 2023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2023 annual meeting of stockholders, the required notice must be received by our corporate secretary at our principal executive offices no earlier than February 8, 2023 and no later than March 10, 2023.</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spacing w:after="0" w:line="17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94615</wp:posOffset>
            </wp:positionV>
            <wp:extent cx="2297430" cy="651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9743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Bryan Stuart</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215265</wp:posOffset>
            </wp:positionV>
            <wp:extent cx="6197600" cy="8229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4"/>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4"/>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lowerRoman"/>
      <w:start w:val="2"/>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2022-04-28T16:06:19Z</dcterms:created>
  <dcterms:modified xsi:type="dcterms:W3CDTF">2022-04-28T16:06:19Z</dcterms:modified>
</cp:coreProperties>
</file>