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2240" w:hanging="3912"/>
        <w:spacing w:after="0" w:line="287" w:lineRule="auto"/>
        <w:tabs>
          <w:tab w:leader="none" w:pos="21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6"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ectPr>
          <w:pgSz w:w="11900" w:h="16838" w:orient="portrait"/>
          <w:cols w:equalWidth="0" w:num="1">
            <w:col w:w="11240"/>
          </w:cols>
          <w:pgMar w:left="320" w:top="952"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47-4839948</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620" w:space="320"/>
            <w:col w:w="3300"/>
          </w:cols>
          <w:pgMar w:left="320" w:top="952" w:right="33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18"/>
          <w:szCs w:val="18"/>
          <w:b w:val="1"/>
          <w:bCs w:val="1"/>
          <w:color w:val="auto"/>
        </w:rPr>
        <w:t>26 Landsdowne Street</w:t>
      </w:r>
    </w:p>
    <w:p>
      <w:pPr>
        <w:spacing w:after="0" w:line="25" w:lineRule="exact"/>
        <w:rPr>
          <w:sz w:val="24"/>
          <w:szCs w:val="24"/>
          <w:color w:val="auto"/>
        </w:rPr>
      </w:pPr>
    </w:p>
    <w:p>
      <w:pPr>
        <w:ind w:left="178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Cambridge, Massachusetts</w:t>
      </w:r>
      <w:r>
        <w:rPr>
          <w:sz w:val="20"/>
          <w:szCs w:val="20"/>
          <w:color w:val="auto"/>
        </w:rPr>
        <w:tab/>
      </w:r>
      <w:r>
        <w:rPr>
          <w:rFonts w:ascii="Times New Roman" w:cs="Times New Roman" w:eastAsia="Times New Roman" w:hAnsi="Times New Roman"/>
          <w:sz w:val="18"/>
          <w:szCs w:val="18"/>
          <w:b w:val="1"/>
          <w:bCs w:val="1"/>
          <w:color w:val="auto"/>
        </w:rPr>
        <w:t>02139</w:t>
      </w:r>
    </w:p>
    <w:p>
      <w:pPr>
        <w:spacing w:after="0" w:line="16"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12(g) of the Act: None</w:t>
      </w:r>
    </w:p>
    <w:p>
      <w:pPr>
        <w:spacing w:after="0" w:line="2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59" w:lineRule="exact"/>
        <w:rPr>
          <w:sz w:val="24"/>
          <w:szCs w:val="24"/>
          <w:color w:val="auto"/>
        </w:rPr>
      </w:pPr>
    </w:p>
    <w:p>
      <w:pPr>
        <w:ind w:right="400"/>
        <w:spacing w:after="0" w:line="20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180"/>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80"/>
        <w:spacing w:after="0" w:line="249"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36" w:lineRule="exact"/>
        <w:rPr>
          <w:sz w:val="24"/>
          <w:szCs w:val="24"/>
          <w:color w:val="auto"/>
        </w:rPr>
      </w:pPr>
    </w:p>
    <w:p>
      <w:pPr>
        <w:ind w:right="600"/>
        <w:spacing w:after="0" w:line="211"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40"/>
        <w:spacing w:after="0" w:line="17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ind w:right="100"/>
        <w:spacing w:after="0" w:line="176"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ind w:right="220"/>
        <w:spacing w:after="0" w:line="191"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7" w:lineRule="exact"/>
        <w:rPr>
          <w:sz w:val="24"/>
          <w:szCs w:val="24"/>
          <w:color w:val="auto"/>
        </w:rPr>
      </w:pPr>
    </w:p>
    <w:p>
      <w:pPr>
        <w:ind w:right="140"/>
        <w:spacing w:after="0" w:line="239" w:lineRule="auto"/>
        <w:rPr>
          <w:sz w:val="20"/>
          <w:szCs w:val="20"/>
          <w:color w:val="auto"/>
        </w:rPr>
      </w:pPr>
      <w:r>
        <w:rPr>
          <w:rFonts w:ascii="Times New Roman" w:cs="Times New Roman" w:eastAsia="Times New Roman" w:hAnsi="Times New Roman"/>
          <w:sz w:val="15"/>
          <w:szCs w:val="15"/>
          <w:color w:val="auto"/>
        </w:rPr>
        <w:t>As of June 30, 2023, the last business day of the registrant’s most recently completed second fiscal quarter, the aggregate market value of the registrant’s common stock held by non-affiliates of the registrant, based on the closing price of the shares of common stock on the Nasdaq Global Market on June 30, 2023, was approximately $163,559,530.</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The number of shares of registrant’s common stock outstanding as of February 20, 2024 was 61,935,171.</w:t>
      </w:r>
    </w:p>
    <w:p>
      <w:pPr>
        <w:spacing w:after="0" w:line="2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30" w:lineRule="exact"/>
        <w:rPr>
          <w:sz w:val="24"/>
          <w:szCs w:val="24"/>
          <w:color w:val="auto"/>
        </w:rPr>
      </w:pPr>
    </w:p>
    <w:p>
      <w:pPr>
        <w:ind w:right="280"/>
        <w:spacing w:after="0" w:line="237" w:lineRule="auto"/>
        <w:rPr>
          <w:sz w:val="20"/>
          <w:szCs w:val="20"/>
          <w:color w:val="auto"/>
        </w:rPr>
      </w:pPr>
      <w:r>
        <w:rPr>
          <w:rFonts w:ascii="Times New Roman" w:cs="Times New Roman" w:eastAsia="Times New Roman" w:hAnsi="Times New Roman"/>
          <w:sz w:val="15"/>
          <w:szCs w:val="15"/>
          <w:color w:val="auto"/>
        </w:rPr>
        <w:t>The registrant intends to file a definitive proxy statement pursuant to Regulation 14A relating to the 2024 Annual Meeting of Stockholders within 120 days of the end of the registrant’s fiscal year ended December 31, 2023. Portions of such definitive proxy statement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11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2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2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280" w:type="dxa"/>
            <w:vAlign w:val="bottom"/>
            <w:gridSpan w:val="2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8"/>
                <w:szCs w:val="18"/>
                <w:color w:val="auto"/>
              </w:rPr>
            </w:pPr>
          </w:p>
        </w:tc>
        <w:tc>
          <w:tcPr>
            <w:tcW w:w="8540" w:type="dxa"/>
            <w:vAlign w:val="bottom"/>
            <w:gridSpan w:val="2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7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18"/>
                <w:szCs w:val="18"/>
                <w:color w:val="auto"/>
              </w:rPr>
            </w:pPr>
          </w:p>
        </w:tc>
        <w:tc>
          <w:tcPr>
            <w:tcW w:w="7380" w:type="dxa"/>
            <w:vAlign w:val="bottom"/>
            <w:tcBorders>
              <w:top w:val="single" w:sz="8" w:color="0000FF"/>
            </w:tcBorders>
            <w:gridSpan w:val="24"/>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8"/>
                <w:szCs w:val="18"/>
                <w:color w:val="auto"/>
              </w:rPr>
            </w:pPr>
          </w:p>
        </w:tc>
        <w:tc>
          <w:tcPr>
            <w:tcW w:w="1000" w:type="dxa"/>
            <w:vAlign w:val="bottom"/>
            <w:tcBorders>
              <w:top w:val="single" w:sz="8" w:color="0000FF"/>
            </w:tcBorders>
            <w:gridSpan w:val="2"/>
          </w:tcPr>
          <w:p>
            <w:pPr>
              <w:spacing w:after="0"/>
              <w:rPr>
                <w:sz w:val="18"/>
                <w:szCs w:val="18"/>
                <w:color w:val="auto"/>
              </w:rPr>
            </w:pP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2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7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8"/>
                <w:szCs w:val="18"/>
                <w:color w:val="auto"/>
              </w:rPr>
            </w:pPr>
          </w:p>
        </w:tc>
        <w:tc>
          <w:tcPr>
            <w:tcW w:w="2260" w:type="dxa"/>
            <w:vAlign w:val="bottom"/>
            <w:tcBorders>
              <w:top w:val="single" w:sz="8" w:color="0000FF"/>
            </w:tcBorders>
            <w:gridSpan w:val="6"/>
          </w:tcPr>
          <w:p>
            <w:pPr>
              <w:spacing w:after="0"/>
              <w:rPr>
                <w:sz w:val="18"/>
                <w:szCs w:val="18"/>
                <w:color w:val="auto"/>
              </w:rPr>
            </w:pPr>
          </w:p>
        </w:tc>
        <w:tc>
          <w:tcPr>
            <w:tcW w:w="520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8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47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20" w:type="dxa"/>
            <w:vAlign w:val="bottom"/>
            <w:tcBorders>
              <w:top w:val="single" w:sz="8" w:color="0000FF"/>
              <w:bottom w:val="single" w:sz="8" w:color="0000EE"/>
            </w:tcBorders>
          </w:tcPr>
          <w:p>
            <w:pPr>
              <w:spacing w:after="0"/>
              <w:rPr>
                <w:sz w:val="18"/>
                <w:szCs w:val="18"/>
                <w:color w:val="auto"/>
              </w:rPr>
            </w:pPr>
          </w:p>
        </w:tc>
        <w:tc>
          <w:tcPr>
            <w:tcW w:w="1580" w:type="dxa"/>
            <w:vAlign w:val="bottom"/>
            <w:tcBorders>
              <w:top w:val="single" w:sz="8" w:color="0000FF"/>
            </w:tcBorders>
            <w:gridSpan w:val="6"/>
          </w:tcPr>
          <w:p>
            <w:pPr>
              <w:spacing w:after="0"/>
              <w:rPr>
                <w:sz w:val="18"/>
                <w:szCs w:val="18"/>
                <w:color w:val="auto"/>
              </w:rPr>
            </w:pPr>
          </w:p>
        </w:tc>
        <w:tc>
          <w:tcPr>
            <w:tcW w:w="614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this Annual Report on Form 10-K, unless otherwise stated or as the context otherwise requires, references to “Fulcrum,” “Fulcrum Therapeutics,” “the Company,” “we,” “us,” “our” and similar references refer to Fulcrum Therapeutics, Inc. together with its consolidated subsidiary. The Fulcrum Therapeutics logo and other trademarks or service marks of Fulcrum Therapeutics, Inc. appearing in this Annual Report on Form 10-K are the property of Fulcrum Therapeutics, Inc. This Annual Report on Form 10-K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which reflect our current views with respect to, among other things, our operations and financial performance. All statements other than statements of historical facts contained in this Annual Report on Form 10-K,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and include, among other statements, statements regarding:</w:t>
      </w:r>
    </w:p>
    <w:p>
      <w:pPr>
        <w:spacing w:after="0" w:line="94" w:lineRule="exact"/>
        <w:rPr>
          <w:sz w:val="20"/>
          <w:szCs w:val="20"/>
          <w:color w:val="auto"/>
        </w:rPr>
      </w:pPr>
    </w:p>
    <w:p>
      <w:pPr>
        <w:ind w:left="900" w:right="4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clinical trials of losmapimod and pociredir (formerly known as FTX-6058), including the effects of the revised inclusion and exclusion criteria on our trial of pociredir;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organizational streamlining and realignment of resources, including our anticipated cash runway;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drug target discovery screening programs;</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our research and development programs;</w:t>
      </w:r>
    </w:p>
    <w:p>
      <w:pPr>
        <w:spacing w:after="0" w:line="53"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losmapimod, pociredir and any other product candidates, including in combination with other drugs and therapies;</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obtain and maintain regulatory approvals for losmapimod, pociredir and any other product candidates;</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cash equivalents, and marketable securities;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 if our product candidates are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900" w:right="6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collaboration with MyoKardia, Inc., or MyoKardia, a wholly-owned subsidiary of Bristol-Myers Squibb Company, or under our exclusive global license agreement with CAMP4 Therapeutics Corp., or CAMP4;</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1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or an outbreak of highly infectious or contagious disease, such as the COVID-19 pandemic, on our business and operations, including our clinical trials and development plans, as well as our future financial results;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funding; and</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or a smaller reporting company as defined under the federal securities laws.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Such forward-looking statements are subject to various risks and uncertainties.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statistical and other industry and market data that we obtained from industry publications and research, surveys and studies conducted by third parties as well as our own estimates of potential market opportunities. All of the market data used in this Annual Report on Form 10-K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240" w:firstLine="562"/>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Annual Report on Form 10-K. Our principal risks include the following:</w:t>
      </w:r>
    </w:p>
    <w:p>
      <w:pPr>
        <w:spacing w:after="0" w:line="68" w:lineRule="exact"/>
        <w:rPr>
          <w:sz w:val="20"/>
          <w:szCs w:val="20"/>
          <w:color w:val="auto"/>
        </w:rPr>
      </w:pPr>
    </w:p>
    <w:p>
      <w:pPr>
        <w:ind w:left="900" w:right="42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Our net loss was $97.3 million for the year ended December 31, 2023 and $109.9 million for the year ended December 31, 2022. We expect to incur losses over the next several years and may never achieve or maintain profitability. As of December 31, 2023, we had an accumulated deficit of $509.7 million.</w:t>
      </w:r>
    </w:p>
    <w:p>
      <w:pPr>
        <w:spacing w:after="0" w:line="67" w:lineRule="exact"/>
        <w:rPr>
          <w:rFonts w:ascii="Times New Roman" w:cs="Times New Roman" w:eastAsia="Times New Roman" w:hAnsi="Times New Roman"/>
          <w:sz w:val="18"/>
          <w:szCs w:val="18"/>
          <w:color w:val="auto"/>
        </w:rPr>
      </w:pPr>
    </w:p>
    <w:p>
      <w:pPr>
        <w:ind w:left="900" w:right="20" w:hanging="383"/>
        <w:spacing w:after="0" w:line="26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and pociredir and continue research and development and initiate additional clinical trials of, and seek regulatory approval for, these and other product candidates.</w:t>
      </w:r>
    </w:p>
    <w:p>
      <w:pPr>
        <w:spacing w:after="0" w:line="71"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53"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further delays in completing, or ultimately be unable to complete, the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900" w:right="20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67" w:lineRule="exact"/>
        <w:rPr>
          <w:rFonts w:ascii="Times New Roman" w:cs="Times New Roman" w:eastAsia="Times New Roman" w:hAnsi="Times New Roman"/>
          <w:sz w:val="18"/>
          <w:szCs w:val="18"/>
          <w:color w:val="auto"/>
        </w:rPr>
      </w:pPr>
    </w:p>
    <w:p>
      <w:pPr>
        <w:ind w:left="900" w:right="580" w:hanging="383"/>
        <w:spacing w:after="0" w:line="312"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serious adverse events or unacceptable side effects are identified during the development of our product candidates, including others’ product candidates in the same class of drugs, we may need to abandon or limit our development of some of our product candidates.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 w:name="page5"/>
    <w:bookmarkEnd w:id="4"/>
    <w:p>
      <w:pPr>
        <w:ind w:left="383" w:hanging="383"/>
        <w:spacing w:after="0"/>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our discovery approach to build a pipeline of product candidates.</w:t>
      </w:r>
    </w:p>
    <w:p>
      <w:pPr>
        <w:spacing w:after="0" w:line="117" w:lineRule="exact"/>
        <w:rPr>
          <w:rFonts w:ascii="Times New Roman" w:cs="Times New Roman" w:eastAsia="Times New Roman" w:hAnsi="Times New Roman"/>
          <w:sz w:val="18"/>
          <w:szCs w:val="18"/>
          <w:color w:val="auto"/>
        </w:rPr>
      </w:pPr>
    </w:p>
    <w:p>
      <w:pPr>
        <w:ind w:left="383" w:right="2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383" w:right="140"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67" w:lineRule="exact"/>
        <w:rPr>
          <w:rFonts w:ascii="Times New Roman" w:cs="Times New Roman" w:eastAsia="Times New Roman" w:hAnsi="Times New Roman"/>
          <w:sz w:val="18"/>
          <w:szCs w:val="18"/>
          <w:color w:val="auto"/>
        </w:rPr>
      </w:pPr>
    </w:p>
    <w:p>
      <w:pPr>
        <w:ind w:left="383" w:right="30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3" w:lineRule="exact"/>
        <w:rPr>
          <w:rFonts w:ascii="Times New Roman" w:cs="Times New Roman" w:eastAsia="Times New Roman" w:hAnsi="Times New Roman"/>
          <w:sz w:val="18"/>
          <w:szCs w:val="18"/>
          <w:color w:val="auto"/>
        </w:rPr>
      </w:pPr>
    </w:p>
    <w:p>
      <w:pPr>
        <w:ind w:left="383" w:hanging="383"/>
        <w:spacing w:after="0" w:line="261"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and may in the future enter into, collaborations and license agreements with third parties for the discovery, development or commercialization of product candidates, including our collaboration with MyoKardia and our license agreement with CAMP4. If our collaboration is not successful or we are not able to develop product candidates that we license-in, we may not be able to capitalize on the market potential of these product candidates and our business could be adversely affected.</w:t>
      </w:r>
    </w:p>
    <w:p>
      <w:pPr>
        <w:spacing w:after="0" w:line="71" w:lineRule="exact"/>
        <w:rPr>
          <w:rFonts w:ascii="Times New Roman" w:cs="Times New Roman" w:eastAsia="Times New Roman" w:hAnsi="Times New Roman"/>
          <w:sz w:val="18"/>
          <w:szCs w:val="18"/>
          <w:color w:val="auto"/>
        </w:rPr>
      </w:pPr>
    </w:p>
    <w:p>
      <w:pPr>
        <w:ind w:left="383" w:right="20" w:hanging="383"/>
        <w:spacing w:after="0" w:line="289" w:lineRule="auto"/>
        <w:tabs>
          <w:tab w:leader="none" w:pos="38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49" w:lineRule="exact"/>
        <w:rPr>
          <w:rFonts w:ascii="Times New Roman" w:cs="Times New Roman" w:eastAsia="Times New Roman" w:hAnsi="Times New Roman"/>
          <w:sz w:val="17"/>
          <w:szCs w:val="17"/>
          <w:color w:val="auto"/>
        </w:rPr>
      </w:pPr>
    </w:p>
    <w:p>
      <w:pPr>
        <w:ind w:left="383" w:right="380"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67" w:lineRule="exact"/>
        <w:rPr>
          <w:rFonts w:ascii="Times New Roman" w:cs="Times New Roman" w:eastAsia="Times New Roman" w:hAnsi="Times New Roman"/>
          <w:sz w:val="18"/>
          <w:szCs w:val="18"/>
          <w:color w:val="auto"/>
        </w:rPr>
      </w:pPr>
    </w:p>
    <w:p>
      <w:pPr>
        <w:ind w:left="383" w:right="80"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67" w:lineRule="exact"/>
        <w:rPr>
          <w:rFonts w:ascii="Times New Roman" w:cs="Times New Roman" w:eastAsia="Times New Roman" w:hAnsi="Times New Roman"/>
          <w:sz w:val="18"/>
          <w:szCs w:val="18"/>
          <w:color w:val="auto"/>
        </w:rPr>
      </w:pPr>
    </w:p>
    <w:p>
      <w:pPr>
        <w:ind w:left="383" w:right="40" w:hanging="383"/>
        <w:spacing w:after="0" w:line="261"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was negatively impacted by the COVID-19 pandemic and may in the future be impacted by any future pandemics, as well as other geopolitical events that can impact our clinical trials or the supply chain, such as the Russian invasion of Ukraine or recent hostilities in Israel and the Gaza Strip. These events may continue to, and any future pandemics may, adversely impact economies worldwide, which could result in adverse effects on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7"/>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3"/>
          </w:cols>
          <w:pgMar w:left="837" w:top="1201" w:right="439" w:bottom="1440" w:gutter="0" w:footer="0" w:header="0"/>
        </w:sectPr>
      </w:pPr>
    </w:p>
    <w:bookmarkStart w:id="5" w:name="page6"/>
    <w:bookmarkEnd w:id="5"/>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small molecules to improve the lives of patients with genetically defined rare diseases in areas of high unmet medical need. Our most advanced clinical-stage product candidate, losmapimod, is being developed for the potential treatment of facioscapulohumeral muscular dystrophy, or FSHD. Our other clinical-stage product candidate is pociredir, formerly known as FTX-6058, which is being developed for the potential treatment of sickle cell disease, or SCD. We initiated REACH, a randomized, double-blind, placebo-controlled, multi-national Phase 3 clinical trial of losmapimod in the second quarter of 2022 and we completed enrollment during September 2023. The trial enrolled 260 patients. We expect to report topline data from REACH in the fourth quarter of 2024.</w:t>
      </w:r>
    </w:p>
    <w:p>
      <w:pPr>
        <w:spacing w:after="0" w:line="7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January 2023, we announced interim data from our Phase 1b clinical trial of pociredir in SCD. We completed enrollment in the 6 mg and 2 mg dose cohorts, and we do not plan to enroll additional subjects in these cohorts. Although we commenced enrollment in the 12 mg dose cohort, in February 2023 the U.S. Food and Drug Administration, or FDA, placed a full clinical hold on the Investigational New Drug, or IND, application for pociredir for SCD, which was lifted in August 2023. The Phase 1b clinical trial is being re-initiated at the 12 mg once daily dose level, with that cohort expected to enroll approximately 10 patients, and will be followed by an additional cohort of approximately 10 patients at the 20 mg once daily dose level. Following the clinical hold, we amended the protocol to revise the inclusion and exclusion criteria for the Phase 1b clinical trial to target patients with higher disease severity.</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product candidate development, we have developed a drug discovery approach that we employ to systematically identify and validate cellular drug targets that can potentially modulate gene expression to treat known root causes of genetically defined rare diseases. Our discovery approach led to the identification of both losmapimod for FSHD and pociredir for SCD, as well as a robust discovery pipeline. With our priorities focused on the development and potential commercialization of our two clinical-stage assets, losmapimod and pociredir, and ongoing work on our preclinical programs in hematology and muscle diseases, we are realigning our strategy and resources accordingly and will be winding down certain exploratory activities from our discovery efforts.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Using our discovery approach, we have generated a pipeline of potentially disease-modifying therapies that address the known root causes of rare genetic diseases. The following chart summarizes key information about our pipeline of clinical stage and pre-clinical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3324860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114300</wp:posOffset>
            </wp:positionV>
            <wp:extent cx="5760720" cy="2503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2503170"/>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Through our focus on the development of small molecules, including our product candidates for the treatment of FSHD and SCD, our aim is to address unmet need in patients with genetically defined rare diseases that are debilitating and, in the case of SCD, life-threatening. The key components of our strategy include:</w:t>
      </w:r>
    </w:p>
    <w:p>
      <w:pPr>
        <w:spacing w:after="0" w:line="64" w:lineRule="exact"/>
        <w:rPr>
          <w:sz w:val="20"/>
          <w:szCs w:val="20"/>
          <w:color w:val="auto"/>
        </w:rPr>
      </w:pPr>
    </w:p>
    <w:p>
      <w:pPr>
        <w:ind w:left="900" w:right="120" w:hanging="368"/>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Rapidly develop losmapimod for the treatment of FSHD. </w:t>
      </w:r>
      <w:r>
        <w:rPr>
          <w:rFonts w:ascii="Times New Roman" w:cs="Times New Roman" w:eastAsia="Times New Roman" w:hAnsi="Times New Roman"/>
          <w:sz w:val="18"/>
          <w:szCs w:val="18"/>
          <w:color w:val="auto"/>
        </w:rPr>
        <w:t>We aim to rapidly complete the clinical development of losmapimod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of FSHD to support regulatory approval. In the second quarter of 2022, we initiated REACH, a randomized, double-blind, placebo-controlled, 48-week Phase 3 clinical trial to evaluate the efficacy and safety of losmapimod for the treatment of FSHD. We completed enrollment in September 2023 and expect to report topline data in the fourth quarter of 2024.</w:t>
      </w:r>
    </w:p>
    <w:p>
      <w:pPr>
        <w:spacing w:after="0" w:line="68" w:lineRule="exact"/>
        <w:rPr>
          <w:rFonts w:ascii="Times New Roman" w:cs="Times New Roman" w:eastAsia="Times New Roman" w:hAnsi="Times New Roman"/>
          <w:sz w:val="18"/>
          <w:szCs w:val="18"/>
          <w:color w:val="auto"/>
        </w:rPr>
      </w:pPr>
    </w:p>
    <w:p>
      <w:pPr>
        <w:ind w:left="900" w:hanging="368"/>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Rapidly develop pociredir for the treatment of SCD. </w:t>
      </w:r>
      <w:r>
        <w:rPr>
          <w:rFonts w:ascii="Times New Roman" w:cs="Times New Roman" w:eastAsia="Times New Roman" w:hAnsi="Times New Roman"/>
          <w:sz w:val="18"/>
          <w:szCs w:val="18"/>
          <w:color w:val="auto"/>
        </w:rPr>
        <w:t>We aim to rapidly complete the clinical development of pociredir for the treatment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SCD to support regulatory approval. We are currently reinitiating the Phase 1b clinical trial at the 12 mg once daily dose level, with that cohort expected to enroll approximately 10 patients, which will be followed by an additional cohort of approximately 10 patients at the 20 mg once daily dose level.</w:t>
      </w:r>
    </w:p>
    <w:p>
      <w:pPr>
        <w:spacing w:after="0" w:line="68" w:lineRule="exact"/>
        <w:rPr>
          <w:rFonts w:ascii="Times New Roman" w:cs="Times New Roman" w:eastAsia="Times New Roman" w:hAnsi="Times New Roman"/>
          <w:sz w:val="18"/>
          <w:szCs w:val="18"/>
          <w:color w:val="auto"/>
        </w:rPr>
      </w:pPr>
    </w:p>
    <w:p>
      <w:pPr>
        <w:ind w:left="900" w:right="20" w:hanging="368"/>
        <w:spacing w:after="0" w:line="259"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apply our discovery efforts to grow our portfolio of product candidates for the treatment of genetically defined rare diseases. </w:t>
      </w:r>
      <w:r>
        <w:rPr>
          <w:rFonts w:ascii="Times New Roman" w:cs="Times New Roman" w:eastAsia="Times New Roman" w:hAnsi="Times New Roman"/>
          <w:sz w:val="18"/>
          <w:szCs w:val="18"/>
          <w:color w:val="auto"/>
        </w:rPr>
        <w:t>We have developed a discovery approach that we employ to systematically identify and validate cellular drug targets that can potentially modulate gene expression to treat known root causes of genetically defined rare diseases, with a focus on muscle and hematology diseases. We also seek to explore opportunities to acquire or in-license complementary technologies or therapies, such as our recent exclusive global license agreement with CAMP4 Therapeutics Corp., or CAMP4.</w:t>
      </w:r>
    </w:p>
    <w:p>
      <w:pPr>
        <w:spacing w:after="0" w:line="71" w:lineRule="exact"/>
        <w:rPr>
          <w:rFonts w:ascii="Times New Roman" w:cs="Times New Roman" w:eastAsia="Times New Roman" w:hAnsi="Times New Roman"/>
          <w:sz w:val="18"/>
          <w:szCs w:val="18"/>
          <w:color w:val="auto"/>
        </w:rPr>
      </w:pPr>
    </w:p>
    <w:p>
      <w:pPr>
        <w:ind w:left="900" w:right="240" w:hanging="368"/>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Maximize the commercial potential of our product candidates. </w:t>
      </w:r>
      <w:r>
        <w:rPr>
          <w:rFonts w:ascii="Times New Roman" w:cs="Times New Roman" w:eastAsia="Times New Roman" w:hAnsi="Times New Roman"/>
          <w:sz w:val="18"/>
          <w:szCs w:val="18"/>
          <w:color w:val="auto"/>
        </w:rPr>
        <w:t>We have retained all rights to our lead product candidates focused on rare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genetically defined diseases, and we plan to commercialize any approved product for such rare genetically defined diseases using a targeted sales infrastructure. We may in the future pursue commercialization partnerships for certain product candidates and/or markets outside the United States.</w:t>
      </w:r>
    </w:p>
    <w:p>
      <w:pPr>
        <w:spacing w:after="0" w:line="68" w:lineRule="exact"/>
        <w:rPr>
          <w:rFonts w:ascii="Times New Roman" w:cs="Times New Roman" w:eastAsia="Times New Roman" w:hAnsi="Times New Roman"/>
          <w:sz w:val="18"/>
          <w:szCs w:val="18"/>
          <w:color w:val="auto"/>
        </w:rPr>
      </w:pPr>
    </w:p>
    <w:p>
      <w:pPr>
        <w:ind w:left="900" w:hanging="368"/>
        <w:spacing w:after="0" w:line="259"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Selectively enter into strategic partnerships to maximize the value of our discovery approach and pipeline. </w:t>
      </w:r>
      <w:r>
        <w:rPr>
          <w:rFonts w:ascii="Times New Roman" w:cs="Times New Roman" w:eastAsia="Times New Roman" w:hAnsi="Times New Roman"/>
          <w:sz w:val="18"/>
          <w:szCs w:val="18"/>
          <w:color w:val="auto"/>
        </w:rPr>
        <w:t>Given the breadth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opportunities for our discovery approach to discover drug targets and develop product candidates for genetically defined diseases, we may enter into strategic partnerships for certain drug targets, product candidates or disease areas, such as our collaboration and license agreement with MyoKardia, a wholly-owned subsidiary of Bristol Myers Squibb. Partnerships may provide an attractive avenue for expanding the impact of our discovery efforts.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Lead Product Candidates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have used our discovery approach and screening efforts to identify drug targets for our lead product candidates and currently have two product candidates in clinical trials, as shown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1995805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131445</wp:posOffset>
            </wp:positionV>
            <wp:extent cx="5760720" cy="1020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10204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Losmapimod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Facioscapulohumeral Muscular Dystrophy</w:t>
      </w:r>
    </w:p>
    <w:p>
      <w:pPr>
        <w:spacing w:after="0" w:line="11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Facioscapulohumeral muscular dystrophy is a rare, progressive and disabling disease for which there are no approved treatments. FSHD is one of the most common forms of muscular dystrophy and affects both sexes equally, with onset typically in teens and young adults. FSHD is characterized by progressive skeletal muscle loss that initially causes weakness in muscles in the face, shoulders, arms and trunk and progresses to weakness in muscles in lower extremities and the pelvic girdle. Skeletal muscle weakness results in significant physical limitations, including progressive loss of independence, including impacts to facial muscles that can cause problems with communication, difficulty using arms for activities of daily living and difficulty getting out of bed, with many patients ultimately becoming dependent upon the use of a wheelchair for daily mobility activities. The majority of patients with FSHD also report experiencing chronic pain, anxiety and depression. The diagnosis and treatment of patients with FSHD is typically performed by neurologists.</w:t>
      </w:r>
    </w:p>
    <w:p>
      <w:pPr>
        <w:spacing w:after="0" w:line="19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Based on an estimated prevalence of approximately 1 in 8,000 people to 1 in 20,000 people (Jia et al, 2021, Neuromuscular Disorders) and a U.S. population of approximately 333 million people, we estimate that the FSHD patient population is approximately 30,000 individuals in the United States. We believe that there may be additional patients who are not formally diagnosed due to a perceived difficulty of obtaining a diagnosis and the fact that there are no approved treatments. Approximately two-thirds of FSHD cases are familial-inherited in an autosomal dominant fashion and one-third of cases are sporadic. FSHD affects all ethnic groups with similar incidence and prevalence.</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Current treatment of FSHD is limited to symptomatic management including physical/ occupational therapy, low-intensity aerobic exercise tailored to the patient’s distribution of weakness, and general pain management, which may provide limited beneficial effect. Limited range of motion in the shoulder girdle can stem from periscapular muscle weakness leading to scapular winging and in such cases, surgical scapular fixation can result in some functional improvement for certain patients.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FSHD Biology</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FSHD is caused by aberrant expression of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in skeletal muscle resulting in the inappropriate presence of DUX4 protein, a transcription factor causing the expression of other genes. Normally, DUX4-driven gene expression is limited to early embryonic development, after which time the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gene is silenced. In patients with FSHD, aberrant production of DUX4 protein in skeletal muscle regulates other genes encoding proteins, some of which are toxic to the muscle. The result of aberrant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in FSHD is death of muscle and its replacement by fat, resulting in skeletal muscle weakness and progressive disability. We believe that reducing expression of the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gene and its downstream transcriptional program could provide a disease-modifying therapeutic approach for the treatment of FSHD at its root cause. Published preclinical and human data, in addition to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experiments that we have conducted, suggest that any reduction in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may be beneficial for patients. In preclinical studies, we have demonstrated that there is a direct relationship between muscle cell death (apoptosis) and the level of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and a reduction in DUX4 leads to a concomitant decrease in apoptosis. As illustrated in the graphic below, in animal models where expression of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in skeletal muscle is induced, a corresponding loss of function is observed with increasing levels of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In these animal models where low levels of DUX4 are expressed, the animals performed similarly to healthy animals in a mobility assessment, suggesting that complete DUX4 reduction is not required for a functional benefit. Data from human muscle biopsies likewise indicated that increased DUX4 activity is related to worsening muscle pathology.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219075</wp:posOffset>
            </wp:positionV>
            <wp:extent cx="2811780" cy="1714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1178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P-value = &lt;0.001</w:t>
      </w:r>
    </w:p>
    <w:p>
      <w:pPr>
        <w:spacing w:after="0" w:line="250"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In all patients with FSHD, the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gene is unsilenced, or de-repressed, as a result of one of two different types of genetic alterations, leading to FSHD1 or FSHD2; both FSHD1 and FSHD2 converge on a common downstream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648970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 w:name="page9"/>
    <w:bookmarkEnd w:id="8"/>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resulting in a clinically indistinguishable phenotype. Approximately 95% of patients have FSHD1 and approximately 5% of patients have FSHD2. FSHD1 is caused by the contraction of an array of DNA, known as a D4Z4 repeat, from greater than ten repeat units to nine or fewer units. This contraction causes de-repression of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Patients with FSHD2 do not have meaningful D4Z4 repeat contraction, but have mutations in regulatory genes, primarily the </w:t>
      </w:r>
      <w:r>
        <w:rPr>
          <w:rFonts w:ascii="Times New Roman" w:cs="Times New Roman" w:eastAsia="Times New Roman" w:hAnsi="Times New Roman"/>
          <w:sz w:val="18"/>
          <w:szCs w:val="18"/>
          <w:i w:val="1"/>
          <w:iCs w:val="1"/>
          <w:color w:val="auto"/>
        </w:rPr>
        <w:t xml:space="preserve">SMCHD1 </w:t>
      </w:r>
      <w:r>
        <w:rPr>
          <w:rFonts w:ascii="Times New Roman" w:cs="Times New Roman" w:eastAsia="Times New Roman" w:hAnsi="Times New Roman"/>
          <w:sz w:val="18"/>
          <w:szCs w:val="18"/>
          <w:color w:val="auto"/>
        </w:rPr>
        <w:t>gene, which normally contribute to the repression of the</w:t>
      </w:r>
      <w:r>
        <w:rPr>
          <w:rFonts w:ascii="Times New Roman" w:cs="Times New Roman" w:eastAsia="Times New Roman" w:hAnsi="Times New Roman"/>
          <w:sz w:val="18"/>
          <w:szCs w:val="18"/>
          <w:i w:val="1"/>
          <w:iCs w:val="1"/>
          <w:color w:val="auto"/>
        </w:rPr>
        <w:t xml:space="preserve"> DUX4 </w:t>
      </w:r>
      <w:r>
        <w:rPr>
          <w:rFonts w:ascii="Times New Roman" w:cs="Times New Roman" w:eastAsia="Times New Roman" w:hAnsi="Times New Roman"/>
          <w:sz w:val="18"/>
          <w:szCs w:val="18"/>
          <w:color w:val="auto"/>
        </w:rPr>
        <w:t>gene via DNA methylation.</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Drug Target for FSHD</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utilized patient-derived FSHD1 muscle cells, known as myotubes, and screened them with our small molecule probe library to identify drug targets that reduced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While we identified several potential drug targets, the modulation of the majority of the targets adversely affected the health or differentiation of muscle cells. However, one drug target that we identified from our screening efforts for which we did not observe adverse cell health consequences was p38α/ß, which had been studied extensively in other diseases but had not been reported to be linked to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or FSHD until we conducted our screening efforts. We evaluated multiple small molecule p38α/ß inhibitors and observed a consistent reduction of both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and DUX4-driven gene transcripts with each p38α/ß inhibitor. We conducted further validation experiments to confirm that inhibition of p38α using genetic approaches such as siRNA and CRISPR single-guide RNAs also led to a reduction in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Additionally, researchers from Saint Louis University independently published the results of a study that concluded that inhibitors of p38α/ß, including losmapimod, suppressed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in cellular and animal FSHD models.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Losmapimod Overview</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After identifying p38α/ß as a potential drug target, we evaluated multiple small molecule inhibitors of p38α/ß. Each of these inhibitors had previously been evaluated in clinical trials for the treatment of various diseases but never in muscle disorders. As a result of our evaluation and relative to other p38α/ß inhibitors, we identified losmapimod as the preferred development candidate based on substantial and attractive preclinical and clinical data regarding safety, pharmacokinetics, or PK, and target inhibition, and its advanced stage of development. Losmapimod was originally evaluated by GSK plc, or GSK, in nearly 3,500 subjects in clinical trials across multiple indications and in multiple countries. GSK did not evaluate losmapimod in FSHD or in any other muscle disorder. Although GSK did not pursue regulatory approval in the indications evaluated, losmapimod demonstrated an attractive PK, pharmacodynamics, or PD, safety and tolerability profile, including in chronic dosing. Additionally, we observed in preclinical studies using losmapimod that inhibition of the p38α/ß pathway reduced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and downstream gene expression. After identifying losmapimod, we in-licensed the molecule from GSK because we believed that its existing safety data and pharmacology history would significantly expedite our development plan and enhance our future regulatory submissions.</w:t>
      </w:r>
    </w:p>
    <w:p>
      <w:pPr>
        <w:spacing w:after="0" w:line="86"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In June 2021, we reported full data from the randomized, double-blind placebo-controlled multicenter international Phase 2b clinical trial, or ReDUX4. Although the primary endpoint was not met, we demonstrated slowing of disease progression and improved function in FSHD patients treated with losmapimod compared to placebo. In October 2022, we presented data through 96 weeks from the open label extension portion of ReDUX4, which showed that patients in the initial treatment-arm who continued to receive losmapimod experienced maintenance of effect through 96 weeks as measured by reachable workspace, or RWS, mean change from baseline. Additionally, patients who crossed over from placebo to losmapimod after the initial 48 week trial period showed improvement and slowing of disease progression as measured by RWS mean change from baseline.</w:t>
      </w:r>
    </w:p>
    <w:p>
      <w:pPr>
        <w:spacing w:after="0" w:line="7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the second quarter of 2022, we initiated REACH, a randomized, double-blind, placebo-controlled, 48-week Phase 3 clinical trial to evaluate the efficacy of losmapimod for the treatment of FSHD. We completed enrollment in September 2023 and expect to report topline data in the fourth quarter of 2024.</w:t>
      </w:r>
    </w:p>
    <w:p>
      <w:pPr>
        <w:spacing w:after="0" w:line="68"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January 2020, the FDA granted orphan drug designation to losmapimod for the treatment of FSHD. In March 2020, the EMA granted orphan drug designation to losmapimod for the treatment of FSHD. In May 2021, the FDA granted fast track designation to losmapimod for the treatment of FSHD.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Phase 2b (ReDUX4)</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 June 2021, we presented full data from our randomized, double-blind, placebo-controlled multicenter international Phase 2b clinical trial, the ReDUX4 trial, in 80 patients with FSHD1 and clinical severity scores of two to four on the Ricci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right="740"/>
        <w:spacing w:after="0" w:line="282" w:lineRule="auto"/>
        <w:rPr>
          <w:sz w:val="20"/>
          <w:szCs w:val="20"/>
          <w:color w:val="auto"/>
        </w:rPr>
      </w:pPr>
      <w:r>
        <w:rPr>
          <w:rFonts w:ascii="Times New Roman" w:cs="Times New Roman" w:eastAsia="Times New Roman" w:hAnsi="Times New Roman"/>
          <w:sz w:val="18"/>
          <w:szCs w:val="18"/>
          <w:color w:val="auto"/>
        </w:rPr>
        <w:t>scale. In this trial, we evaluated treatment with 15 mg of losmapimod or placebo tablets twice per day over a 24 or 48-week period. Patients were randomized 1:1 between the treatment and placebo arms.</w:t>
      </w:r>
    </w:p>
    <w:p>
      <w:pPr>
        <w:spacing w:after="0" w:line="5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primary endpoint was the change in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-driven gene expression in affected skeletal muscle at 16 or 36 weeks, which was included as an experimental biomarker. The trial was also designed to capture a wide range of data relating to FSHD progression in addition to safety, target engagement and PK data. The secondary endpoints were evaluation of safety and tolerability in FSHD patients, PK in blood, losmapimod concentration in skeletal muscle biopsies, target engagement in blood and in muscle biopsies, and efficacy based on the whole-body skeletal muscle MRI biomarker. The whole-body MRI scans evaluated changes in muscle fat infiltration, or MFI, muscle fat fraction, or MFF and lean muscle volume, or LMV. The muscles evaluated in the trial were classified as normal appearing (not affected by disease), intermediate (clearly affected by disease but not so severely fat-replaced to have lost all function) or end stage (severely fat-replaced and have lost most if not all function). The exploratory endpoints included RWS, timed up and go, or TUG test, an optimized timed up and go test for FSHD, or FSHD TUG, muscle strength measured by hand-held dynamometry, other muscle function measures and patient reported outcomes.</w:t>
      </w:r>
    </w:p>
    <w:p>
      <w:pPr>
        <w:spacing w:after="0" w:line="8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original design of ReDUX4 included a muscle biopsy at week 16 during the 24-week treatment period followed by an open label extension. Sixteen of the 80 subjects in the trial completed the 24-week treatment period and rolled over to the open label extension portion of the trial. As a result of the impact of the COVID-19 pandemic on clinical site visits, we extended the ReDUX4 treatment period from 24 to 48 weeks through a protocol amendment to ensure the safety of the subjects and to allow for the opportunity for a biopsy either at week 16 as originally intended or at week 36. Approximately 64 subjects who did not complete the original 24-week treatment period continued in the 48-week treatment period in the randomized portion of the trial. The extension from 24 to 48 weeks also allowed for a longer assessment in a placebo-controlled design of the skeletal muscle MRI secondary endpoint and the various exploratory clinical endpoints, such as RWS, optimized FSHD TUG test, muscle function measures and patient reported outcomes.</w:t>
      </w:r>
    </w:p>
    <w:p>
      <w:pPr>
        <w:spacing w:after="0" w:line="8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ReDUX4 did not meet the primary endpoint, which was change from baseline in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-driven gene expression in affected skeletal muscle at Week 16 or Week 36. Secondary and exploratory endpoints showed clinically relevant and nominally statistically significant benefits in the losmapimod treated group versus placebo on multiple measures of structural and functional FSHD progression and patient reported outcomes at 48 weeks. As the primary endpoint was not met, all comparative analyses were reported with nominal statistical p-values.</w:t>
      </w:r>
    </w:p>
    <w:p>
      <w:pPr>
        <w:spacing w:after="0" w:line="74" w:lineRule="exact"/>
        <w:rPr>
          <w:sz w:val="20"/>
          <w:szCs w:val="20"/>
          <w:color w:val="auto"/>
        </w:rPr>
      </w:pPr>
    </w:p>
    <w:p>
      <w:pPr>
        <w:ind w:left="1020" w:right="20" w:hanging="503"/>
        <w:spacing w:after="0" w:line="253"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with losmapimod was shown to slow the rate of decline and improve accessible surface area in RWS measures (p&lt;0.05). RWS, operationalized as relative surface area, or RSA, assessed over five quadrants, is a measure of function that assesses upper extremity range of motion. Prior studies have shown that RWS correlates with changes in the ability of patients to independently perform activities of daily living. Based on published results, RWS is an important measure of independence. FSHD tends to progress from the upper body down, and loss of shoulder movement leads to loss of mobility. Over the 48-week placebo-controlled treatment period, losmapimod resulted in significant improvements in total RSA (assessed with a 500 gram wrist weight) compared with placebo, measured on a 0-1.25 scale, with</w:t>
      </w:r>
    </w:p>
    <w:p>
      <w:pPr>
        <w:spacing w:after="0" w:line="5" w:lineRule="exact"/>
        <w:rPr>
          <w:rFonts w:ascii="Times New Roman" w:cs="Times New Roman" w:eastAsia="Times New Roman" w:hAnsi="Times New Roman"/>
          <w:sz w:val="18"/>
          <w:szCs w:val="18"/>
          <w:color w:val="auto"/>
        </w:rPr>
      </w:pPr>
    </w:p>
    <w:p>
      <w:pPr>
        <w:ind w:left="1020"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being the greatest RSA. Based on the average of both arms, the total arm RSA was 0.020 for the losmapimod group and and -0.027 for the placebo group, reflecting a difference of 0.047, with a 95% confidence interval of 0.010 and 0.084, respectively (p=0.014).</w:t>
      </w:r>
    </w:p>
    <w:p>
      <w:pPr>
        <w:spacing w:after="0" w:line="73"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Losmapimod-treated participants showed decreased progression in the treatment efficacy composite measure of MFI as measured in intermediate muscles, those most likely to show change over the duration of the study (p=0.01). Normal appearing muscles appeared to be preserved in the losmapimod group versus placebo based on a post hoc analysis. MFI is a measure of diffuse fatty infiltration in lean muscle tissue that is correlated with disease severity in FSHD.</w:t>
      </w:r>
    </w:p>
    <w:p>
      <w:pPr>
        <w:spacing w:after="0" w:line="71" w:lineRule="exact"/>
        <w:rPr>
          <w:rFonts w:ascii="Times New Roman" w:cs="Times New Roman" w:eastAsia="Times New Roman" w:hAnsi="Times New Roman"/>
          <w:sz w:val="18"/>
          <w:szCs w:val="18"/>
          <w:color w:val="auto"/>
        </w:rPr>
      </w:pPr>
    </w:p>
    <w:p>
      <w:pPr>
        <w:ind w:left="1020" w:right="100" w:hanging="503"/>
        <w:spacing w:after="0" w:line="25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Losmapimod-treated participants showed improved patient-reported outcomes compared to placebo through the PGIC assessment (p=0.02). PGIC, a measure of self-reported change in how a patient feels and functions, shows whether participants were able to recognize improvements after 48 weeks of treatment. More participants in the losmapimod group reported improvement at 48 weeks compared to placebo. Four times more losmapimod participants reported improvement over time as compared to participants treated with placebo. Importantly, fewer losmapimod participants reported worsening as compared to placebo, and no losmapimod participants reported being “much worse” as compared to more than 13% of placebo participants, who reported that their disease had become “much worse.”</w:t>
      </w:r>
    </w:p>
    <w:p>
      <w:pPr>
        <w:spacing w:after="0" w:line="79" w:lineRule="exact"/>
        <w:rPr>
          <w:sz w:val="20"/>
          <w:szCs w:val="20"/>
          <w:color w:val="auto"/>
        </w:rPr>
      </w:pPr>
    </w:p>
    <w:p>
      <w:pPr>
        <w:jc w:val="both"/>
        <w:ind w:right="280" w:firstLine="509"/>
        <w:spacing w:after="0" w:line="258" w:lineRule="auto"/>
        <w:rPr>
          <w:sz w:val="20"/>
          <w:szCs w:val="20"/>
          <w:color w:val="auto"/>
        </w:rPr>
      </w:pPr>
      <w:r>
        <w:rPr>
          <w:rFonts w:ascii="Times New Roman" w:cs="Times New Roman" w:eastAsia="Times New Roman" w:hAnsi="Times New Roman"/>
          <w:sz w:val="18"/>
          <w:szCs w:val="18"/>
          <w:color w:val="auto"/>
        </w:rPr>
        <w:t>Additional secondary and exploratory endpoints measuring disease progression and function demonstrated differences between losmapimod and placebo at week 48. In a post hoc analysis, losmapimod-treated participants showed improvement or less worsening in muscle strength of the shoulder abductors (~ +18% to ~ -4%) and ankle dorsiflexors (~ +13% to ~ +27%), two muscle groups particularly affected in FSHD, as measured by maximum percent change dynamometry, versus subjects in the placebo group who lost strength in shoulder abductors (~ -13% to ~ – 17%) and ankle dorsiflexors (~-26% to ~-10%). Functional scales including RWS and TUG showed improvements in limb function consistent with dynamometry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0" w:name="page11"/>
    <w:bookmarkEnd w:id="10"/>
    <w:p>
      <w:pPr>
        <w:spacing w:after="0" w:line="261" w:lineRule="auto"/>
        <w:rPr>
          <w:sz w:val="20"/>
          <w:szCs w:val="20"/>
          <w:color w:val="auto"/>
        </w:rPr>
      </w:pPr>
      <w:r>
        <w:rPr>
          <w:rFonts w:ascii="Times New Roman" w:cs="Times New Roman" w:eastAsia="Times New Roman" w:hAnsi="Times New Roman"/>
          <w:sz w:val="18"/>
          <w:szCs w:val="18"/>
          <w:color w:val="auto"/>
        </w:rPr>
        <w:t>results. Two recently designed scales (FSHD TUG, and FSHD Health Index), did not demonstrate changes from baseline in either group or differences between losmapimod and placebo groups, suggesting that these tests are not sensitive to change over the 48-week time period. Motor function measure also showed no changes in either group or differences between the groups over 48 weeks. There was no difference in MFF or LMV between losmapimod and placebo groups at 48 weeks in intermediate muscles.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Safety and tolerability data were consistent with previously reported results with no drug-related serious adverse events, or SAEs, reported. Losmapimod was generally well-tolerated and the majority of treatment emergent adverse events, or TEAEs, were deemed unlikely related or not related to study drug by the investigator. There were three SAEs (post-op wound infection, alcohol poisoning and a suicide attempt) reported in two participants in the losmapimod group, each assessed as unrelated to losmapimod. There were no deaths or discontinuations due to adverse events. Losmapimod has been evaluated in over 3,600 subjects in clinical trials across multiple indications, including FSHD.</w:t>
      </w:r>
    </w:p>
    <w:p>
      <w:pPr>
        <w:spacing w:after="0" w:line="75"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In February 2020 we initiated an open label extension of the ReDUX4 trial to enable patients who completed the 24-week or 48-week treatment period with losmapimod or placebo in ReDUX4 to receive long term treatment with losmapimod. This open label extension, which is ongoing, includes clinical assessments of safety every three months. Subsequent to week 168, patients will only be monitored for safety and tolerability.</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October 2022, we presented data through 96 weeks from the open label extension portion of ReDUX4. Data presented showed that patients in the initial treatment-arm who continued to receive losmapimod experienced maintenance of effect through 96 weeks as measured by RWS mean change from baseline. Additionally, patients who crossed over from placebo to losmapimod after the initial 48-week trial period showed improvement and slowing of disease progression as measured by RWS mean change from baseline. Losmapimod continued to demonstrate an encouraging safety profile and was generally well-tolerated. 97% of participants in the initial 48 week study remained in the open label extension at week 96. The figure below illustrates annualized percentage change of average total RSA with 500 gram weights.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62230</wp:posOffset>
            </wp:positionV>
            <wp:extent cx="3206115" cy="2726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REACH, a Phase 3 Registrational Trial</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initiated REACH, a Phase 3 trial of losmapimod in FSHD, in the second quarter of 2022 and we completed enrollment in September 2023. We expect to report topline data in the fourth quarter of 2024. Based on data from ReDUX4, we engaged with U.S. and EU regulatory agencies, including the FDA, to discuss key aspects of the design of a Phase 3 trial intended to support a full approval. REACH is a randomized, double-blind, placebo-controlled, multi-national trial to evaluate the efficacy and safety of losmapimod for the treatment of FSHD. The trial enrolled 260 adults with FSHD. Patients are randomized 1:1 to receive either losmapimod, administered orally as a 15 mg tablet twice a day, or placebo, and are evaluated over a 48-week treatment period. The primary endpoint of the study is the absolute change from baseline in RWS.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 w:name="page12"/>
    <w:bookmarkEnd w:id="11"/>
    <w:p>
      <w:pPr>
        <w:ind w:right="260"/>
        <w:spacing w:after="0" w:line="282" w:lineRule="auto"/>
        <w:rPr>
          <w:sz w:val="20"/>
          <w:szCs w:val="20"/>
          <w:color w:val="auto"/>
        </w:rPr>
      </w:pPr>
      <w:r>
        <w:rPr>
          <w:rFonts w:ascii="Times New Roman" w:cs="Times New Roman" w:eastAsia="Times New Roman" w:hAnsi="Times New Roman"/>
          <w:sz w:val="18"/>
          <w:szCs w:val="18"/>
          <w:color w:val="auto"/>
        </w:rPr>
        <w:t>Secondary endpoints include MFI, shoulder dynamometry, PGIC, and Neuro QoL UE. The trial also includes patient-centered assessments of healthcare utilization.</w:t>
      </w:r>
    </w:p>
    <w:p>
      <w:pPr>
        <w:spacing w:after="0" w:line="5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Following the 48-week treatment period with losmapimod or placebo, patients may elect to continue in an open label extension of REACH to receive long term treatment with losmapimod, which is ongoing.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Phase 2 Open Label Study Trial</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parallel with the ReDUX4 Phase 2b clinical trial, we also initiated an open label, single center Phase 2 clinical trial of losmapimod in up to 16 patients with FSHD and clinical severity scores of two to four on the Ricci scale. In the first part of the trial, patients received tablets containing 15 mg of losmapimod twice per day for up to 52 weeks. The treatment period was preceded by eight weeks of pre-treatment assessments to establish a baseline for musculoskeletal MRI biomarkers and clinical outcome assessments. We also performed an outpatient mobility assessment using wearable sensors. After the 52-week treatment period, participants had the option to elect to continue in an extension of the study, which is ongoing. We are conducting the trial at a single center in the Netherlands.</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primary objective is to investigate the safety and tolerability of losmapimod for chronic dosing in FSHD patients. The primary endpoints are to assess safety and tolerability over the 52-week period. The secondary endpoints are the change from baseline in pHSP27 and the ratio of pHSP27 to total HSP27 in blood and muscle for assessment of the inhibition of p38α/ß during the dosing period. This trial is also designed to provide initial data regarding changes in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-driven gene expression, MRI biomarkers, objective clinical outcome assessments and patient-reported outcomes that may occur at various times following initiation of treatment with losmapimod relative to the pre-treatment period.</w:t>
      </w:r>
    </w:p>
    <w:p>
      <w:pPr>
        <w:spacing w:after="0" w:line="73" w:lineRule="exact"/>
        <w:rPr>
          <w:sz w:val="20"/>
          <w:szCs w:val="20"/>
          <w:color w:val="auto"/>
        </w:rPr>
      </w:pPr>
    </w:p>
    <w:p>
      <w:pPr>
        <w:ind w:right="3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In the initial 52-week treatment period, we measured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-driven gene expression before and during treatment using muscle needle biopsies in affected muscles. Patients underwent muscle biopsy pre-treatment, and then a second biopsy on-treatment at either Week 4 or Week 8.</w:t>
      </w:r>
    </w:p>
    <w:p>
      <w:pPr>
        <w:spacing w:after="0" w:line="5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measured potential losmapimod treatment effects on shoulder and upper arm function and mobility/ambulation, as well as on muscle strength and function and quality of life and activities of daily living, similar to the assessments in the Phase 2b clinical trial. The clinical outcome assessments were RWS, FSHD-TUG, muscle strength, motor function ability and generic and FSHD-specific patient reports of quality of life and activities of daily living. Other exploratory assessments included the six minute walk test, spirometry, and muscle ultrasound. There was also an assessment of day-to-day mobility using wearable sensors. Subsequent to Week 156, this open label extension only includes clinical assessments of safety every three months.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History Studies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Clinical Trial Readiness to Solve Barriers to Drug Development in FSHD, or ReSOLVE study, is an ongoing natural history study funded by the NIH with additional support from industry (including our company) to help identify the patient population, efficacy biomarker and clinical outcome assessments for future FSHD drug trials. The study is being coordinated by the University of Rochester and University of Kansas Medical Center and enrolled the first subject in April 2018. The study has enrolled 235 subjects (158 in the U.S. and 77 in Europe) across a network of eleven U.S. clinical centers and three European clinical centers and evaluates multiple biomarkers and clinical outcome assessments that may be suitable for clinical trials and patient selection criteria based on genetic, demographic or clinical characteristics. We also believe that this study may provide valuable insights into the timeline for disease progression and functional changes in FSHD in the absence of treatment.</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 third-party study (Hatch et al, 2019, Neuromuscular Disorders) assessed changes in RWS for 18 subjects with FSHD for up to five years. As illustrated in the figure below, the study concluded that the RWS measure is able to detect slow declines in upper extremity function in subjects with FSHD as early as 1 year. The study also found that the most notable declines in RWS were in above-the-shoulder level quadrants with no significant changes in lower quadrants and that RWS declined more significantly if the subjects wore 500-gram weights on their wrists.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2505710</wp:posOffset>
            </wp:positionH>
            <wp:positionV relativeFrom="page">
              <wp:posOffset>860425</wp:posOffset>
            </wp:positionV>
            <wp:extent cx="2511425" cy="2160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51142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figure above illustrates RWS in four quadrants. The optimized RWS, as evaluated in Phase 2 ReDUX4 and the primary endpoint in Phase 3 REACH, includes an additional domain (Q5) for the lower back, as illustrated in the figure below. This posterior-facing quadrant (Q5) is associated with functional hygiene/toileting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2742565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54610</wp:posOffset>
            </wp:positionV>
            <wp:extent cx="2691765" cy="1843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91765" cy="184340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Prior Clinical Development of Losmapimod by GSK</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GSK conducted multiple Phase 1 and Phase 2 clinical trials and one Phase 3 clinical trial of losmapimod, including in patients with chronic obstructive pulmonary disease, or COPD, acute coronary syndrome and other cardiovascular diseases, neuropathic pain, major depression disorder, focal segmental glomerulosclerosis, and rheumatoid arthritis. Nearly 3,500 subjects in 24 trials were given losmapimod with single doses as high as 60 mg and repeated oral doses as high as 15 mg twice per day for up to 52 weeks. We are using a dose of 15 mg twice per day in our clinical trials of losmapimod in FSHD. GSK did not conduct a clinical trial of losmapimod in patients with FSHD or any other muscle disorder.</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clinical trials of losmapimod conducted by GSK, no significant differences were observed in the frequency of adverse events, or AEs, in subjects given losmapimod and subjects given placebo. GSK generally observed a similar frequency of SAEs and deaths between patients given losmapimod and patients given placebo. These trials included extensive evaluation of the cardiovascular risk profile of losmapimod, including completion of an evaluation of the potential to prolong corrected QT. GSK reported that there was no clinically relevant difference with regard to the occurrence of electrocardiogram abnormalities post-baseline or vital signs with losmapimod as compared to placebo. GSK did not identify a safety signal attributed to losmapimod in any of these trials. There were no SAEs reported in 14 of these 24 clinical trials of losmapimod.</w:t>
      </w:r>
    </w:p>
    <w:p>
      <w:pPr>
        <w:spacing w:after="0" w:line="79" w:lineRule="exact"/>
        <w:rPr>
          <w:sz w:val="20"/>
          <w:szCs w:val="20"/>
          <w:color w:val="auto"/>
        </w:rPr>
      </w:pPr>
    </w:p>
    <w:p>
      <w:pPr>
        <w:ind w:right="540" w:firstLine="509"/>
        <w:spacing w:after="0" w:line="261" w:lineRule="auto"/>
        <w:rPr>
          <w:sz w:val="20"/>
          <w:szCs w:val="20"/>
          <w:color w:val="auto"/>
        </w:rPr>
      </w:pPr>
      <w:r>
        <w:rPr>
          <w:rFonts w:ascii="Times New Roman" w:cs="Times New Roman" w:eastAsia="Times New Roman" w:hAnsi="Times New Roman"/>
          <w:sz w:val="18"/>
          <w:szCs w:val="18"/>
          <w:color w:val="auto"/>
        </w:rPr>
        <w:t>The largest placebo-controlled clinical trial of losmapimod conducted by GSK was a Phase 3 clinical trial for the treatment of acute coronary syndrome following a heart attack, in which over 1,700 patients were given 7.5 mg of losmapimod or placebo twice per day for 12 weeks and were followed for an additional 12 weeks. In this trial, GSK observed a similar proportion of AEs and SAEs in the placebo group as compared to the losmapimod group.</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were also ten SAEs of fatality in the placebo group and 13 SAEs of fatality in the losmapimod group. In the placebo group, the SAEs of fatality were infections and infestations (two), general disorders and administrative site conditions (two), respiratory, thoracic and mediastinal disorders (three), cardiac disorder (one), gastrointestinal disorder (one) and neoplasm (one). In the losmapimod group, the SAEs of fatality were infections and infestations (four), general disorders and administrative site conditions (three), respiratory, thoracic and mediastinal disorders (two), cardiac disorder (one), injury poisoning and procedural complications (one), gastrointestinal disorder (one) and neoplasm (one).</w:t>
      </w:r>
    </w:p>
    <w:p>
      <w:pPr>
        <w:spacing w:after="0" w:line="7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Among the total of 14 Phase 1 and Phase 2 placebo-controlled clinical trials of losmapimod (N=1327 on losmapimod; N=735 on placebo), the distribution of SAEs was similar among losmapimod-treated and placebo-treated subjects. The most common SAEs were cardiac disorders (2% placebo; 3% losmapimod) and respiratory, thoracic and mediastinal disorders (1% placebo; 2% losmapimod). SAEs were reported in 11 of these 14 trials; 3 trials reported no SAEs.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24 trials conducted by GSK, another sponsor conducted a placebo-controlled Phase 2 clinical trial of losmapimod in which 73 subjects with COPD with cardiovascular manifestations were given 7.5 mg of losmapimod or placebo for 16 weeks. There were 36 subjects in the losmapimod group and 37 in the placebo group. In this trial, there were a total of six (17%) SAEs in the losmapimod group, consisting of exacerbations of COPD and pneumonia, and there was one (3%) SAE in the placebo group.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Pociredir</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We are developing pociredir, which is designed to elevate the level of fetal hemoglobin, or HbF, for the treatment of people with SCD. We also believe that people with some types of ß-thalassemia may benefit from treatment with pociredir.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Sickle Cell Disease</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Sickle cell disease is a genetic disorder of RBCs. The root cause of SCD is a mutant hemoglobin that polymerizes in low oxygen conditions. This polymerization creates the abnormal, elongated, or sickle, shape of the RBC and results in, ultimately, hemolysis and vascular injury that causes major morbidities and significantly limits lifespan in people with SCD. People with SCD typically suffer from serious clinical consequences, which may include vaso-occlusive crises, anemia, pain, infections, stroke, heart disease, pulmonary hypertension, kidney failure, liver disease and reduced life expectancy. According to a study published by the American Medical Association, approximately 32.5% of adults with SCD were hospitalized three or more times per year due to pain crises. SCD is reported to shorten life expectancy by approximately 20 to 30 years. People with SCD are primarily treated by hematologists.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14" w:name="page15"/>
    <w:bookmarkEnd w:id="14"/>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where newborn screening for SCD is mandatory, the estimated prevalence is approximately 100,000 individuals. In Europe, the estimated prevalence is approximately 50,000 individuals. According to the World Health Organization, the global incidence is estimated to be approximately 300,000 births annually. SCD is most prevalent in Africa and the Middle East.</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Several approved drug treatments for SCD focus primarily on the management and reduction of painful vaso-occlusive crises, and improvement of hemolytic anemia, as well as gene therapies for the treatment of severe SCD. Despite ongoing efforts to develop and commercialize treatments for SCD, we believe there is still a high unmet need that could be better addressed by a small molecule, oral therapy capable of increasing HbF production. See “Competition” for a more comprehensive description of the competitive landscape in SCD.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SCD Biology</w:t>
      </w:r>
    </w:p>
    <w:p>
      <w:pPr>
        <w:spacing w:after="0" w:line="11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SCD is caused by a mutation in the </w:t>
      </w:r>
      <w:r>
        <w:rPr>
          <w:rFonts w:ascii="Times New Roman" w:cs="Times New Roman" w:eastAsia="Times New Roman" w:hAnsi="Times New Roman"/>
          <w:sz w:val="18"/>
          <w:szCs w:val="18"/>
          <w:i w:val="1"/>
          <w:iCs w:val="1"/>
          <w:color w:val="auto"/>
        </w:rPr>
        <w:t>HBB</w:t>
      </w:r>
      <w:r>
        <w:rPr>
          <w:rFonts w:ascii="Times New Roman" w:cs="Times New Roman" w:eastAsia="Times New Roman" w:hAnsi="Times New Roman"/>
          <w:sz w:val="18"/>
          <w:szCs w:val="18"/>
          <w:color w:val="auto"/>
        </w:rPr>
        <w:t xml:space="preserve"> gene. This gene encodes a protein that is a key component of hemoglobin, a protein complex whose function is to transport oxygen in the body. Hemoglobin in adults is a complex of four proteins, two hemoglobin ß-subunits and two hemoglobin α-subunits. In people with SCD, hemoglobin is composed of two mutant ß-subunits and two α-subunits and the result is the formation of HbS. The result of the mutation is less efficient oxygen transport and the formation of RBCs that have a sickle shape. These sickle shaped cells are much less flexible than healthy cells and can block blood vessels (vaso-occlusion) or rupture (lysis), leading to pain, anemia, irreversible organ damage or even death.</w:t>
      </w:r>
    </w:p>
    <w:p>
      <w:pPr>
        <w:spacing w:after="0" w:line="7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During fetal development, the major form of hemoglobin is HbF. Similar to hemoglobin in adults, HbF is also a complex of four proteins, two α-subunits and two γ-subunits. Shortly after birth, the genes encoding the γ-subunits, the </w:t>
      </w:r>
      <w:r>
        <w:rPr>
          <w:rFonts w:ascii="Times New Roman" w:cs="Times New Roman" w:eastAsia="Times New Roman" w:hAnsi="Times New Roman"/>
          <w:sz w:val="18"/>
          <w:szCs w:val="18"/>
          <w:i w:val="1"/>
          <w:iCs w:val="1"/>
          <w:color w:val="auto"/>
        </w:rPr>
        <w:t>HBG1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HBG2</w:t>
      </w:r>
      <w:r>
        <w:rPr>
          <w:rFonts w:ascii="Times New Roman" w:cs="Times New Roman" w:eastAsia="Times New Roman" w:hAnsi="Times New Roman"/>
          <w:sz w:val="18"/>
          <w:szCs w:val="18"/>
          <w:color w:val="auto"/>
        </w:rPr>
        <w:t xml:space="preserve"> genes, are silenced and the </w:t>
      </w:r>
      <w:r>
        <w:rPr>
          <w:rFonts w:ascii="Times New Roman" w:cs="Times New Roman" w:eastAsia="Times New Roman" w:hAnsi="Times New Roman"/>
          <w:sz w:val="18"/>
          <w:szCs w:val="18"/>
          <w:i w:val="1"/>
          <w:iCs w:val="1"/>
          <w:color w:val="auto"/>
        </w:rPr>
        <w:t>HBB</w:t>
      </w:r>
      <w:r>
        <w:rPr>
          <w:rFonts w:ascii="Times New Roman" w:cs="Times New Roman" w:eastAsia="Times New Roman" w:hAnsi="Times New Roman"/>
          <w:sz w:val="18"/>
          <w:szCs w:val="18"/>
          <w:color w:val="auto"/>
        </w:rPr>
        <w:t xml:space="preserve"> gene is activated. As described above, SCD is caused by a mutation in the </w:t>
      </w:r>
      <w:r>
        <w:rPr>
          <w:rFonts w:ascii="Times New Roman" w:cs="Times New Roman" w:eastAsia="Times New Roman" w:hAnsi="Times New Roman"/>
          <w:sz w:val="18"/>
          <w:szCs w:val="18"/>
          <w:i w:val="1"/>
          <w:iCs w:val="1"/>
          <w:color w:val="auto"/>
        </w:rPr>
        <w:t>HBB</w:t>
      </w:r>
      <w:r>
        <w:rPr>
          <w:rFonts w:ascii="Times New Roman" w:cs="Times New Roman" w:eastAsia="Times New Roman" w:hAnsi="Times New Roman"/>
          <w:sz w:val="18"/>
          <w:szCs w:val="18"/>
          <w:color w:val="auto"/>
        </w:rPr>
        <w:t xml:space="preserve"> gene that gives rise to mutated ß-subunits.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 small subset of individuals with the sickle cell mutation continue to produce high levels of HbF due to inheritance of additional genetic mutations, which is called Hereditary Persistence of HbF, or HPFH. Individuals with elevated HbF exhibit minimal clinical manifestations of SCD. HbF levels as low as 3% over baseline in individuals without HPFH, due to either therapeutic intervention or the inheritance of other genetic traits, can result in reduced clinical manifestations of the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3413125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142875</wp:posOffset>
            </wp:positionV>
            <wp:extent cx="5760720" cy="2425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0720" cy="242570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Our Approach to Address the Root Cause of SCD</w:t>
      </w:r>
    </w:p>
    <w:p>
      <w:pPr>
        <w:spacing w:after="0" w:line="11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strategy to address the root cause of SCD was to identify a drug mechanism that induces expression of HbF. We believe that FTX-6058 may address the root cause of SCD through this mechanism of action.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Drug Target for SCD</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conducted target identification and validation activities using human umbilical cord blood-derived erythroid progenitor 2, or HUDEP2, cells as a model to study HbF reactivation. HUDEP2 cells are immature RBCs. By screening our small molecule probe library and a CRISPR library, we identified several potential drug targets that activated the </w:t>
      </w:r>
      <w:r>
        <w:rPr>
          <w:rFonts w:ascii="Times New Roman" w:cs="Times New Roman" w:eastAsia="Times New Roman" w:hAnsi="Times New Roman"/>
          <w:sz w:val="18"/>
          <w:szCs w:val="18"/>
          <w:i w:val="1"/>
          <w:iCs w:val="1"/>
          <w:color w:val="auto"/>
        </w:rPr>
        <w:t>HBG1/2</w:t>
      </w:r>
      <w:r>
        <w:rPr>
          <w:rFonts w:ascii="Times New Roman" w:cs="Times New Roman" w:eastAsia="Times New Roman" w:hAnsi="Times New Roman"/>
          <w:sz w:val="18"/>
          <w:szCs w:val="18"/>
          <w:color w:val="auto"/>
        </w:rPr>
        <w:t xml:space="preserve"> genes and resulted in HbF elevation. Each screening approach identified the same protein complex, PRC2, which we believe plays an important role in the expression of genes responsible for the production of HbF. We conducted additional validation experiments in which we observed that inhibition of several components of this complex resulted in the desired elevation of HbF. We also observed that inhibition of these components did not adversely affect important cell health markers.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selected a component of this protein complex, EED, for drug discovery activities following an assessment of its tractability as a drug target,. The normal physiological role of EED is to facilitate a post-translational protein modification, and the goal of our medicinal chemistry program was to optimize inhibitors of EED. We developed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target engagement assays, as well as enabled X-ray crystallography, to discover and develop pociredir, a novel small molecule inhibitor of the EED subunit of PRC2.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Pociredir</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Pociredir is an oral HbF inducer that is in development for SCD. Pociredir is designed to bind to EED and inhibit the transcriptional silencing activity of PRC2. Inhibition of EED leads to potent downregulation of key fetal globin repressors, including BCL11A, thereby causing an increase in HbF. EED is a member of the PRC2 complex, which also includes EZH2. There are approved products in the EZH2 class of medications and their approved labeling outlines safety risks, including an increased risk of hematologic malignancies. We initiated our Phase 1b clinical trial of pociredir in SCD in the fourth quarter of 2021. In February 2022, the FDA granted orphan drug designation to pociredir for the treatment of SCD. In December 2022, the FDA granted fast track designation to pociredir for SCD. In February 2023, the FDA placed the IND for pociredir for the potential treatment of SCD on full clinical hold. Accordingly, we suspended enrollment and dosing in the Phase 1b trial of pociredir and withdrew our separate IND for pociredir in </w:t>
      </w:r>
      <w:r>
        <w:rPr>
          <w:rFonts w:ascii="Times New Roman" w:cs="Times New Roman" w:eastAsia="Times New Roman" w:hAnsi="Times New Roman"/>
          <w:sz w:val="18"/>
          <w:szCs w:val="18"/>
          <w:i w:val="1"/>
          <w:iCs w:val="1"/>
          <w:color w:val="auto"/>
        </w:rPr>
        <w:t>ß-</w:t>
      </w:r>
      <w:r>
        <w:rPr>
          <w:rFonts w:ascii="Times New Roman" w:cs="Times New Roman" w:eastAsia="Times New Roman" w:hAnsi="Times New Roman"/>
          <w:sz w:val="18"/>
          <w:szCs w:val="18"/>
          <w:color w:val="auto"/>
        </w:rPr>
        <w:t>thalassemia. The FDA’s clinical hold referenced the data from toxicology studies in rats and dogs that we submitted to the IND in April, October, and December 2022, as well as a response to an early February 2023 information request from the FDA about these toxicology studies that we submitted in mid-February 2023.</w:t>
      </w:r>
    </w:p>
    <w:p>
      <w:pPr>
        <w:spacing w:after="0" w:line="8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part of our pociredir development program, we have conducted numerous non-clinical toxicology studies, including studies conducted under good laboratory practice, or GLP. These toxicology studies have included repeat-dose maximum tolerated dose and dose range finding studies; 28-day, 13-week, 17-week, and 26-week studies in rats; and 28-day, 13-week, and 39-week studies in dogs. In connection with the clinical hold, the FDA noted that the profile of hematological malignancies observed in the toxicology studies of pociredir is similar to that observed with other inhibitors of PRC2 and that hematological malignancies have been reported clinically with other inhibitors of PRC2.</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August 2023, the FDA lifted the full clinical hold on the IND for pociredir for the potential treatment of SCD of full clinical hold. The Phase 1b clinical trial is being re-initiated at the 12 mg once daily dose level, with that cohort expected to enroll approximately 10 patients, followed by an additional cohort of 10 patients at the 20 mg once daily dose level. The protocol was amended to revise the inclusion and exclusion criteria to target patients with higher disease severity. Key inclusion criteria includes patients with certain frequencies of vaso-occlusive crises and/or other specified measures of severity, previous experience with hydroxyurea, and previous experience with a stable dose of voxelotor, crizanlizumab, or L-glutamine (or lack of access to these advanced therapies). Key exclusion criteria excludes subjects currently on or having received hydroxyurea and voxelotor, crizanlizumab or L-glutamine within 60 days prior to initiating pociredir.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Phase 1b</w:t>
      </w:r>
    </w:p>
    <w:p>
      <w:pPr>
        <w:spacing w:after="0" w:line="22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January 2023, we announced Phase 1b data from subjects in the 6 mg dose cohort, as well as completion of enrollment in the 6 mg and 2 mg dose cohorts and commencement of enrollment in the 12 mg dose cohort. Until being placed on clinical hold in February 2023, the Phase 1b trial was evaluating subjects both on and off background hydroxyurea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6" w:name="page17"/>
    <w:bookmarkEnd w:id="16"/>
    <w:p>
      <w:pPr>
        <w:ind w:firstLine="509"/>
        <w:spacing w:after="0" w:line="261" w:lineRule="auto"/>
        <w:rPr>
          <w:sz w:val="20"/>
          <w:szCs w:val="20"/>
          <w:color w:val="auto"/>
        </w:rPr>
      </w:pPr>
      <w:r>
        <w:rPr>
          <w:rFonts w:ascii="Times New Roman" w:cs="Times New Roman" w:eastAsia="Times New Roman" w:hAnsi="Times New Roman"/>
          <w:sz w:val="18"/>
          <w:szCs w:val="18"/>
          <w:color w:val="auto"/>
        </w:rPr>
        <w:t>Phase 1b data from subjects in the 6 mg dose cohort (n=10) showed up to 9.5% absolute HbF increases from baseline. These data suggested no difference in response in subjects on (n=3) and off (n=7) background hydroxyurea. We also observed improved biomarkers of hemolysis in evaluable subjects dosed at 6 mg. The figures below illustrate percentage HbF increase by HPLC and absolute percentage HbF change from baseline for evaluable subjects (n=7) in the 6 mg dose cohort. Subjects with asterisks were on background hydroxyurea.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125730</wp:posOffset>
            </wp:positionV>
            <wp:extent cx="3385820" cy="38919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85820"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have completed enrollment and dosing in the 6 mg and 2 mg dose cohorts, and we do not plan to enroll or dose additional subjects in these cohorts if we are able to resolve the clinical hold. Data from subjects in the 2 mg dose cohort (n=2), showed up to 4.6% absolute HbF increases from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796290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9" w:right="59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2282825</wp:posOffset>
            </wp:positionH>
            <wp:positionV relativeFrom="page">
              <wp:posOffset>843280</wp:posOffset>
            </wp:positionV>
            <wp:extent cx="3334385" cy="40544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3334385" cy="405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Data from subjects in the 12 mg dose cohort (n=3), prior to the suspension of the trial in February 2023, showed up to 10.0% absolute HbF increases from baseline, or total HbF of ~25.0%, after 42 days of treatment (the full three months of treatment was interrupted by the clinical hold). Subjects with asterisks were on background hydroxyurea.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796290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2171065</wp:posOffset>
            </wp:positionH>
            <wp:positionV relativeFrom="page">
              <wp:posOffset>843280</wp:posOffset>
            </wp:positionV>
            <wp:extent cx="3505835" cy="4088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3505835" cy="408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Increases in HbF have been shown to reduce the frequency or severity of a broad range of SCD symptoms, including VOC, anemia, pain, infection, stroke and others. Based on a large body of genetic, clinical, and observational evidence showing the effects of higher levels of HbF in people with SCD, for a given patient, even small increases in total HbF are expected to be associated with clinical benefit, with levels in the upper 20% to lower 30%-range being associated with significant reductions in the manifestations of SCD. We believe these initial data showing that pociredir increases HbF levels by up to ~10.0% from baseline after as few as six weeks of therapy support its potential to become a transformative therapy for people living with SCD.</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Pociredir was generally well-tolerated as of the March 3, 2023 data cutoff date. There have been 23 TEAEs reported as of the data cutoff date, eight of which were reported as possibly related to study drug (headache, lip numbness, diarrhea, fatigue, somnolence, nausea or tinnitus), none of which were severe and were deemed non-serious. There have been no discontinuations due to TEAEs as of the data cutoff date. Four of the 23 TEAEs were characterized as VOCs, and were deemed unrelated to pociredir; one of these was reported as a serious adverse event, or SAE, with acute chest syndrome in a subject who was non-adherent to study drug administration.</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August 2023, the FDA lifted the full clinical hold on the IND for pociredir for the potential treatment of SCD of full clinical hold. The Phase 1b clinical trial is being re-initiated at the 12 mg once daily dose level, with that cohort expected to enroll approximately 10 patients, followed by an additional cohort of 10 patients at the 20 mg once daily dose level. The protocol was amended to revise the inclusion and exclusion criteria to target patients with higher disease severity.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Phase 1 Healthy Volunteers</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the fourth quarter of 2020, we initiated a Phase 1 clinical trial of pociredir in healthy adult volunteers. The Phase 1 randomized, double-blind, placebo-controlled trial was designed to evaluate the safety, tolerability, and PK of ascending doses of pociredir. In the single ascending dose, or SAD, cohorts, healthy volunteers received one dose of either placebo or 2, 4, 10, 20, 30, 40 or 60 mg of pociredir. In the multiple ascending dose, or MAD cohorts, healthy volunteers received a once-daily dose of placebo or 2, 6, 10, 20 or 30 mg of pociredir for 14 consecutive days. Each MAD cohort had six subjects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ind w:right="120"/>
        <w:spacing w:after="0" w:line="282" w:lineRule="auto"/>
        <w:rPr>
          <w:sz w:val="20"/>
          <w:szCs w:val="20"/>
          <w:color w:val="auto"/>
        </w:rPr>
      </w:pPr>
      <w:r>
        <w:rPr>
          <w:rFonts w:ascii="Times New Roman" w:cs="Times New Roman" w:eastAsia="Times New Roman" w:hAnsi="Times New Roman"/>
          <w:sz w:val="18"/>
          <w:szCs w:val="18"/>
          <w:color w:val="auto"/>
        </w:rPr>
        <w:t>drug and two on placebo. Food effect was also studied in a separate 20 mg dose cohort. Exploratory measures were included in the MAD cohorts to assess target engagement, changes in human hemoglobin messenger RNA, or HBG mRNA, and HbF-containing reticulocytes, or F-reticulocytes.</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reported data from the 2, 4, 10, 20, 30 and 40 mg SAD cohorts and the 2, 6 and 10 mg MAD cohorts in healthy volunteers in August 2021, and we reported data from the 60 mg SAD cohort and the 20 and 30 mg MAD cohorts in healthy volunteers, as well as data from the 20 mg cohort assessing food effect in December 2021.</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Pociredir was generally well-tolerated in healthy adult volunteers with no SAEs reported and no discontinuations due to TEAEs across all SAD and MAD cohorts. Data continued to show dose-proportional PK, with a mean half-life of approximately 6-7 hours in the MAD cohorts, supporting once-daily dosing, and no food effect was observed with pociredir. Data from the MAD cohorts continued to show robust target engagement, as evidenced by an approximately 75-95% reduction from baseline in H3K27me3 after 14 days of treatment. Based on our preclinical studies, this level of target engagement is predicted to result in robust induction of </w:t>
      </w:r>
      <w:r>
        <w:rPr>
          <w:rFonts w:ascii="Times New Roman" w:cs="Times New Roman" w:eastAsia="Times New Roman" w:hAnsi="Times New Roman"/>
          <w:sz w:val="18"/>
          <w:szCs w:val="18"/>
          <w:i w:val="1"/>
          <w:iCs w:val="1"/>
          <w:color w:val="auto"/>
        </w:rPr>
        <w:t>HBG1/2</w:t>
      </w:r>
      <w:r>
        <w:rPr>
          <w:rFonts w:ascii="Times New Roman" w:cs="Times New Roman" w:eastAsia="Times New Roman" w:hAnsi="Times New Roman"/>
          <w:sz w:val="18"/>
          <w:szCs w:val="18"/>
          <w:color w:val="auto"/>
        </w:rPr>
        <w:t xml:space="preserve"> and subsequently increase HbF production.</w:t>
      </w:r>
    </w:p>
    <w:p>
      <w:pPr>
        <w:spacing w:after="0" w:line="75"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Data from the MAD cohorts also showed time- and dose-dependent HBG mRNA induction, as shown in the chart below, demonstrating proof-of-biology. Persistent HBG mRNA induction was observed for 7-10 days after treatment. In preclinical studies of pociredir, increases in HBG mRNA have consistently translated to the same fold increases in HbF protein.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HBG mRNA Mean Fold Induction for pociredir versus Placebo</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2480" w:type="dxa"/>
            <w:vAlign w:val="bottom"/>
            <w:tcBorders>
              <w:right w:val="single" w:sz="8" w:color="auto"/>
            </w:tcBorders>
          </w:tcPr>
          <w:p>
            <w:pPr>
              <w:spacing w:after="0"/>
              <w:rPr>
                <w:sz w:val="24"/>
                <w:szCs w:val="24"/>
                <w:color w:val="auto"/>
              </w:rPr>
            </w:pPr>
          </w:p>
        </w:tc>
        <w:tc>
          <w:tcPr>
            <w:tcW w:w="1020" w:type="dxa"/>
            <w:vAlign w:val="bottom"/>
            <w:tcBorders>
              <w:top w:val="single" w:sz="8" w:color="auto"/>
              <w:bottom w:val="single" w:sz="8" w:color="auto"/>
            </w:tcBorders>
            <w:gridSpan w:val="2"/>
          </w:tcPr>
          <w:p>
            <w:pPr>
              <w:ind w:left="600"/>
              <w:spacing w:after="0"/>
              <w:rPr>
                <w:sz w:val="20"/>
                <w:szCs w:val="20"/>
                <w:color w:val="auto"/>
              </w:rPr>
            </w:pPr>
            <w:r>
              <w:rPr>
                <w:rFonts w:ascii="Times New Roman" w:cs="Times New Roman" w:eastAsia="Times New Roman" w:hAnsi="Times New Roman"/>
                <w:sz w:val="16"/>
                <w:szCs w:val="16"/>
                <w:color w:val="auto"/>
                <w:w w:val="98"/>
              </w:rPr>
              <w:t>2 mg*</w:t>
            </w:r>
          </w:p>
        </w:tc>
        <w:tc>
          <w:tcPr>
            <w:tcW w:w="620" w:type="dxa"/>
            <w:vAlign w:val="bottom"/>
            <w:tcBorders>
              <w:top w:val="single" w:sz="8" w:color="auto"/>
              <w:bottom w:val="single" w:sz="8" w:color="auto"/>
              <w:right w:val="single" w:sz="8" w:color="auto"/>
            </w:tcBorders>
          </w:tcPr>
          <w:p>
            <w:pPr>
              <w:spacing w:after="0"/>
              <w:rPr>
                <w:sz w:val="24"/>
                <w:szCs w:val="24"/>
                <w:color w:val="auto"/>
              </w:rPr>
            </w:pPr>
          </w:p>
        </w:tc>
        <w:tc>
          <w:tcPr>
            <w:tcW w:w="1060" w:type="dxa"/>
            <w:vAlign w:val="bottom"/>
            <w:tcBorders>
              <w:top w:val="single" w:sz="8" w:color="auto"/>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color w:val="auto"/>
                <w:w w:val="93"/>
              </w:rPr>
              <w:t>6 mg*</w:t>
            </w:r>
          </w:p>
        </w:tc>
        <w:tc>
          <w:tcPr>
            <w:tcW w:w="700" w:type="dxa"/>
            <w:vAlign w:val="bottom"/>
            <w:tcBorders>
              <w:top w:val="single" w:sz="8" w:color="auto"/>
              <w:bottom w:val="single" w:sz="8" w:color="auto"/>
              <w:right w:val="single" w:sz="8" w:color="auto"/>
            </w:tcBorders>
          </w:tcPr>
          <w:p>
            <w:pPr>
              <w:spacing w:after="0"/>
              <w:rPr>
                <w:sz w:val="24"/>
                <w:szCs w:val="24"/>
                <w:color w:val="auto"/>
              </w:rPr>
            </w:pPr>
          </w:p>
        </w:tc>
        <w:tc>
          <w:tcPr>
            <w:tcW w:w="118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color w:val="auto"/>
                <w:w w:val="98"/>
              </w:rPr>
              <w:t>10 mg*</w:t>
            </w:r>
          </w:p>
        </w:tc>
        <w:tc>
          <w:tcPr>
            <w:tcW w:w="700" w:type="dxa"/>
            <w:vAlign w:val="bottom"/>
            <w:tcBorders>
              <w:top w:val="single" w:sz="8" w:color="auto"/>
              <w:bottom w:val="single" w:sz="8" w:color="auto"/>
              <w:right w:val="single" w:sz="8" w:color="auto"/>
            </w:tcBorders>
          </w:tcPr>
          <w:p>
            <w:pPr>
              <w:spacing w:after="0"/>
              <w:rPr>
                <w:sz w:val="24"/>
                <w:szCs w:val="24"/>
                <w:color w:val="auto"/>
              </w:rPr>
            </w:pPr>
          </w:p>
        </w:tc>
        <w:tc>
          <w:tcPr>
            <w:tcW w:w="1740" w:type="dxa"/>
            <w:vAlign w:val="bottom"/>
            <w:tcBorders>
              <w:top w:val="single" w:sz="8" w:color="auto"/>
              <w:bottom w:val="single" w:sz="8" w:color="auto"/>
              <w:right w:val="single" w:sz="8" w:color="auto"/>
            </w:tcBorders>
            <w:gridSpan w:val="2"/>
          </w:tcPr>
          <w:p>
            <w:pPr>
              <w:ind w:left="640"/>
              <w:spacing w:after="0"/>
              <w:rPr>
                <w:sz w:val="20"/>
                <w:szCs w:val="20"/>
                <w:color w:val="auto"/>
              </w:rPr>
            </w:pPr>
            <w:r>
              <w:rPr>
                <w:rFonts w:ascii="Times New Roman" w:cs="Times New Roman" w:eastAsia="Times New Roman" w:hAnsi="Times New Roman"/>
                <w:sz w:val="16"/>
                <w:szCs w:val="16"/>
                <w:color w:val="auto"/>
              </w:rPr>
              <w:t>20 mg</w:t>
            </w:r>
          </w:p>
        </w:tc>
        <w:tc>
          <w:tcPr>
            <w:tcW w:w="1760" w:type="dxa"/>
            <w:vAlign w:val="bottom"/>
            <w:tcBorders>
              <w:top w:val="single" w:sz="8" w:color="auto"/>
              <w:bottom w:val="single" w:sz="8" w:color="auto"/>
              <w:right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color w:val="auto"/>
              </w:rPr>
              <w:t>30 mg</w:t>
            </w:r>
          </w:p>
        </w:tc>
      </w:tr>
      <w:tr>
        <w:trPr>
          <w:trHeight w:val="162"/>
        </w:trPr>
        <w:tc>
          <w:tcPr>
            <w:tcW w:w="248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ind w:left="80"/>
              <w:spacing w:after="0" w:line="162" w:lineRule="exact"/>
              <w:rPr>
                <w:sz w:val="20"/>
                <w:szCs w:val="20"/>
                <w:color w:val="auto"/>
              </w:rPr>
            </w:pPr>
            <w:r>
              <w:rPr>
                <w:rFonts w:ascii="Times New Roman" w:cs="Times New Roman" w:eastAsia="Times New Roman" w:hAnsi="Times New Roman"/>
                <w:sz w:val="16"/>
                <w:szCs w:val="16"/>
                <w:color w:val="auto"/>
              </w:rPr>
              <w:t>Mean Fold</w:t>
            </w:r>
          </w:p>
        </w:tc>
        <w:tc>
          <w:tcPr>
            <w:tcW w:w="80" w:type="dxa"/>
            <w:vAlign w:val="bottom"/>
          </w:tcPr>
          <w:p>
            <w:pPr>
              <w:spacing w:after="0"/>
              <w:rPr>
                <w:sz w:val="14"/>
                <w:szCs w:val="14"/>
                <w:color w:val="auto"/>
              </w:rPr>
            </w:pPr>
          </w:p>
        </w:tc>
        <w:tc>
          <w:tcPr>
            <w:tcW w:w="620" w:type="dxa"/>
            <w:vAlign w:val="bottom"/>
            <w:tcBorders>
              <w:right w:val="single" w:sz="8" w:color="auto"/>
            </w:tcBorders>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P-value</w:t>
            </w:r>
          </w:p>
        </w:tc>
        <w:tc>
          <w:tcPr>
            <w:tcW w:w="9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Mean Fold</w:t>
            </w:r>
          </w:p>
        </w:tc>
        <w:tc>
          <w:tcPr>
            <w:tcW w:w="120" w:type="dxa"/>
            <w:vAlign w:val="bottom"/>
          </w:tcPr>
          <w:p>
            <w:pPr>
              <w:spacing w:after="0"/>
              <w:rPr>
                <w:sz w:val="14"/>
                <w:szCs w:val="14"/>
                <w:color w:val="auto"/>
              </w:rPr>
            </w:pPr>
          </w:p>
        </w:tc>
        <w:tc>
          <w:tcPr>
            <w:tcW w:w="700" w:type="dxa"/>
            <w:vAlign w:val="bottom"/>
            <w:tcBorders>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6"/>
                <w:szCs w:val="16"/>
                <w:color w:val="auto"/>
              </w:rPr>
              <w:t>P-value</w:t>
            </w:r>
          </w:p>
        </w:tc>
        <w:tc>
          <w:tcPr>
            <w:tcW w:w="10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Mean Fold</w:t>
            </w:r>
          </w:p>
        </w:tc>
        <w:tc>
          <w:tcPr>
            <w:tcW w:w="120" w:type="dxa"/>
            <w:vAlign w:val="bottom"/>
          </w:tcPr>
          <w:p>
            <w:pPr>
              <w:spacing w:after="0"/>
              <w:rPr>
                <w:sz w:val="14"/>
                <w:szCs w:val="14"/>
                <w:color w:val="auto"/>
              </w:rPr>
            </w:pPr>
          </w:p>
        </w:tc>
        <w:tc>
          <w:tcPr>
            <w:tcW w:w="70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P-value</w:t>
            </w:r>
          </w:p>
        </w:tc>
        <w:tc>
          <w:tcPr>
            <w:tcW w:w="9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Mean Fold</w:t>
            </w:r>
          </w:p>
        </w:tc>
        <w:tc>
          <w:tcPr>
            <w:tcW w:w="800" w:type="dxa"/>
            <w:vAlign w:val="bottom"/>
            <w:tcBorders>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6"/>
                <w:szCs w:val="16"/>
                <w:color w:val="auto"/>
              </w:rPr>
              <w:t>P-value</w:t>
            </w:r>
          </w:p>
        </w:tc>
        <w:tc>
          <w:tcPr>
            <w:tcW w:w="9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Mean Fold</w:t>
            </w:r>
          </w:p>
        </w:tc>
        <w:tc>
          <w:tcPr>
            <w:tcW w:w="820" w:type="dxa"/>
            <w:vAlign w:val="bottom"/>
            <w:tcBorders>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6"/>
                <w:szCs w:val="16"/>
                <w:color w:val="auto"/>
              </w:rPr>
              <w:t>P-value</w:t>
            </w:r>
          </w:p>
        </w:tc>
      </w:tr>
      <w:tr>
        <w:trPr>
          <w:trHeight w:val="257"/>
        </w:trPr>
        <w:tc>
          <w:tcPr>
            <w:tcW w:w="248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Induction</w:t>
            </w: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Induction</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Induction</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Induction</w:t>
            </w:r>
          </w:p>
        </w:tc>
        <w:tc>
          <w:tcPr>
            <w:tcW w:w="80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Induction</w:t>
            </w:r>
          </w:p>
        </w:tc>
        <w:tc>
          <w:tcPr>
            <w:tcW w:w="820" w:type="dxa"/>
            <w:vAlign w:val="bottom"/>
            <w:tcBorders>
              <w:bottom w:val="single" w:sz="8" w:color="auto"/>
              <w:right w:val="single" w:sz="8" w:color="auto"/>
            </w:tcBorders>
          </w:tcPr>
          <w:p>
            <w:pPr>
              <w:spacing w:after="0"/>
              <w:rPr>
                <w:sz w:val="22"/>
                <w:szCs w:val="22"/>
                <w:color w:val="auto"/>
              </w:rPr>
            </w:pPr>
          </w:p>
        </w:tc>
      </w:tr>
      <w:tr>
        <w:trPr>
          <w:trHeight w:val="217"/>
        </w:trPr>
        <w:tc>
          <w:tcPr>
            <w:tcW w:w="248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Day 7</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1.28</w:t>
            </w: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0.3494</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1.94</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0.0135</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2.08</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0.0063</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2.06</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0.0072</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2.29</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0.0025</w:t>
            </w:r>
          </w:p>
        </w:tc>
      </w:tr>
      <w:tr>
        <w:trPr>
          <w:trHeight w:val="210"/>
        </w:trPr>
        <w:tc>
          <w:tcPr>
            <w:tcW w:w="24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Day 14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80" w:type="dxa"/>
            <w:vAlign w:val="bottom"/>
          </w:tcPr>
          <w:p>
            <w:pPr>
              <w:spacing w:after="0"/>
              <w:rPr>
                <w:sz w:val="18"/>
                <w:szCs w:val="18"/>
                <w:color w:val="auto"/>
              </w:rPr>
            </w:pPr>
          </w:p>
        </w:tc>
        <w:tc>
          <w:tcPr>
            <w:tcW w:w="620" w:type="dxa"/>
            <w:vAlign w:val="bottom"/>
            <w:tcBorders>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0.5122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2.45</w:t>
            </w:r>
          </w:p>
        </w:tc>
        <w:tc>
          <w:tcPr>
            <w:tcW w:w="120" w:type="dxa"/>
            <w:vAlign w:val="bottom"/>
          </w:tcPr>
          <w:p>
            <w:pPr>
              <w:spacing w:after="0"/>
              <w:rPr>
                <w:sz w:val="18"/>
                <w:szCs w:val="18"/>
                <w:color w:val="auto"/>
              </w:rPr>
            </w:pPr>
          </w:p>
        </w:tc>
        <w:tc>
          <w:tcPr>
            <w:tcW w:w="70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0.0025</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3.54</w:t>
            </w:r>
          </w:p>
        </w:tc>
        <w:tc>
          <w:tcPr>
            <w:tcW w:w="120" w:type="dxa"/>
            <w:vAlign w:val="bottom"/>
          </w:tcPr>
          <w:p>
            <w:pPr>
              <w:spacing w:after="0"/>
              <w:rPr>
                <w:sz w:val="18"/>
                <w:szCs w:val="18"/>
                <w:color w:val="auto"/>
              </w:rPr>
            </w:pPr>
          </w:p>
        </w:tc>
        <w:tc>
          <w:tcPr>
            <w:tcW w:w="700" w:type="dxa"/>
            <w:vAlign w:val="bottom"/>
            <w:tcBorders>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&lt;0.0001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5.63</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&lt;0.0001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6.15</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&lt;0.0001</w:t>
            </w:r>
          </w:p>
        </w:tc>
      </w:tr>
      <w:tr>
        <w:trPr>
          <w:trHeight w:val="33"/>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r>
      <w:tr>
        <w:trPr>
          <w:trHeight w:val="204"/>
        </w:trPr>
        <w:tc>
          <w:tcPr>
            <w:tcW w:w="24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Safety Follow-up (Day 21-24)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1.21</w:t>
            </w:r>
          </w:p>
        </w:tc>
        <w:tc>
          <w:tcPr>
            <w:tcW w:w="80" w:type="dxa"/>
            <w:vAlign w:val="bottom"/>
          </w:tcPr>
          <w:p>
            <w:pPr>
              <w:spacing w:after="0"/>
              <w:rPr>
                <w:sz w:val="17"/>
                <w:szCs w:val="17"/>
                <w:color w:val="auto"/>
              </w:rPr>
            </w:pPr>
          </w:p>
        </w:tc>
        <w:tc>
          <w:tcPr>
            <w:tcW w:w="620" w:type="dxa"/>
            <w:vAlign w:val="bottom"/>
            <w:tcBorders>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0.3736</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2.75</w:t>
            </w:r>
          </w:p>
        </w:tc>
        <w:tc>
          <w:tcPr>
            <w:tcW w:w="120" w:type="dxa"/>
            <w:vAlign w:val="bottom"/>
          </w:tcPr>
          <w:p>
            <w:pPr>
              <w:spacing w:after="0"/>
              <w:rPr>
                <w:sz w:val="17"/>
                <w:szCs w:val="17"/>
                <w:color w:val="auto"/>
              </w:rPr>
            </w:pPr>
          </w:p>
        </w:tc>
        <w:tc>
          <w:tcPr>
            <w:tcW w:w="70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7"/>
              </w:rPr>
              <w:t>&lt;0.0001</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3.22</w:t>
            </w:r>
          </w:p>
        </w:tc>
        <w:tc>
          <w:tcPr>
            <w:tcW w:w="120" w:type="dxa"/>
            <w:vAlign w:val="bottom"/>
          </w:tcPr>
          <w:p>
            <w:pPr>
              <w:spacing w:after="0"/>
              <w:rPr>
                <w:sz w:val="17"/>
                <w:szCs w:val="17"/>
                <w:color w:val="auto"/>
              </w:rPr>
            </w:pPr>
          </w:p>
        </w:tc>
        <w:tc>
          <w:tcPr>
            <w:tcW w:w="700" w:type="dxa"/>
            <w:vAlign w:val="bottom"/>
            <w:tcBorders>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&lt;0.0001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6.45</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&lt;0.0001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6.13</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&lt;0.0001</w:t>
            </w:r>
          </w:p>
        </w:tc>
      </w:tr>
      <w:tr>
        <w:trPr>
          <w:trHeight w:val="33"/>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Pociredir Activity in Preclinical Studies</w:t>
      </w:r>
    </w:p>
    <w:p>
      <w:pPr>
        <w:spacing w:after="0" w:line="11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have observed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activation of the </w:t>
      </w:r>
      <w:r>
        <w:rPr>
          <w:rFonts w:ascii="Times New Roman" w:cs="Times New Roman" w:eastAsia="Times New Roman" w:hAnsi="Times New Roman"/>
          <w:sz w:val="18"/>
          <w:szCs w:val="18"/>
          <w:i w:val="1"/>
          <w:iCs w:val="1"/>
          <w:color w:val="auto"/>
        </w:rPr>
        <w:t>HBG1/2</w:t>
      </w:r>
      <w:r>
        <w:rPr>
          <w:rFonts w:ascii="Times New Roman" w:cs="Times New Roman" w:eastAsia="Times New Roman" w:hAnsi="Times New Roman"/>
          <w:sz w:val="18"/>
          <w:szCs w:val="18"/>
          <w:color w:val="auto"/>
        </w:rPr>
        <w:t xml:space="preserve"> genes in preclinical studies with pociredir. We observed that pociredir elevated levels of HbF with minimal adverse effects on important cellular health markers. As depicted in the graphic below, we also observed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upregulation of HbF in primary human CD34+ cells differentiated into RBCs from 14 donors, including nine different healthy human donors, four SCD donors and one sickle cell trait donor, after seven days of drug treatment. Pociredir showed a significant elevation of HbF over baseline in each of these 14 donor cell lines. We have conducted additional preclinical profiling in CD34+ derived cells and observed that treatment with pociredir increased HbF levels to approximately 30% of total hemoglobin, as measured by mass spectrometry, high performance liquid chromatography, and fast protein liquid chromatography techniques. Notably, based on a review of data from other mechanisms, HbF fold induction in CD34+ cells has translated reliably into the clinic.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666115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Effect of pociredir treatment</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differentiated primary human CD34+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5715</wp:posOffset>
            </wp:positionV>
            <wp:extent cx="2700020" cy="1971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0002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Additionally, we compared the effect of pociredir in CD34+ derived cells relative to that of hydroxyurea. We observed that hydroxyurea had a minimal impact on HbF elevation, whereas we observed that pociredir significantly elevated HbF. In cells treated with the combination of pociredir and hydroxyurea, we observed an increased effect relative to either compound alone.</w:t>
      </w:r>
    </w:p>
    <w:p>
      <w:pPr>
        <w:spacing w:after="0" w:line="68"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Additionally, we studied pociredir in a mouse model of SCD, known as the Townes mouse model. In this model, mouse globin genes have been replaced with human globin genes, thereby allowing investigations of mechanisms that may regulate human hemoglobin gene expression. The Townes mouse model has been widely used to study potential treatments for SCD. As shown in the figures below, we observed that pociredir resulted in a significant increase in HbF-expressing cells, or F-cells, and HbF protein levels after 13 days of dosing at 5 mg/kg once per day whereas hydroxyurea resulted in modest increases in F-cells and HbF.</w:t>
      </w:r>
    </w:p>
    <w:p>
      <w:pPr>
        <w:sectPr>
          <w:pgSz w:w="11900" w:h="16838" w:orient="portrait"/>
          <w:cols w:equalWidth="0" w:num="1">
            <w:col w:w="11140"/>
          </w:cols>
          <w:pgMar w:left="320" w:top="1305" w:right="439" w:bottom="1440" w:gutter="0" w:footer="0" w:header="0"/>
        </w:sectPr>
      </w:pPr>
    </w:p>
    <w:p>
      <w:pPr>
        <w:spacing w:after="0" w:line="220"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Percentage of F-cells in Townes mice</w:t>
      </w:r>
    </w:p>
    <w:p>
      <w:pPr>
        <w:spacing w:after="0" w:line="4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treated with pociredir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31750</wp:posOffset>
            </wp:positionV>
            <wp:extent cx="2983230" cy="1551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83230" cy="1551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HbF protein levels in Townes mice</w:t>
      </w:r>
    </w:p>
    <w:p>
      <w:pPr>
        <w:spacing w:after="0" w:line="43"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treated with pociredir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31750</wp:posOffset>
            </wp:positionV>
            <wp:extent cx="2537460" cy="1680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37460" cy="1680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40" w:space="720"/>
            <w:col w:w="3880"/>
          </w:cols>
          <w:pgMar w:left="320" w:top="130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graphic on the left, we quantified the percentage of F-cells as a percentage of total cells (%F-cells) for the three treatment conditions from mouse blood, shown as a percentage of vehicle-alone-treated SCD mice. In the graphic on the right, we determined the level of human HbF protein for the three treatment conditions, quantifying HbF protein as a percentage of total hemoglobin. Each value represents the mean value from eight mice per treatment after 13 days of treatment. In these studies, we used a conventional method of assessing statistical significance known as a one-way analysis of variance, or ANOVA. The p-value for pociredir was less than 0.001 for both studies and the p-value for hydroxyurea in the study depicted on the right was less than 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Discovery Screening Programs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leveraged our discovery approach to discover targets that we are pursuing with small molecules for FSHD and SCD. We are leveraging our discovery approach to discover drug targets for other rare, genetically defined diseases within hematology and muscle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114300</wp:posOffset>
            </wp:positionV>
            <wp:extent cx="5760720" cy="1054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6072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Collaborations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of Reference and License Agreement with GlaxoSmithKline</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February 2019, we entered into a right of reference and license agreement with affiliates of GSK, as amended in September 2020, pursuant to which GSK granted us a right of reference to certain INDs filed with the FDA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 As partial consideration for the right of reference and licenses granted under the agreement, we issued 12,500,000 shares of our Series B preferred stock to GSK at the time we entered into the reference and license agreement. The agreement obligates us to use commercially reasonable efforts to develop and commercialize a licensed product for the treatment of FSHD.</w:t>
      </w:r>
    </w:p>
    <w:p>
      <w:pPr>
        <w:spacing w:after="0" w:line="79"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agreement grants us an exclusive, sublicensable license under the licensed patent rights and data rights to research, develop and commercialize losmapimod or any product containing losmapimod as an API, which we refer to as a licensed product, to treat disease in humans. GSK retained the right, without the right to grant sublicenses, to conduct nonclinical research under the licensed patents and data rights and, with our consent, GSK may engage in certain developmental activities relating to the use of a licensed product in connection with a specified prophylactic use. GSK also agreed to and has since transferred to us its existing manufactured supply of losmapimod.</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Under the agreement, we will be obligated to make milestone payments to GSK aggregating up to $37.5 million upon the achievement of specified development and regulatory milestones with respect to the first licensed product to first achieve such milestones, including a $5.0 million milestone payment that we made to GSK during the year ended December 31, 2022 upon the initiation of the REACH Phase 3 clinical trial and a $2.5 million milestone payment we made to GSK during the year ended December 31, 2019 upon the initiation of ReDUX4, and up to $60.0 million upon the first achievement of one-time aggregate annual worldwide net sales milestones for a licensed product. We will also be obligated to pay royalties ranging from a mid single-digit percentage to a low double-digit, but less than teens, percentage to GSK based on our, and any of our affiliates’ and sublicensees’, annual net sales of licensed products. The royalties are payable on a licensed product-by-licensed product and country-by-country basis, and may be reduced in specified circumstances.</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obligation to make royalty payments extends with respect to a licensed product in a country until the earlier of the approval of a generic version of such licensed product by the applicable regulatory agency in such country or the tenth anniversary of the first commercial sale of such licensed product in such country, which we refer to as the royalty term. Following the expiration of any exclusive marketing rights or data exclusivity rights granted by a regulatory authority, other than patent rights, for any licensed product on a country-by-country basis, the applicable royalty rate will be reduced in such country. Additionally, if we or our affiliates or sublicensees determine that it is necessary to obtain a license from a third party under any patent rights to exploit a licensed product in a country, then we may deduct a certain percentage of the license fees under such third party license payable by us to the third party from the royalty payment that would otherwise be due to GSK in such country.</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agreement continues on a country-by-country and licensed product-by-licensed product basis until the expiration of the royalty term in each country, at which time the agreement expires with respect to such licensed product in such country and we shall have a fully-paid up, royalty-free and perpetual license to the licensed patent rights and data rights with respect to such licensed product in such country. Either party has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2" w:name="page23"/>
    <w:bookmarkEnd w:id="22"/>
    <w:p>
      <w:pPr>
        <w:ind w:right="240"/>
        <w:spacing w:after="0" w:line="282" w:lineRule="auto"/>
        <w:rPr>
          <w:sz w:val="20"/>
          <w:szCs w:val="20"/>
          <w:color w:val="auto"/>
        </w:rPr>
      </w:pPr>
      <w:r>
        <w:rPr>
          <w:rFonts w:ascii="Times New Roman" w:cs="Times New Roman" w:eastAsia="Times New Roman" w:hAnsi="Times New Roman"/>
          <w:sz w:val="18"/>
          <w:szCs w:val="18"/>
          <w:color w:val="auto"/>
        </w:rPr>
        <w:t>right to terminate the agreement if the other party has materially breached in the performance of its obligations under the agreement and such breach has not been cured within the applicable cure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and License Agreement with MyoKardia, a wholly-owned subsidiary of Bristol-Myers Squibb Company</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July 2020, we entered into a collaboration and license agreement with MyoKardia to identify biological targets that are capable of modulating genes of interest with relevance to certain genetically defined cardiomyopathies. Under the terms of the agreement, we granted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certain genes of interest with relevance to certain genetically defined cardiomyopathies.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Pursuant to a mutually agreed research plan, we will perform assay screening and related research activities to identify and validate up to a specified number of potential cardiomyopathy gene targets, or the Identified Targets, for further research, development, manufacture and commercialization by MyoKardia. We and MyoKardia will work together to determine how best to advance at each stage of the research activities under the research plan and to identify which of the Identified Targets, if any, meet the criteria set forth in the research plan, or the Cardiomyopathy Target Candidates. Upon completion of the research plan, the parties will work together to prepare a final data package and MyoKardia may designate certain Cardiomyopathy Target Candidates for MyoKardia’s further exploitation under the agreement, or the Cardiomyopathy Targets. If MyoKardia does not designate any Cardiomyopathy Targets during the designated period, then the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During the period in which we are performing the research activities pursuant to the research plan, or the Research Term and for a specified period beyond the Research Term if MyoKardia designates a Cardiomyopathy Target, we may only use the data generated from such research activities for MyoKardia in accordance with the agreement. During the Research Term and for a specified period thereafter, we may not research, develop, manufacture, commercialize, use, or otherwise exploit any compound or product (a) that is a compound or product under the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agreement, MyoKardia made a $10.0 million upfront payment and a $2.5 million payment as prepaid research funding to us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sales-based milestones, we will be entitled to preclinical milestone payments, development milestone payments and sales-based milestone payments of up to $298.5 million in the aggregate per target for certain Identified Targets, and of up to $150.0 million in the aggregate per target for certain other Identified Targets. To date, we have achieved a $2.5 million specified preclinical milestone. MyoKardia will also pay us tiered royalties ranging from a mid single-digit percentage to a low double-digit percentage based on MyoKardia’s, and any of its affiliates’ and sublicensees’, annual worldwide net sales of products under the agreement directed against any Identified Target. The royalties are payable on a product-by-product basis during a specified royalty term, and may be reduced in specified circumstances.</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agreement continues on a country-by-country and product-by-product basis until the expiration of the last to expire royalty term for a product, at which time the agreement expires with respect to such product in such country, unless the agreement is terminated earlier in accordance with its terms. Either party has the right to terminate the agreement if the other party has materially breached in the performance of its obligations and such breach has not been cured within the applicable cure period. MyoKardia also has the right to terminate the agreement for convenience in its entirety or on a target-by-target, product-by-product or molecule-by-molecule basis, upon prior written notice to us.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CAMP4</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July 2023, we entered into a license agreement with CAMP4 pursuant to which we received a worldwide exclusive license (including the right to sublicense) from CAMP4 to rights under its Diamond Blackfan Anemia, or DBA program, which includes certain small molecule compounds, composition of matter and method of use patent rights, and know-how for us to research, develop, manufacture, use, commercialize or otherwise exploit therapeutic products in any indication, including the grant of a sublicense under certain intellectual property rights that CAMP4 has licensed under an agreement with Children’s Medical Center Corporation, or CMCC.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 w:name="page24"/>
    <w:bookmarkEnd w:id="23"/>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made an undisclosed upfront non-refundable, non-creditable payment to CAMP4. If we succeed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 (i) the expiration of all valid patent claims covering the compounds in such country, (ii) the expiration of all regulatory exclusivities in such country, and (iii) 10 years following the first commercial sale of in such country. We are responsible for the costs associated with the development and regulatory approvals of licensed products.</w:t>
      </w:r>
    </w:p>
    <w:p>
      <w:pPr>
        <w:spacing w:after="0" w:line="84"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we will have a fully-paid up, royalty-free and perpetual license to the licensed patent rights and know-how with respect to such licensed product in such country. CAMP4 has the right to terminate the license agreement in the event of our non-payment (subject to cure periods and tolling for bona fide disputes). CAMP4 may also terminate the license agreement if we challenge certain patents sublicensed to us by CAMP4. Either party may terminate the license agreement in its entirety for the other party’s material breach if such other party fails to cure the breach. Either party may also terminate the agreement in its entirety upon certain insolvency events involving the other party. We have the right to terminate the license agreement with CAMP4 for any or no reason upon prior written notice to CAMP4.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We strive to protect and enhance our discovery approach, inventions and improvements that are commercially important to the development of our business, including by seeking, maintaining and defending patent rights, whether developed internally or licensed from third parties. We also rely on trade secrets, know-how, continuing technological innovation and in-licensing opportunities to develop, strengthen and maintain our proprietary position in our field.</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future commercial success depends, in part, on our ability to: obtain and maintain patent and other proprietary protection for commercially important technology, inventions and know-how related to our business; defend and enforce in our intellectual property rights, in particular our patents rights; preserve the confidentiality of our trade secrets; and operate without infringing, misappropriating or violating the valid and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patent positions of biotechnology and pharmaceutical companies like ours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We also cannot ensure that patents will issue with respect to any patent applications that we or our licensors may file in the future, nor can we ensure that any of our owned or licensed patents or future patents will be commercially useful in protecting our product candidates and methods of manufacturing the same. In addition, the coverage claimed in a patent application may be significantly reduced before a patent is issued, and its scope can be reinterpreted and even challenged after issuance. As a result, we cannot guarantee that any of our products will be protected or remain protectable by enforceable patents. Moreover, any patents that we hold may be challenged, circumvented or invalidated by third parties. See “Risk Factors—Risks Related to Our Intellectual Property” for a more comprehensive description of risks related to our intellectual property.</w:t>
      </w:r>
    </w:p>
    <w:p>
      <w:pPr>
        <w:spacing w:after="0" w:line="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generally file patent applications directed to our key programs in an effort to secure our intellectual property positions vis-a-vis these programs. As of February 20, 2024, we owned or in-licensed eight U.S. patents, nine U.S. pending non-provisional patent applications and related pending foreign patent applications, and one pending U.S. provisional patent application.</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intellectual property portfolio for our most advanced programs as of February 20, 2024, is summarized below. Prosecution is a lengthy process, during which the scope of the claims initially submitted for examination by the U.S. Patent and Trademark Office may be significantly narrowed before issuance, if issued at all. We expect this may be the case with respect to some of our pending patent applications referred to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Losmapimod</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With respect to losmapimod, we own one U.S. patent covering the method of use of losmapimod for the treatment of patients with FSHD and two U.S. patents covering the use of other clinical-stage p38 inhibitors for the treatment of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4" w:name="page25"/>
    <w:bookmarkEnd w:id="24"/>
    <w:p>
      <w:pPr>
        <w:ind w:right="400"/>
        <w:spacing w:after="0" w:line="258" w:lineRule="auto"/>
        <w:rPr>
          <w:sz w:val="20"/>
          <w:szCs w:val="20"/>
          <w:color w:val="auto"/>
        </w:rPr>
      </w:pPr>
      <w:r>
        <w:rPr>
          <w:rFonts w:ascii="Times New Roman" w:cs="Times New Roman" w:eastAsia="Times New Roman" w:hAnsi="Times New Roman"/>
          <w:sz w:val="18"/>
          <w:szCs w:val="18"/>
          <w:color w:val="auto"/>
        </w:rPr>
        <w:t>with FSHD, each of which are expected to expire in 2038, and related patents and pending patent applications in Canada and Mexico, Europe, Africa, Australia and New Zealand, South America, and Asia with expiration dates in 2038. We also own two pending U.S. non-provisional applications and related patent applications pending in Europe, China, and other countries directed to methods of using losmapimod for FSHD, and one pending U.S. provisional application relating to formulations of losmapimod that, if resulting in issued patents, are expected to expire between 2038 and 2044. The patents to losmapimod licensed from GSK as a composition of matter and pharmaceutical composition have expired.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Pociredir</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Currently, our patent portfolio related to pociredir includes two issued U.S. patents directed to composition of matter that is expected to expire in 2040, one U.S. non-provisional application and related pending patent applications in Canada and Mexico, Europe, Africa, Australia and New Zealand, South America, and Asia that, if issued, are expected to expire between 2039 and 2040. We also own three U.S. non-provisional applications and related patent applications pending in Europe directed to solid forms and methods of using pociredir and one pending PCT application directed to pociredir methods of use and formulations, that, if resulting in issued patents, would be expected to expire between 2042 and 2043.</w:t>
      </w:r>
    </w:p>
    <w:p>
      <w:pPr>
        <w:spacing w:after="0" w:line="7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 term of a patent covering an FDA-approved drug may, in certain cases, be eligible for a patent term extension under the Drug Price Competition and Patent Term Restoration Act of 1984 as compensation for the loss of patent term during the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It is possible that issued U.S. patents covering the use of losmapimod and products from our intellectual property may be entitled to patent term extensions. If our use of drug candidates or the drug candidate itself receive FDA approval, we intend to apply for patent term extensions, if available, to extend the term of patents that cover the approved use or drug candidate. We also intend to seek patent term extensions in any jurisdictions where available, however, there is no guarantee that the applicable authorities, including the FDA, will agree with our assessment of whether such extensions should be granted, and even if granted, the length of such extensions.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5" w:name="page26"/>
    <w:bookmarkEnd w:id="25"/>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rely upon unpatented trade secrets and confidential know-how and continuing technological innovation to develop and maintain our competitive position. However, trade secrets and confidential know-how are difficult to protect. We seek to protect our proprietary information, in part, using confidentiality agreements with any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for a more comprehensive description of risks related to our intellectual property.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do not have any manufacturing facilities. We have obtained sufficient quantities of losmapimod from a contract manufacturing organization to complete our ongoing Phase 3 clinical trial in FSHD.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obtained sufficient quantities of pociredir from a contract manufacturing organization to complete our Phase 1b clinical trial.</w:t>
      </w:r>
    </w:p>
    <w:p>
      <w:pPr>
        <w:spacing w:after="0" w:line="117"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rely on third parties for the manufacture of pociredir for any future clinical trials and for the manufacture of any future product candidates for preclinical and clinical testing, as well as for commercial manufacture if our product candidates receive marketing approval. Our lead product candidates are small molecules and can be manufactured in reliable and reproducible synthetic processes from readily available starting materials. We expect to continue to develop product candidates that can be produced cost-effectively at contract manufacturing facilities.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8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therapeutic product candidates, if approved, are likely to be their efficacy, safety, convenience, price, the level of generic competition and the availability of reimbursement from government and other third-party payors.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or emergency use authorizations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7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If our lead product candidates are approved for the indications for which we are currently undertaking clinical trials, they will compete with the therapies and currently marketed drugs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FSHD</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There are no approved therapies for the treatment of FSHD. Current treatment is limited to symptomatic management including physical/ occupational therapy, low-intensity aerobic exercise tailored to the patient’s distribution of weakness, and general pain management, which may provide limited beneficial effect. Limited range of motion in the shoulder girdle can stem from periscapular muscle weakness leading to scapular winging and in such cases, surgical scapular fixation can result in some functional improvement for certain patients.</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Losmapimod could face competition from other therapeutic approaches in development for patients with FSHD. Roche is evaluating RO7204239, a myostatin inhibitor, in a Phase 2 study in adults with FSHD. Avidity is evaluating AOC 1020, an siRNA antibody-oligonucleotide complex, in a Phase 1/2 clinical trial in adults with FSHD. Arrowhead Pharmaceutical is evaluating ARO-DUX4, an antibody-oligonucleotide conjugate, in adults with FSHD in a Phase 1/2a trial. We are not aware of any product candidate currently in clinical development for FSHD with the same mechanism of action as losmapimod.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SCD</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Several approved drug treatments for SCD focus primarily on the management and reduction of painful vaso-occlusive crises, and improvement of hemolytic anemia. The six drug treatments approved in the United States are hydroxyurea, voxelotor, crizanlizumab, L-glutamine, lovo-cel, and exa-cel. Hydroxyurea is approved for the treatment of SCD, to reduce the frequency of painful crises and to reduce the need for blood transfusions. Hydroxyurea is available in both generic and brand name formulations including DROXIA manufactured by Bristol Myers Squibb, and SIKLOS manufactured by Addmedica. Voxelotor, brand name OXBRYTA, marketed by Pfizer Inc., is approved under accelerated approval as a hemoglobin polymerization inhibitor to increase hemoglobin. Crizanlizumab, a fully-human monoclonal antibody p-selectin inhibitor marketed by Novartis, is approved for the reduction in the frequency of VOCs. L-glutamine, brand name ENDARI, marketed by Emmaus Life Sciences, Inc., is approved to reduce acute complications of the disorder.</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Lovo-cel and exa-cel are gene therapies approved for the treatment of severe SCD. Lovo-cel, brand name LYFGENIA, is a gene therapy designed to add functional copies of a modified form of the β-globin gene into patient’s hematopoietic stem cells (HSCs), to make normally functioning RBCs. Exa-cel, brand name CASGEVY, is a gene therapy consisting of autologous CD34+ cells edited by CRISPR/Cas9-technology to decrease BCL11A expression, resulting in increased HbF production. Gene therapies need to be administered in an in-patient procedure known as HSCT. As part of the transplant process, the patient receives myeloablative chemotherapy to remove the original unedited stem cells in the bone marrow in order to enable the genetically modified stem cells to engraft.</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An additional potentially curative treatment currently approved for severe SCD populations is allo-HSCT. However, allo-HSCT is more commonly offered to pediatric individuals with an available HLA-matched sibling donor. The 5-year survival rates in this young population is quite high but for older individuals (&gt;16 years), the survival rates can be considerably lower. There are also significant risks associated with allo-HSCT including infertility and graft-versus-host disease.</w:t>
      </w:r>
    </w:p>
    <w:p>
      <w:pPr>
        <w:spacing w:after="0" w:line="72"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A supportive care option for management of SCD is red blood cell transfusion but this can potentially be complicated by alloimmunization, transfusion reactions, and iron overload.</w:t>
      </w:r>
    </w:p>
    <w:p>
      <w:pPr>
        <w:spacing w:after="0" w:line="5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Pociredir could face competition from a number of different therapeutic approaches in development for people with SCD. Novo Nordisk A/S, or Novo, is evaluating nDec (decitabine-tetrahydrouridine), a small molecule designed to increase production of HbF, in a Phase 2 clinical trial that began enrolling in the summer of 2022. Novo is also evaluating etavopivat, a PKR agonist, in a Phase 2/3 clinical trial. Agios Pharmaceuticals, Inc., is evaluating mitapivat, a PKR agonist, in a Phase 2/3 clinical trial in subjects with SCD. Pfizer, Inc. is evaluating GBT-601, an HbS polymerization inhibitor, that is anticipated to initiate a Phase 3 clinical trial in 2023, inclacumab, a P-selectin inhibitor that is being evaluated in two Phase 3 clinical trials, and PF-07209326, an anti-E-selectin inhibitor, in a Phase 1 clinical trial. Takeda Pharmaceutical Company Limited, is evaluating TAK-755, recombinant ADAMTS13 protein, in a Phase 1 clinical trial in participants with baseline health SCD and SCD with acute VOCs. Sangamo Therapeutics Inc., or Sangamo, is developing SAR445136, a gene editing cell therapy that modifies cells to produce functional RBCs using HbF, in a Phase 1/2 clinical trial. There are also several other gene editing approaches being evaluated by Intellia Therapeutics, Inc. (in collaboration with Novartis), Editas Medicine, Inc., Graphite Bio, and Beam Therapeutics.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quality control, approval, packaging, storage, recordkeeping, labeling, advertising, promotion, distribution, marketing, post-approval monitoring and reporting, and import and export of biopharmaceutical products.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ind w:right="120"/>
        <w:spacing w:after="0" w:line="282" w:lineRule="auto"/>
        <w:rPr>
          <w:sz w:val="20"/>
          <w:szCs w:val="20"/>
          <w:color w:val="auto"/>
        </w:rPr>
      </w:pPr>
      <w:r>
        <w:rPr>
          <w:rFonts w:ascii="Times New Roman" w:cs="Times New Roman" w:eastAsia="Times New Roman" w:hAnsi="Times New Roman"/>
          <w:sz w:val="18"/>
          <w:szCs w:val="18"/>
          <w:color w:val="auto"/>
        </w:rPr>
        <w:t>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and Regulation of Drugs in the United States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drug products are regulated under the Federal Food, Drug and Cosmetic Act, or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w:t>
      </w:r>
    </w:p>
    <w:p>
      <w:pPr>
        <w:spacing w:after="0" w:line="7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An applicant seeking approval to market and distribute a new drug in the United States generally must satisfactorily complete each of the following steps before the product candidate will be approved by the FDA:</w:t>
      </w:r>
    </w:p>
    <w:p>
      <w:pPr>
        <w:spacing w:after="0" w:line="54" w:lineRule="exact"/>
        <w:rPr>
          <w:sz w:val="20"/>
          <w:szCs w:val="20"/>
          <w:color w:val="auto"/>
        </w:rPr>
      </w:pPr>
    </w:p>
    <w:p>
      <w:pPr>
        <w:ind w:left="900" w:right="200" w:hanging="368"/>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including laboratory tests, animal studies and formulation studies, which must be performed in accordance with the FDA’s GLP regulations and standards;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for human clinical testing,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900" w:right="280" w:hanging="368"/>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and effectiveness of the product candidate for each proposed indication, in accordance with current good clinical practices, or GCP;</w:t>
      </w:r>
    </w:p>
    <w:p>
      <w:pPr>
        <w:spacing w:after="0" w:line="53" w:lineRule="exact"/>
        <w:rPr>
          <w:rFonts w:ascii="Times New Roman" w:cs="Times New Roman" w:eastAsia="Times New Roman" w:hAnsi="Times New Roman"/>
          <w:sz w:val="18"/>
          <w:szCs w:val="18"/>
          <w:color w:val="auto"/>
        </w:rPr>
      </w:pPr>
    </w:p>
    <w:p>
      <w:pPr>
        <w:ind w:left="900" w:right="540" w:hanging="368"/>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new drug application, or NDA, for a drug product which includes not only the results of the clinical trials, but also, detailed information on the chemistry, manufacture and quality controls for the product candidate and proposed labelling for one or more proposed indication(s);</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where appropriate or if applicable;</w:t>
      </w:r>
    </w:p>
    <w:p>
      <w:pPr>
        <w:spacing w:after="0" w:line="117" w:lineRule="exact"/>
        <w:rPr>
          <w:rFonts w:ascii="Times New Roman" w:cs="Times New Roman" w:eastAsia="Times New Roman" w:hAnsi="Times New Roman"/>
          <w:sz w:val="18"/>
          <w:szCs w:val="18"/>
          <w:color w:val="auto"/>
        </w:rPr>
      </w:pPr>
    </w:p>
    <w:p>
      <w:pPr>
        <w:jc w:val="both"/>
        <w:ind w:left="900" w:right="220" w:hanging="368"/>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including those of third parties, at which the product candidate or components thereof are manufactured to assess compliance with current good manufacturing practices, or cGMP, requirements and to assure that the facilities, methods and controls are adequate to preserve the product’s identity, strength, quality and purity;</w:t>
      </w:r>
    </w:p>
    <w:p>
      <w:pPr>
        <w:spacing w:after="0" w:line="67"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non-clinical and clinical trial sites to assure compliance with GCP and the integrity of clinical data in support of the NDA;</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and securing FDA approval of the NDA to allow marketing of the new drug product; and</w:t>
      </w:r>
    </w:p>
    <w:p>
      <w:pPr>
        <w:spacing w:after="0" w:line="117" w:lineRule="exact"/>
        <w:rPr>
          <w:rFonts w:ascii="Times New Roman" w:cs="Times New Roman" w:eastAsia="Times New Roman" w:hAnsi="Times New Roman"/>
          <w:sz w:val="18"/>
          <w:szCs w:val="18"/>
          <w:color w:val="auto"/>
        </w:rPr>
      </w:pPr>
    </w:p>
    <w:p>
      <w:pPr>
        <w:ind w:left="900" w:right="80" w:hanging="368"/>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or REMS, and the potential requirement to conduct any post-approval studies required by the FDA.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Before an applicant begins testing a product candidate with potential therapeutic value in humans, the product candidate enters the preclinical testing stage, including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safety and activity of the drug for initial testing in humans and to establish a rationale for therapeutic use.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and long-term toxicity studies may continue after the IND is submitted.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IND and IRB Processes</w:t>
      </w:r>
    </w:p>
    <w:p>
      <w:pPr>
        <w:spacing w:after="0" w:line="119"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among other things, the requirement that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right="460"/>
        <w:spacing w:after="0" w:line="261" w:lineRule="auto"/>
        <w:rPr>
          <w:sz w:val="20"/>
          <w:szCs w:val="20"/>
          <w:color w:val="auto"/>
        </w:rPr>
      </w:pPr>
      <w:r>
        <w:rPr>
          <w:rFonts w:ascii="Times New Roman" w:cs="Times New Roman" w:eastAsia="Times New Roman" w:hAnsi="Times New Roman"/>
          <w:sz w:val="18"/>
          <w:szCs w:val="18"/>
          <w:color w:val="auto"/>
        </w:rPr>
        <w:t>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determine, among other things, whether human research subjects will be exposed to unreasonable health risks. At any time during this 30-day period, the FDA may raise concerns or questions about the conduct of the trials as outlined in the IND and impose a clinical hold or partial clinical hold. In these cases, the IND sponsor and the FDA must resolve any outstanding concerns before clinical trials can begin.</w:t>
      </w:r>
    </w:p>
    <w:p>
      <w:pPr>
        <w:spacing w:after="0" w:line="84"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Following commencement of a clinical trial under an IND, the FDA may also place a clinical hold or partial clinical hold on that trial. Clinical holds are imposed by the FDA whenever there is concern for patient safety and may be a result of new data, findings, or developments in clinical, nonclinical, and/or chemistry, manufacturing, and controls areas.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may not be allowed to proceed, while other protocols may be allowed. No more than 30 days after imposition of a clinical hold or partial clinical hold, the FDA will provide the sponsor a written explanation of the basis for the hold. Following issuance of a clinical hold or partial clinical hold, a clinical trial may only resume after the FDA has notified the sponsor. The FDA will base that determination on information provided by the sponsor correcting the deficiencies previously cited or otherwise satisfying the FDA that the clinical trial can proceed.</w:t>
      </w:r>
    </w:p>
    <w:p>
      <w:pPr>
        <w:spacing w:after="0" w:line="6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including GCP requirements, of the FDA in order to use the study as support for an IND or application for marketing approval. The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the protocol, or other requirements or if the product candidate has been associated with unexpected serious harm to patients.</w:t>
      </w:r>
    </w:p>
    <w:p>
      <w:pPr>
        <w:spacing w:after="0" w:line="79"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Suspension or termination of development during any phase of clinical trials can occur for many reasons, including if the FDA, an IRB, a data safety monitoring board, or we determine that the participants or patients are being exposed to an unacceptable health risk. Other reasons for suspension or termination may be made by us based on factors such as evolving business objectives and/or the competitive environment.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about clinical trials must be submitted within specific timeframes to the NIH for public dissemination on its ClinicalTrials.gov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requirements for posting clinical trial information are present in the European Union and other countries, as well.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Expanded Access to an Investigational Drug for Treatment Use</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new drug products outside of registrational clinical trials to treat patients with serious or immediately life-threatening diseases or conditions when there are no comparable or satisfactory alternative treatment options. The rules and regulations related to expanded access are intended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20"/>
        <w:spacing w:after="0" w:line="261" w:lineRule="auto"/>
        <w:rPr>
          <w:sz w:val="20"/>
          <w:szCs w:val="20"/>
          <w:color w:val="auto"/>
        </w:rPr>
      </w:pPr>
      <w:r>
        <w:rPr>
          <w:rFonts w:ascii="Times New Roman" w:cs="Times New Roman" w:eastAsia="Times New Roman" w:hAnsi="Times New Roman"/>
          <w:sz w:val="18"/>
          <w:szCs w:val="18"/>
          <w:color w:val="auto"/>
        </w:rPr>
        <w:t>to improve access to investigational drugs for patients who may benefit from investigational therapies that do not conflict with registrational trials.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When considering an IND application for expanded access to an investigational product, the FDA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7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There is no obligation for a sponsor to make its drug products available for expanded access; however, sponsor must make its expanded access policy publicly available upon the earlier of initiation of a Phase 2 or Phase 3 clinical trial; or 15 days after the drug or biologic receives designation as a breakthrough therapy, fast track product, or regenerative medicine advanced therapy.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an NDA</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but the phases may overlap or be combined. Additional studies may also be required after approval.</w:t>
      </w:r>
    </w:p>
    <w:p>
      <w:pPr>
        <w:spacing w:after="0" w:line="5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 including adverse effects,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pharmacodynamics in healthy humans or in patients. During Phase 1 clinical trials, information about the investigational drug product’s PK and pharmacological effects may be obtained to permit the design of scientifically valid Phase 2 clinical trials.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clinical trials are generally conducted in a limited patient population to identify possible adverse effects and safety risks,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proceed if the Phase 2 clinical trials demonstrate that a dose range of the product candidate is potentially effective and has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that is designed to deliver the data that regulatory authorities will use to decide whether or not to approve, and, if approved, how to appropriately label a drug, is referred to as “pivotal.”</w:t>
      </w:r>
    </w:p>
    <w:p>
      <w:pPr>
        <w:spacing w:after="0" w:line="7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IND annual reports detailing, among other things, the results of the clinical trials must be submitted to the FDA and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75"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Concurrent with clinical trials, companies often complete additional animal studies. They must also develop additional information about the chemistry and physical characteristics of the drug as well as finalize a process for manufacturing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spacing w:after="0" w:line="261" w:lineRule="auto"/>
        <w:rPr>
          <w:sz w:val="20"/>
          <w:szCs w:val="20"/>
          <w:color w:val="auto"/>
        </w:rPr>
      </w:pPr>
      <w:r>
        <w:rPr>
          <w:rFonts w:ascii="Times New Roman" w:cs="Times New Roman" w:eastAsia="Times New Roman" w:hAnsi="Times New Roman"/>
          <w:sz w:val="18"/>
          <w:szCs w:val="18"/>
          <w:color w:val="auto"/>
        </w:rPr>
        <w:t>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of 2003, or PREA,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that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grant full or partial waivers from the pediatric data requirements. The FDA maintains a list of diseases that are exempt from the requirements of PREA, due to low prevalence of disease in the pediatric population, and product candidates that have received orphan drug designation are generally exempt from PREA requirements, although orphan-designated drugs intended for treatment of certain molecularly targeted cancer indications are not eligible for the exemption.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Review and Approval of an NDA</w:t>
      </w:r>
    </w:p>
    <w:p>
      <w:pPr>
        <w:spacing w:after="0" w:line="11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In order to obtain approval to market a drug product in the United States, a marketing application must be submitted to the FDA that provides sufficient data establishing the safety and effectiveness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NDA is a vehicle through which applicants formally propose that the FDA approve a new drug product for marketing and sale in the United States for one or more indications. Every new non-biologic drug product candidate must be the subject of an approved NDA before it may be commercialized in the United States. BLAs are submitted for approval of biologic products. Under federal law, the submission of most NDAs is subject to an application user fee, which for federal fiscal year 2023 is $3,242,026 for an application requiring clinical data. The sponsor of an approved NDA is also subject to an annual program fee, which for fiscal year 2023 is $393,933. Certain exceptions and waivers are available for some of these fees, such as an exception from the application fee for products with orphan designation, an exception from the program fee when the program does not engage in manufacturing the drug during a particular fiscal year and a waiver for certain small businesses.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FDA conducts a preliminary review of the application, generally within 60 calendar days of its receipt, and strives to inform the sponsor within 74 days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Under certain circumstances, the FDA may determine the application is not sufficiently complete to permit a substantive review and will issue a refuse to file letter. Once the 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ten months from the date on which the FDA accepts the application for filing, and 90% of applications for NMEs that have been designated for Priority Review are meant to be reviewed within six months of the filing date. The review process and the Prescription Drug User Fee Act, or PDUFA, goal date may be extended by the FDA to consider new information or clarification provided by the applicant, to address a deficiency identified by the FDA in the original submission, or for other reasons.</w:t>
      </w:r>
    </w:p>
    <w:p>
      <w:pPr>
        <w:spacing w:after="0" w:line="8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Before approving an application, the FDA typically will inspect the facility or facilities where the product is being or will be manufactured. These pre-approval inspections may cover all facilities associated with an NDA submission,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1" w:name="page32"/>
    <w:bookmarkEnd w:id="31"/>
    <w:p>
      <w:pPr>
        <w:ind w:right="100"/>
        <w:spacing w:after="0" w:line="261" w:lineRule="auto"/>
        <w:rPr>
          <w:sz w:val="20"/>
          <w:szCs w:val="20"/>
          <w:color w:val="auto"/>
        </w:rPr>
      </w:pPr>
      <w:r>
        <w:rPr>
          <w:rFonts w:ascii="Times New Roman" w:cs="Times New Roman" w:eastAsia="Times New Roman" w:hAnsi="Times New Roman"/>
          <w:sz w:val="18"/>
          <w:szCs w:val="18"/>
          <w:color w:val="auto"/>
        </w:rPr>
        <w:t>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product to an advisory committee or explain why such referral was not made. Typically, an advisory committee is a panel of independent experts, including clinicians and other scientific experts, that review, evaluate and provide a recommendation as to whether the application should be approved and under what conditions. The FDA is not bound by the recommendations of an advisory committee, but the FDA considers such recommendations carefully when making decisions.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Fast Track, Breakthrough Therapy, Priority Review</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FDA has certain programs designed to expedite the development and review of product candidates intended to address an unmet medical need in the treatment of a serious or life-threatening disease or condition. These programs include Fast Track designation, Breakthrough Therapy designation, Priority Review designation and Regenerative Medicine Advanced Therapy designation. Sponsors must request these designations at appropriate points in the development process.</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 with the FDA, and the FDA may initiate review of sections of a Fast Track product’s application before the application is complete, in a process called rolling review. The sponsor must also provide, and the FDA must approve, a schedule for the submission of the remaining information, and the sponsor must pay applicable user fees. However, the FDA’s PDUFA goal for reviewing a Fast Track application does not begin until the last section of the application is submitted. In addition, the Fast Track designation may be withdrawn if the FDA believes that the designation is no longer supported by data emerging in the clinical trial process or for the other reasons.</w:t>
      </w:r>
    </w:p>
    <w:p>
      <w:pPr>
        <w:spacing w:after="0" w:line="8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A product that receives Breakthrough Therapy Designation is eligible for all of the features of Fast Track Designation, and additionally is eligible for intensive guidance throughout the development process and a commitment to involve senior staff.</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FDA may designate a product for Priority Review if it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based on epidemiologic, therapeutic, pathophysiologic, or other evidence,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efficacy biomarker or other measure that is thought to predict clinical benefit but is not itself a measure of clinical benefit. Surrogate endpoints can often be measured more easily or more rapidly than clinical endpoints.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accelerated approval pathway is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Under the Food and Drug Omnibus Reform Act of 2022, or FDORA, the FDA is now permitted to require, as appropriate, that such trials be underway prior to approval or within a specific time period after the date accelerated approval is granted. Under FDORA, the FDA has increased authority for expedited procedures to withdraw approval of the product if, for example, the confirmatory trial fails to verify the predicted clinical benefit of the product. In addition, the FDA generally requires, unless otherwise informed by the agency, pre-approval of promotional materials, which could adversely impact the timing of the commercial launch of the product.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FDA’s Decision on an NDA</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the FDA approves a new product, it may limit the approved indications for use of the product, require that contraindications, warnings or precautions be included in the product labeling, or require that post-approval studies, including Phase 4 clinical trials, be conducted to further assess the drug’s safety after approval. The agency may also require testing and surveillance programs to monitor the product after commercialization, or impose other conditions, including distribution restrictions or other risk management mechanisms, including Risk Evaluation and Mitigation Strategies (REMS), to help ensure that the benefits of the product outweigh the potential risks. REMS programs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The FDA may require a REMS before or after approval if it becomes aware of a serious risk associated with use of the product. The requirement for a REMS can materially affect the potential market and profitability of a product. After approval, many types of changes to the approved product, such as adding new indications, changing manufacturing processes and adding labeling claims, are subject to further testing requirements and FDA review and approval.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sponsor that obtains regulatory approval for marketing of a new product or a new indication for an existing product, will be subject to numerous post-approval regulatory requirements. The sponsor will be required to report, among other things, certain adverse reactions and manufacturing problems to the FDA, provide updated safety and efficacy information, comply with requirements concerning advertising and promotional labeling requirements, and submit NDA annual reports. Manufacturers and certain of their subcontractors, including those supplying products, ingredients and components,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being implemented. Accordingly, the sponsor and its third-party manufacturers must continue to expend time, money and effort to maintain compliance with cGMP regulations and other regulatory requirements.</w:t>
      </w:r>
    </w:p>
    <w:p>
      <w:pPr>
        <w:spacing w:after="0" w:line="8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may result in revisions to the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right="240"/>
        <w:spacing w:after="0" w:line="282" w:lineRule="auto"/>
        <w:rPr>
          <w:sz w:val="20"/>
          <w:szCs w:val="20"/>
          <w:color w:val="auto"/>
        </w:rPr>
      </w:pPr>
      <w:r>
        <w:rPr>
          <w:rFonts w:ascii="Times New Roman" w:cs="Times New Roman" w:eastAsia="Times New Roman" w:hAnsi="Times New Roman"/>
          <w:sz w:val="18"/>
          <w:szCs w:val="18"/>
          <w:color w:val="auto"/>
        </w:rPr>
        <w:t>labeling to add new safety information, requirements for post-market studies or clinical trials to assess safety risks; or imposition of distribution or other restrictions under a REMS program. Other potential consequences may include:</w:t>
      </w:r>
    </w:p>
    <w:p>
      <w:pPr>
        <w:spacing w:after="0" w:line="54" w:lineRule="exact"/>
        <w:rPr>
          <w:sz w:val="20"/>
          <w:szCs w:val="20"/>
          <w:color w:val="auto"/>
        </w:rPr>
      </w:pPr>
    </w:p>
    <w:p>
      <w:pPr>
        <w:ind w:left="900" w:hanging="36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900" w:right="220" w:hanging="368"/>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conditions, for a manufacturer to engage in nonpromotional, non-misleading communication regarding off-label information, such as distributing scientific or medical journal information.</w:t>
      </w:r>
    </w:p>
    <w:p>
      <w:pPr>
        <w:spacing w:after="0" w:line="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administrative and judicial enforcement by the FDA, the Department of Justice, or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manufacturers and other parties involved in the drug supply chain for prescription drug products must comply with product tracking and tracing requirements and for notify the FDA of counterfeit, diverted, stolen and intentionally adulterated products or products that are otherwise unfit for distribution in the United States.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505(b)(2) NDAs</w:t>
      </w:r>
    </w:p>
    <w:p>
      <w:pPr>
        <w:spacing w:after="0" w:line="11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or literature for a previously approved drug product, also known as a listed drug. Specifically, Section 505(b)(2) applies to NDAs for which certain investigations made to show whether or not the drug is safe and effective “were not conducted by or for the applicant and for which the applicant has not obtained a right of reference or use from the person by or for whom the investigations were conducted.”</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NDAs filed under Section 505(b)(2)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listed drug has been approved, subject to any regulatory exclusivities or patents for the listed drug (as further described below), as well as for any new indication or use sought by the Section 505(b)(2) applicant.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Abbreviated New Drug Applications for Generic Drugs</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known as the reference listed drugs,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4" w:name="page35"/>
    <w:bookmarkEnd w:id="34"/>
    <w:p>
      <w:pPr>
        <w:ind w:right="20"/>
        <w:spacing w:after="0" w:line="254" w:lineRule="auto"/>
        <w:rPr>
          <w:sz w:val="20"/>
          <w:szCs w:val="20"/>
          <w:color w:val="auto"/>
        </w:rPr>
      </w:pPr>
      <w:r>
        <w:rPr>
          <w:rFonts w:ascii="Times New Roman" w:cs="Times New Roman" w:eastAsia="Times New Roman" w:hAnsi="Times New Roman"/>
          <w:sz w:val="18"/>
          <w:szCs w:val="18"/>
          <w:color w:val="auto"/>
        </w:rPr>
        <w:t>RLDs. Abbreviated new drug applications, or ANDAs, generally do not include preclinical and clinical data to demonstrate safety and effectiveness. Instead, the applicant must provide information and data showing that its proposed generic version is identical to the RLD with respect to the active ingredients, route of administration, dosage form, strength and conditions of use of the drug. The FDA must also determine whether the generic drug is bioequivalent to the RLD.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Depending on state laws, generic drugs that are found to be therapeutically equivalent may be automatically substituted for prescriptions for the RLD by the dispensing pharmacist, without the intervention of the prescriber.</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Hatch-Waxman Patent Certification and the 30-Month Stay</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w:t>
      </w:r>
    </w:p>
    <w:p>
      <w:pPr>
        <w:spacing w:after="0" w:line="3" w:lineRule="exact"/>
        <w:rPr>
          <w:sz w:val="20"/>
          <w:szCs w:val="20"/>
          <w:color w:val="auto"/>
        </w:rPr>
      </w:pPr>
    </w:p>
    <w:p>
      <w:pPr>
        <w:ind w:right="520" w:firstLine="8"/>
        <w:spacing w:after="0" w:line="26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applicant is relying on studies conducted for an already approved product, the applicant is required to certify to the FDA concerning any relevant patents listed for the approved product in the Orange Book in the same manner as an ANDA applicant.</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Specifically, the applicant must certify with respect to each patent that:</w:t>
      </w:r>
    </w:p>
    <w:p>
      <w:pPr>
        <w:spacing w:after="0" w:line="117" w:lineRule="exact"/>
        <w:rPr>
          <w:sz w:val="20"/>
          <w:szCs w:val="20"/>
          <w:color w:val="auto"/>
        </w:rPr>
      </w:pPr>
    </w:p>
    <w:p>
      <w:pPr>
        <w:ind w:left="900" w:hanging="3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the application will not be approved until all the listed patents claiming the referenced product have expired (other than method of use patents involving indications for which the applicant is not seeking approval).</w:t>
      </w:r>
    </w:p>
    <w:p>
      <w:pPr>
        <w:spacing w:after="0" w:line="6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the ANDA or Section 505(b)(2) NDA applicant has provided a Paragraph IV certification to the FDA, the applicant must also send notice of the Paragraph IV certification to the NDA and patent holders once the application has been accepted for filing by the FDA. The NDA and patent holders may then initiate a patent infringement lawsuit in response to the notice of the Paragraph IV notice. The filing of a patent infringement lawsuit within 45 days after the receipt of a Paragraph IV certification automatically prevents the FDA from approving the ANDA or 505(b)(2) application until the earlier of 30 months after the receipt of the Paragraph IV notice, the expiration of the patent, or a decision in the infringement case that is favorable to the ANDA applicant.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5" w:name="page36"/>
    <w:bookmarkEnd w:id="35"/>
    <w:p>
      <w:pPr>
        <w:ind w:firstLine="509"/>
        <w:spacing w:after="0" w:line="261" w:lineRule="auto"/>
        <w:rPr>
          <w:sz w:val="20"/>
          <w:szCs w:val="20"/>
          <w:color w:val="auto"/>
        </w:rPr>
      </w:pPr>
      <w:r>
        <w:rPr>
          <w:rFonts w:ascii="Times New Roman" w:cs="Times New Roman" w:eastAsia="Times New Roman" w:hAnsi="Times New Roman"/>
          <w:sz w:val="18"/>
          <w:szCs w:val="18"/>
          <w:color w:val="auto"/>
        </w:rPr>
        <w:t>As a result, approval of a Section 505(b)(2) NDA or ANDA may be delayed until all the listed patents claiming the referenced product have expired, until any non-patent exclusivity, such as exclusivity for obtaining approval of a new chemical entity, listed in the Orange Book for the referenced product has expired, or, in the case of a Paragraph IV certification and subsequent patent infringement suit, until the earlier of 30 months, settlement of the lawsuit or a decision in the infringement case that is favorable to the applicant.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 existing regulatory exclusivity or certain patents.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a product with orphan designation receives the first FDA approval for the disease or condition for which it has such designation or for an indication or use within the rare disease or condition for which it was designated, the product generally will receive orphan drug exclusivity. Orphan drug exclusivity means that the FDA may not approve another sponsor’s marketing application for the same drug for the same condition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Orphan drug exclusivity also may not bar approval of another product under certain specified circumstances, including if a subsequent product with the same drug for the same condition is shown to be clinically superior to the approved product on the basis of greater efficacy or safety, or providing a major contribution to patient care, or if the company with orphan drug exclusivity is not able to meet market demand.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Act, which permits a patent restoration of up to five years for patent term lost during the FDA regulatory review. The restoration period granted on a patent covering a product is typically one-half the time between the effective date of an IND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Law and Regulation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72" w:lineRule="exact"/>
        <w:rPr>
          <w:sz w:val="20"/>
          <w:szCs w:val="20"/>
          <w:color w:val="auto"/>
        </w:rPr>
      </w:pPr>
    </w:p>
    <w:p>
      <w:pPr>
        <w:ind w:left="900" w:right="80" w:hanging="368"/>
        <w:spacing w:after="0" w:line="258"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federal Anti-Kickback Statute or specific intent to violate it to have committed a violation;</w:t>
      </w:r>
    </w:p>
    <w:p>
      <w:pPr>
        <w:spacing w:after="0" w:line="75" w:lineRule="exact"/>
        <w:rPr>
          <w:rFonts w:ascii="Times New Roman" w:cs="Times New Roman" w:eastAsia="Times New Roman" w:hAnsi="Times New Roman"/>
          <w:sz w:val="18"/>
          <w:szCs w:val="18"/>
          <w:color w:val="auto"/>
        </w:rPr>
      </w:pPr>
    </w:p>
    <w:p>
      <w:pPr>
        <w:ind w:left="900" w:hanging="368"/>
        <w:spacing w:after="0" w:line="25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80" w:lineRule="exact"/>
        <w:rPr>
          <w:rFonts w:ascii="Times New Roman" w:cs="Times New Roman" w:eastAsia="Times New Roman" w:hAnsi="Times New Roman"/>
          <w:sz w:val="18"/>
          <w:szCs w:val="18"/>
          <w:color w:val="auto"/>
        </w:rPr>
      </w:pPr>
    </w:p>
    <w:p>
      <w:pPr>
        <w:ind w:left="900" w:hanging="368"/>
        <w:spacing w:after="0" w:line="261"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spacing w:after="0" w:line="71" w:lineRule="exact"/>
        <w:rPr>
          <w:rFonts w:ascii="Times New Roman" w:cs="Times New Roman" w:eastAsia="Times New Roman" w:hAnsi="Times New Roman"/>
          <w:sz w:val="18"/>
          <w:szCs w:val="18"/>
          <w:color w:val="auto"/>
        </w:rPr>
      </w:pPr>
    </w:p>
    <w:p>
      <w:pPr>
        <w:ind w:left="900" w:hanging="368"/>
        <w:spacing w:after="0" w:line="254"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83"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53" w:lineRule="exact"/>
        <w:rPr>
          <w:rFonts w:ascii="Times New Roman" w:cs="Times New Roman" w:eastAsia="Times New Roman" w:hAnsi="Times New Roman"/>
          <w:sz w:val="18"/>
          <w:szCs w:val="18"/>
          <w:color w:val="auto"/>
        </w:rPr>
      </w:pPr>
    </w:p>
    <w:p>
      <w:pPr>
        <w:jc w:val="both"/>
        <w:ind w:left="900" w:right="360" w:hanging="368"/>
        <w:spacing w:after="0" w:line="312" w:lineRule="auto"/>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31" w:lineRule="exact"/>
        <w:rPr>
          <w:rFonts w:ascii="Times New Roman" w:cs="Times New Roman" w:eastAsia="Times New Roman" w:hAnsi="Times New Roman"/>
          <w:sz w:val="17"/>
          <w:szCs w:val="17"/>
          <w:color w:val="auto"/>
        </w:rPr>
      </w:pPr>
    </w:p>
    <w:p>
      <w:pPr>
        <w:ind w:left="900" w:right="160" w:hanging="368"/>
        <w:spacing w:after="0" w:line="25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Patient Protection and Affordable Care Act, as amended by the Health Care Education Reconciliation Act, or the ACA,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certain other licensed healthcare practitioners and teaching hospitals, as well as ownership and investment interests held by physicians and their immediate family members;</w:t>
      </w:r>
    </w:p>
    <w:p>
      <w:pPr>
        <w:spacing w:after="0" w:line="79" w:lineRule="exact"/>
        <w:rPr>
          <w:rFonts w:ascii="Times New Roman" w:cs="Times New Roman" w:eastAsia="Times New Roman" w:hAnsi="Times New Roman"/>
          <w:sz w:val="18"/>
          <w:szCs w:val="18"/>
          <w:color w:val="auto"/>
        </w:rPr>
      </w:pPr>
    </w:p>
    <w:p>
      <w:pPr>
        <w:ind w:left="900" w:right="80" w:hanging="368"/>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w:t>
      </w:r>
    </w:p>
    <w:p>
      <w:pPr>
        <w:spacing w:after="0" w:line="53" w:lineRule="exact"/>
        <w:rPr>
          <w:rFonts w:ascii="Times New Roman" w:cs="Times New Roman" w:eastAsia="Times New Roman" w:hAnsi="Times New Roman"/>
          <w:sz w:val="18"/>
          <w:szCs w:val="18"/>
          <w:color w:val="auto"/>
        </w:rPr>
      </w:pPr>
    </w:p>
    <w:p>
      <w:pPr>
        <w:ind w:left="900" w:right="320" w:hanging="368"/>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7" w:name="page38"/>
    <w:bookmarkEnd w:id="37"/>
    <w:p>
      <w:pPr>
        <w:ind w:left="900" w:right="240" w:hanging="36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State laws also govern the privacy and security of personal information, including health information. Many state laws differ from each other in various ways, thus complicating compliance efforts. For example, the California Consumer Protection Act, or CCPA, establishes data privacy rights for individuals located in California and imposes certain requirements on how businesses can collect and use personal information about such individuals. The California Privacy Rights Act, or CPRA, which became effective on January 1, 2023, imposes additional obligations on companies covered by the legislation and significantly modifies the CCPA, including by expanding consumers’ rights with respect to certain sensitive personal information, and establishes a state agency vested with the authority to enforce the CCPA. The CCPA catalyzed the enactment of similar, comprehensive privacy and data protection legislation in several other U.S. states, which became effective in 2023, including in Virginia, Colorado, Utah, and Connecticut. More than a dozen U.S. states have either passed or have proposed similar privacy and data protection legislation. Washington state’s My Health My Data Act, which comes into force on March 31, 2024, expands the definition of consumer health data, affords consumers with privacy rights and creates a private right of action, which could generate litigation. Although many of the existing state privacy laws exempt clinical trial information and health information governed by HIPAA, future privacy and data protection laws may be broader in scope and apply to our business. Further, data privacy and security laws and regulations in foreign jurisdictions, such as the EU’s General Data Protection Regulation, or EU GDPR, and the United Kingdom’s implementation of the same, may impose additional obligations on the collection, use and other processing of personal information, which may be more stringent or different than those in the United States.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Insurance Coverage and Health Care Reform</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86"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8" w:name="page39"/>
    <w:bookmarkEnd w:id="38"/>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8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2010, the United States Congress enacted the ACA, which, among other things, included changes to the coverage and payment for drug products under government health care programs. Among the provisions of the ACA of importance to our potential product candidates are:</w:t>
      </w:r>
    </w:p>
    <w:p>
      <w:pPr>
        <w:spacing w:after="0" w:line="54" w:lineRule="exact"/>
        <w:rPr>
          <w:sz w:val="20"/>
          <w:szCs w:val="20"/>
          <w:color w:val="auto"/>
        </w:rPr>
      </w:pPr>
    </w:p>
    <w:p>
      <w:pPr>
        <w:ind w:left="900" w:right="100" w:hanging="368"/>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thereby potentially increasing a manufacturer’s Medicaid rebate liability;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117" w:lineRule="exact"/>
        <w:rPr>
          <w:rFonts w:ascii="Times New Roman" w:cs="Times New Roman" w:eastAsia="Times New Roman" w:hAnsi="Times New Roman"/>
          <w:sz w:val="18"/>
          <w:szCs w:val="18"/>
          <w:color w:val="auto"/>
        </w:rPr>
      </w:pPr>
    </w:p>
    <w:p>
      <w:pPr>
        <w:ind w:left="900" w:right="300" w:hanging="368"/>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and</w:t>
      </w:r>
    </w:p>
    <w:p>
      <w:pPr>
        <w:spacing w:after="0" w:line="67" w:lineRule="exact"/>
        <w:rPr>
          <w:rFonts w:ascii="Times New Roman" w:cs="Times New Roman" w:eastAsia="Times New Roman" w:hAnsi="Times New Roman"/>
          <w:sz w:val="18"/>
          <w:szCs w:val="18"/>
          <w:color w:val="auto"/>
        </w:rPr>
      </w:pPr>
    </w:p>
    <w:p>
      <w:pPr>
        <w:ind w:left="900" w:right="440" w:hanging="368"/>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The Budget Control Act of 2011, among other things, created measures for spending reductions by Congress. This includes aggregate reductions of Medicare payments to providers up to 2% per fiscal year. Subsequent legislation extended the 2% which remains in effect through 2031. The American Taxpayer Relief Act of 2012 further reduced Medicare payments to several types of providers, and increased the statute of limitations period for the government to recover overpayments to providers from three to five years. Due to the Statutory Pay-As-You-Go Act of 2010, estimated budget deficit increases resulting from the American Rescue Plan Act of 2021, and subsequent legislation, Medicare payments to providers will be further reduced starting in 2025 absent further legislation.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are not yet known.</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President Biden has issued multiple executive orders that have sought to reduce prescription drug costs. In February 2023, HHS also issued a proposal in response to an October 2022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spacing w:after="0" w:line="258" w:lineRule="auto"/>
        <w:rPr>
          <w:sz w:val="20"/>
          <w:szCs w:val="20"/>
          <w:color w:val="auto"/>
        </w:rPr>
      </w:pPr>
      <w:r>
        <w:rPr>
          <w:rFonts w:ascii="Times New Roman" w:cs="Times New Roman" w:eastAsia="Times New Roman" w:hAnsi="Times New Roman"/>
          <w:sz w:val="18"/>
          <w:szCs w:val="18"/>
          <w:color w:val="auto"/>
        </w:rPr>
        <w:t>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Medicinal Products in the European Union</w:t>
      </w:r>
    </w:p>
    <w:p>
      <w:pPr>
        <w:spacing w:after="0" w:line="121"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European Union, or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119" w:lineRule="exact"/>
        <w:rPr>
          <w:sz w:val="20"/>
          <w:szCs w:val="20"/>
          <w:color w:val="auto"/>
        </w:rPr>
      </w:pPr>
    </w:p>
    <w:p>
      <w:pPr>
        <w:ind w:right="120" w:firstLine="509"/>
        <w:spacing w:after="0" w:line="263" w:lineRule="auto"/>
        <w:rPr>
          <w:sz w:val="20"/>
          <w:szCs w:val="20"/>
          <w:color w:val="auto"/>
        </w:rPr>
      </w:pPr>
      <w:r>
        <w:rPr>
          <w:rFonts w:ascii="Times New Roman" w:cs="Times New Roman" w:eastAsia="Times New Roman" w:hAnsi="Times New Roman"/>
          <w:sz w:val="18"/>
          <w:szCs w:val="18"/>
          <w:color w:val="auto"/>
        </w:rPr>
        <w:t>In April 2014, the EU adopted the new Clinical Trials Regulation, (EU) No 536/2014, which replaced the Clinical Trials Directive 2001/20/EC on January 31, 2022. The Clinical Trials Regulation is directly applicable in all EU Member States meaning no national implementing legislation in each EU Member State is required. The new Clinical Trials Regulation aims to simplify and streamline the approval of clinical trials in the EU. Under the new coordinated procedure for the approval of clinical trials, the sponsor of a clinical trial is required to submit a single application for approval of a clinical trial to a reporting EU Member State through an EU Portal. The submission procedure is the same irrespective of whether the clinical trial is to be conducted in a single EU Member State or in more than one EU Member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PRIME Designation in the EU</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where the marketing authorization application will be made through the centralized procedure. Eligible products must target conditions for which there is an unmet medical need (there is no satisfactory method of diagnosis, prevention or treatment in the EU or, if there is, the new medicine will bring a major therapeutic advantage) and they must demonstrate the potential to address the unmet medical need.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EMA contact and rapporteur from the Committee for Medicinal Products for Human Use, or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11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throughout the EU, and in the additional Member States of the European Economic Area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(gene-therapy, somatic cell-therapy or tissue-engineered medicines), and products with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We anticipate that the centralized procedure will be mandatory for the product candidates we are developing.</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evaluation might be granted by the CHMP in exceptional cases, when a medicinal product is expected to be of major interest from the point of view of public health and in particular from the viewpoint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41" w:name="page42"/>
    <w:bookmarkEnd w:id="41"/>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a marketing authorization under exceptional circumstances may be granted subject to certain specific obligations, which may include the following:</w:t>
      </w:r>
    </w:p>
    <w:p>
      <w:pPr>
        <w:spacing w:after="0" w:line="79" w:lineRule="exact"/>
        <w:rPr>
          <w:sz w:val="20"/>
          <w:szCs w:val="20"/>
          <w:color w:val="auto"/>
        </w:rPr>
      </w:pPr>
    </w:p>
    <w:p>
      <w:pPr>
        <w:ind w:left="900" w:right="300" w:hanging="368"/>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53" w:lineRule="exact"/>
        <w:rPr>
          <w:rFonts w:ascii="Times New Roman" w:cs="Times New Roman" w:eastAsia="Times New Roman" w:hAnsi="Times New Roman"/>
          <w:sz w:val="18"/>
          <w:szCs w:val="18"/>
          <w:color w:val="auto"/>
        </w:rPr>
      </w:pPr>
    </w:p>
    <w:p>
      <w:pPr>
        <w:ind w:left="900" w:right="340" w:hanging="368"/>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54"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6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intended for treating, preventing or diagnosing seriously debilitating or life-threatening diseases (including medicines designated as orphan medicinal products), if (i) the risk-benefit balance of the product candidate is positive, (ii) it is likely that the applicant will be in a position to provide the required comprehensive clinical trial data post-authorization,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A conditional marketing authorization can be converted into a standard centralized marketing authorization (no longer subject to specific obligations) once the marketing authorization holder fulfils the obligations imposed and the complete data confirm that the medicine’s benefits continue to outweigh its risks.</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72"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requesting that this authority recognize the marketing authorization delivered by the competent authority of another EU Member State.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EU, innovative medicinal products approved on the basis of a complete and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an additional two-year period of market exclusivity, a generic or biosimilar MAA can be submitted and authorized, and the innovator’s data may be referenced, but no generic or biosimilar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and independent data package of pharmaceutical tests, preclinical tests and clinical trials.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 authorized product. Once subsequently definitively renewed, the marketing authorization shall be valid for an unlimited period, unless the European Commission or the national competent authority decides, on justified grounds relating to pharmacovigilance, to proceed with one additional five-year renewal period. Any authorization which is not followed by the actual placing of the medicinal product on the EU market (in the case of the centralized procedure) or on the market of the authorizing EU Member State for a nationally authorized product within three years after authorization ceases to be valid (the so-called sunset clause).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Paediatric Studies and Exclusivity</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Prior to obtaining a marketing authorization in the EU, applicants must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population are included in the product information, even when negative, the medicine is then eligible for an additional six-month period of qualifying patent protection through extension of the term of the Supplementary Protection Certificate or SPC, provided an application for such extension is made at the same time as filing the SPC application for the product, or at any point up to two years before the SPC expires, even where the trial results are negative.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Designation and Exclusivity</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Products receiving orphan designation in the EU can receive ten years of market exclusivity, during which time no “similar medicinal product” may be placed on the market. A “similar medicinal product” is defined as a medicinal product containing a similar active substance or substances as contained in an authorized orphan medicinal product, and which is intended for the same therapeutic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firstLine="509"/>
        <w:spacing w:after="0" w:line="253" w:lineRule="auto"/>
        <w:rPr>
          <w:sz w:val="20"/>
          <w:szCs w:val="20"/>
          <w:color w:val="auto"/>
        </w:rPr>
      </w:pPr>
      <w:r>
        <w:rPr>
          <w:rFonts w:ascii="Times New Roman" w:cs="Times New Roman" w:eastAsia="Times New Roman" w:hAnsi="Times New Roman"/>
          <w:sz w:val="18"/>
          <w:szCs w:val="18"/>
          <w:color w:val="auto"/>
        </w:rPr>
        <w:t>Regulation (EC) No. 141/2000, as implemented by Regulation (EC) No. 847/2000 provides that a product can be designated as an orphan product by the European Commission if its sponsor can establish: (1) that the product is intended for the diagnosis, prevention or treatment of a life-threatening or chronically debilitating condition; (2) either (a) such condition affects no more than five (5) in ten thousand (10,000) persons in the EU when the application is made, or (b) it is unlikely that the product, without the benefits derived from orphan status, would generate sufficient return in the EU to justify the necessary investment in its development; and (3)there exists no satisfactory method of diagnosis, prevention or treatment of such condition authorized for marketing in the EU or, if such method exists, the product will be of significant benefit to those affected by that condition. Orphan medicinal products are eligible for financial incentives such as reduction of fees or fee waivers. The application for orphan designation must be submitted before the application for marketing authorization. The applicant will receive a fee reduction for the MAA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However, a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Requirements After a Marketing Authorization has been Obtained</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54" w:lineRule="exact"/>
        <w:rPr>
          <w:sz w:val="20"/>
          <w:szCs w:val="20"/>
          <w:color w:val="auto"/>
        </w:rPr>
      </w:pPr>
    </w:p>
    <w:p>
      <w:pPr>
        <w:ind w:left="900" w:right="200" w:hanging="368"/>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studies and additional monitoring obligations.</w:t>
      </w:r>
    </w:p>
    <w:p>
      <w:pPr>
        <w:spacing w:after="0" w:line="53" w:lineRule="exact"/>
        <w:rPr>
          <w:rFonts w:ascii="Times New Roman" w:cs="Times New Roman" w:eastAsia="Times New Roman" w:hAnsi="Times New Roman"/>
          <w:sz w:val="18"/>
          <w:szCs w:val="18"/>
          <w:color w:val="auto"/>
        </w:rPr>
      </w:pPr>
    </w:p>
    <w:p>
      <w:pPr>
        <w:ind w:left="900" w:right="80" w:hanging="368"/>
        <w:spacing w:after="0" w:line="25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(EU) 2017/1572,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79" w:lineRule="exact"/>
        <w:rPr>
          <w:rFonts w:ascii="Times New Roman" w:cs="Times New Roman" w:eastAsia="Times New Roman" w:hAnsi="Times New Roman"/>
          <w:sz w:val="18"/>
          <w:szCs w:val="18"/>
          <w:color w:val="auto"/>
        </w:rPr>
      </w:pPr>
    </w:p>
    <w:p>
      <w:pPr>
        <w:ind w:left="900" w:right="20" w:hanging="368"/>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drugs, including industry-sponsored continuing medical education and advertising directed toward the prescribers of drugs and/or the general public, are strictly regulated in the EU. Direct-to-consumer advertising of prescription medicines is prohibited across the EU.</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or EEA, which consists of the EU Member States, plus Norway, Liechtenstein and Iceland.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Reform of the Regulatory Framework in the European Union</w:t>
      </w:r>
    </w:p>
    <w:p>
      <w:pPr>
        <w:spacing w:after="0" w:line="2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In October 2023, the European Parliament published draft reports proposing amendments to the legislative proposals, which will be debated by the European Parliament. Once the European Commission’s legislative proposals are approved (with or without amendment), they will be adopted into EU law.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11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EU, including personal health data, is subject to the EU GDPR, which became effective on May 25, 2018. Following the United Kingdom’s, or UK’s, withdrawal from the EU, or Brexit, the EU GDPR has been incorporated into UK laws, or UK GDPR (together with the EU GDPR,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4" w:name="page45"/>
    <w:bookmarkEnd w:id="44"/>
    <w:p>
      <w:pPr>
        <w:spacing w:after="0" w:line="255" w:lineRule="auto"/>
        <w:rPr>
          <w:sz w:val="20"/>
          <w:szCs w:val="20"/>
          <w:color w:val="auto"/>
        </w:rPr>
      </w:pPr>
      <w:r>
        <w:rPr>
          <w:rFonts w:ascii="Times New Roman" w:cs="Times New Roman" w:eastAsia="Times New Roman" w:hAnsi="Times New Roman"/>
          <w:sz w:val="18"/>
          <w:szCs w:val="18"/>
          <w:color w:val="auto"/>
        </w:rPr>
        <w:t>activities, implementing safeguards to protect the security and confidentiality of personal data, providing notification of data breaches, ensuring certain accountability measures are in place and taking certain measures when engaging third-party processors. The GDPR also imposes strict rules on the transfer of personal data to countries outside the EU and the UK, including the United States, and permits data protection authorities to impose large penalties for violations of the GDPR, including potential fines of up to €20 million (£17.5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United Kingdom formally left the EU on January 31, 2020, and the EU and the United Kingdom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currently continues to apply in Northern Ireland). Except in respect of the new EU Clinical Trials Regulation, the regulatory regime in Great Britain therefore currently largely aligns with EU regulations, however it is possible that these regimes will diverge more significantly in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a new international recognition procedure that was put in place by the Medicines and Healthcare products Regulatory Agency, or MHRA, on January 1, 2024, the MHRA may take into account decisions on the approval of a marketing authorization from the EMA (and certain other regulators) when considering an application for a Great Britain marketing authorization.</w:t>
      </w:r>
    </w:p>
    <w:p>
      <w:pPr>
        <w:spacing w:after="0" w:line="8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Despite Brexit, the EU and UK GDPR remain largely aligned. Currently, the most impactful point of divergence relates to transfer mechanisms (i.e., the ability for EU/UK companies to transfer personal information to third countries, including the United States), because it requires us to implement a variety of different contractual clauses approved by EU or UK regulators. There may be further divergence in the future, including with regard to administrative burdens. The UK has announced plans to reform the country’s data protection legal framework in its Data Reform Bill, which will introduce significant changes from the EU GDPR.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Pricing Decisions for Approved Products</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arbitrage between low-priced and high-priced EU Member States, can further reduce prices. Special pricing and reimbursement rules may apply to orphan products. Inclusion of orphan products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results-based rules of reimbursement may apply. There can be no assurance that any country that has price controls or reimbursement limitations for pharmaceutical products will allow favorable reimbursement and pricing arrangements for any products, if approved in those countries.</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Mission &amp; Our Employees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launched with a bold vision to change the course of genetically defined diseases by developing small molecules to treat them at their root cause. Our approach to drug discovery generates significant insights into disease biology and allows us to think creatively about the best way to modulate and balance gene expression. Our patient-focused product discovery approach is designed to systematically identify and validate cellular drug targets that can modulate gene expression to treat the known root cause of genetically defined diseases. We take great pride in being purposeful patient partners who do this work, not just for patients, but with patients.</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view our employees as one of our most valuable assets in serving our mission. We believe that our future success is dependent on attracting, motivating and retaining talented employees. We value the health and wellness of our employees and their families. We aim to create an equitable, inclusive and empowering work environment in which our employees can grow and advance their careers, with the overall goal of developing, expanding and retaining our workforce to support our current pipeline and future business goals. Our success also depends on our ability to attract, engage and retain a diverse group of employees.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Behaviors Support Our Mission</w:t>
      </w:r>
    </w:p>
    <w:p>
      <w:pPr>
        <w:spacing w:after="0" w:line="121"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We believe success comes when we and our employees align with our mission to improve the lives of patients with genetically-defined rare diseases in areas of high unmet medical need. We are the FULcrew united around these Pillars:</w:t>
      </w:r>
    </w:p>
    <w:p>
      <w:pPr>
        <w:spacing w:after="0" w:line="5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take great pride in being Purposeful Patient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culture of Trust and Transparency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Invested in our People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Playful spirit and have fun together at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46" w:name="page47"/>
    <w:bookmarkEnd w:id="46"/>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Fulcrum with a Bold Scientific Vision and remain committed to this journey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of Human Capital</w:t>
      </w:r>
    </w:p>
    <w:p>
      <w:pPr>
        <w:spacing w:after="0" w:line="121"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7"/>
          <w:szCs w:val="17"/>
          <w:color w:val="auto"/>
        </w:rPr>
        <w:t>To effectively leverage and manage our peoples, we ensure our hiring needs are directly aligned with our strategy, we invest in our people focused on their development and journey while at Fulcrum and most importantly we identify our key talent to ensure we are focused on their retention. We track and report internally on key talent metrics including a focus on overall headcount and by function, hiring metrics, career development (promotions, etc.), turnover trends, and employee demographics (including race, gender, ethnicity). Our senior executives use these metrics to make thoughtful decisions around our people including resource planning, recruitment and retention initiatives and design of compensation and benefits programs. We share these metrics quarterly with the senior executives and board of directors to assist it in fulfilling its duties to (a) establish our enterprise compensation philosophy,</w:t>
      </w:r>
    </w:p>
    <w:p>
      <w:pPr>
        <w:spacing w:after="0" w:line="5" w:lineRule="exact"/>
        <w:rPr>
          <w:sz w:val="20"/>
          <w:szCs w:val="20"/>
          <w:color w:val="auto"/>
        </w:rPr>
      </w:pPr>
    </w:p>
    <w:p>
      <w:pPr>
        <w:ind w:right="80" w:firstLine="8"/>
        <w:spacing w:after="0" w:line="260"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compensation plans, (c) evaluate the performance of our executive officers and key employees and (d) review and monitor management development and succession plans.</w:t>
      </w:r>
    </w:p>
    <w:p>
      <w:pPr>
        <w:spacing w:after="0" w:line="73"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As of February 20, 2024, we had 76 full-time employees, including a total of 26 employees with M.D. or Ph.D. degrees. Of these full-time employees, 47 employees are engaged in research and development. None of our employees are represented by labor unions or covered by collective bargaining agreements. We consider our relationship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Commitment to Diversity, Equity &amp; Inclusion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strongly believe in a diverse workplace where all our employees can thrive in an inclusive environment free from discrimination, harassment, bias and prejudice. We aim to treat all individuals with respect and dignity and to provide all our employees with equal opportunity and fair treatment based on merit. By embracing diversity and inclusion, we create an organization committed to working together to develop innovative solutions in support of our mission consistent with our values. We cultivate a culture and environment where different backgrounds and perspectives are not only respected and heard, but embraced and celebrated. Not only is a diverse, equitable and inclusive mindset and culture critical to an engaged and committed workplace, but it is also imperative to understanding and meeting the needs of the patients we seek to help with our medicines.</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we grow and mature, we look forward to establishing programs/metrics that support diversity, equity, inclusion, and belonging. We will focus on continuing to bring more diversity talent to Fulcrum, creating an inclusive environment by creating awareness (speakers, etc.) and ensuring our underrepresent employees are provided the right career opportunities.</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February 20, 2024, women accounted for approximately 55% of our full-time employees. As of March 2, 2023, our employee records indicate that approximately 29% of our full-time U.S. employees identify as non-white.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Compensation &amp; Benefits</w:t>
      </w:r>
    </w:p>
    <w:p>
      <w:pPr>
        <w:spacing w:after="0" w:line="121" w:lineRule="exact"/>
        <w:rPr>
          <w:sz w:val="20"/>
          <w:szCs w:val="20"/>
          <w:color w:val="auto"/>
        </w:rPr>
      </w:pPr>
    </w:p>
    <w:p>
      <w:pPr>
        <w:ind w:right="80" w:firstLine="509"/>
        <w:spacing w:after="0" w:line="263" w:lineRule="auto"/>
        <w:rPr>
          <w:sz w:val="20"/>
          <w:szCs w:val="20"/>
          <w:color w:val="auto"/>
        </w:rPr>
      </w:pPr>
      <w:r>
        <w:rPr>
          <w:rFonts w:ascii="Times New Roman" w:cs="Times New Roman" w:eastAsia="Times New Roman" w:hAnsi="Times New Roman"/>
          <w:sz w:val="18"/>
          <w:szCs w:val="18"/>
          <w:color w:val="auto"/>
        </w:rPr>
        <w:t>Given the highly competitive nature of our industry and the importance of recruitment and retention to our success, we strive to furnish our employees with what we believe is a very competitive and comprehensive total rewards package of compensation, benefits and services. This package includes competitive compensation, including equity compensation, and comprehensive benefits program that provides resources to help employees manage their health and well-being, finances, and life outside of work (promoting flexibility), including health insurance and dental care, vision insurance, disability insurance, paid sick leave, paid family leave, matching contributions to a 401(k) plan, employee stock purchase plan, paid time off (inclusive of vacation, holidays, focus days) and employee assistance services.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26 Landsdowne Street, Cambridge, MA 02139, and our telephone number is 617-651-8851. Our internet website address is www.fulcrumtx.com. The information contained on, or that can be accessed through, our website is not a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i w:val="1"/>
          <w:iCs w:val="1"/>
          <w:color w:val="auto"/>
        </w:rPr>
        <w:t>Our future operating results could differ materially from the results described in this Annual Report on Form 10-K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Annual Report on Form 10-K for a discussion of some of the forward-looking statements that are qualified by these risk factors. Factors that could cause or contribute to such differences include those factors discussed below.</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5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$97.3 million for the year ended December 31, 2023 and $109.9 million for the year ended December 31, 2022. As of December 31, 2023, we had an accumulated deficit of $509.7 million. To date, we have funded our operations primarily from the sale of shares of our capital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1"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losmapimod and pociredir;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through later stage trials, such as REACH, the Phase 3 clinical trial of losmapimod for the treatment of FSHD;</w:t>
      </w:r>
    </w:p>
    <w:p>
      <w:pPr>
        <w:spacing w:after="0" w:line="53"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 including for Diamond Blackfan Anemia under our recent license agreement with CAMP4;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recent agreement with CAMP4;</w:t>
      </w:r>
    </w:p>
    <w:p>
      <w:pPr>
        <w:spacing w:after="0" w:line="11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affiliates of GlaxoSmithKline plc, or GSK, under our right of reference and license agreement with GSK upon the achievement of specified clinical or regulatory milestones, or to CAMP4 under our license agreement with CAMP4;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81" w:lineRule="exact"/>
        <w:rPr>
          <w:sz w:val="20"/>
          <w:szCs w:val="20"/>
          <w:color w:val="auto"/>
        </w:rPr>
      </w:pPr>
    </w:p>
    <w:p>
      <w:pPr>
        <w:ind w:left="900" w:right="62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the FDA, the EMA, or other regulatory authorities to perform trials or studies in addition to, or different than, those expected;</w:t>
      </w:r>
    </w:p>
    <w:p>
      <w:pPr>
        <w:spacing w:after="0" w:line="53"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delays in completing our clinical trials or the development of any of our product candidates, such as the clinical hold imposed by the FDA on the Investigational New Drug, or IND, application for pociredir in SCD, which was lifted in August 2023; or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expect to devote substantial financial resources to our ongoing and planned activities, particularly as we continue our ongoing and planned clinical trials of losmapimod and pociredir,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Accordingly, we will need to obtain substantial additional funding in connection with our continuing operations. Given current uncertainty in the capital markets and other factors, such funding may not be available on terms favorable to us or at all. If we are unable to raise capital when needed or on acceptable terms, we could be forced to delay, reduce or eliminate our research and development programs or any future commercialization efforts.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900" w:right="6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clinical trials of losmapimod, including REACH, the Phase 3 clinical trial of losmapimod for the treatment of FSHD, which completed enrollment in September 2023, and our Phase 1b clinical trial of pociredir in SCD;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planned clinical trials;</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active pharmaceutical ingredient, or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MyoKardia or under our recent license agreement with CAMP4;</w:t>
      </w:r>
    </w:p>
    <w:p>
      <w:pPr>
        <w:spacing w:after="0" w:line="117"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9" w:name="page50"/>
    <w:bookmarkEnd w:id="49"/>
    <w:p>
      <w:pPr>
        <w:ind w:left="900" w:right="80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11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we had cash, cash equivalents, and marketable securities of approximately $236.2 million. We believe that our cash, cash equivalents, and marketable securities as of December 31, 2023 will enable us to fund our operating expenses and capital expenditure requirements into 2026.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several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and the current downturn in the U.S. capital markets and the biotechnology sector in general.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 We may also choose to further realign our operations to achieve additional operational efficiencies beyond the strategic realignment commenced in August 2022.</w:t>
      </w:r>
    </w:p>
    <w:p>
      <w:pPr>
        <w:spacing w:after="0" w:line="29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and in the future anticipate we will rely, in part on sales of our common stock through at-the-market, or ATM, offering programs. Increased volatility and decreases in market prices of equity securities generally and of our common stock in particular may have an adverse impact on our willingness and/or ability to continue to sell our common stock through an ATM offering program. Decreases in these sales could affect the cost or availability of equity capital, which could in turn have an adverse effect on our business, including current operations, future growth, revenues, net income and the market prices of our common stock.</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May 2022, we established an ATM offering program to sell shares of our common stock having an aggregate offering price of up to $50.0 million from time to time. We suspended this program in January 2023 immediately prior to commencing our underwritten public offering of common stock, and then terminated this ATM offering program in February 2024 in anticipation of entering into a new ATM offering program to sell shares of our common stock having an aggregate offering price of up to $100.0 million from time to time promptly after filing this annual report on Form 10-K. We may not make any sales of securities pursuant to any ATM offering program unless and until a registration statement with respect to the shares being offered thereunder becomes effective. However, given the overall volatility in the capital markets, even if a new ATM offering program becomes available to us, we may not be willing or able to raise equity capital through an ATM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0" w:name="page51"/>
    <w:bookmarkEnd w:id="50"/>
    <w:p>
      <w:pPr>
        <w:ind w:right="480"/>
        <w:spacing w:after="0" w:line="282" w:lineRule="auto"/>
        <w:rPr>
          <w:sz w:val="20"/>
          <w:szCs w:val="20"/>
          <w:color w:val="auto"/>
        </w:rPr>
      </w:pPr>
      <w:r>
        <w:rPr>
          <w:rFonts w:ascii="Times New Roman" w:cs="Times New Roman" w:eastAsia="Times New Roman" w:hAnsi="Times New Roman"/>
          <w:sz w:val="18"/>
          <w:szCs w:val="18"/>
          <w:color w:val="auto"/>
        </w:rPr>
        <w:t>offering program. We may, therefore, need to turn to other sources of funding that may have terms that are not favorable to us, or reduce our business operations given capital constraints.</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our equity ownership in the subsidiary, which would adversely affect the rights of holders of both our equity securities and, if any, our debt and debt securities.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reduce our net income, and these impacts may be material. If the issuance of new securities results in diminished rights to holders of our common stock, the market price of our common stock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stockholders to evaluate the success of our business to date and to assess our future viability.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commenced activities in 2015 and are a clinical-stage biotechnology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8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was negatively impacted by the COVID-19 pandemic and may in the future be impacted by any future pandemics. In addition, the effects of any future pandemics may, adversely impact economies worldwide, which could result in adverse effects on our business and operations.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experienced enrollment delays in our ReDUX4 clinical trial due to the COVID-19 pandemic as the clinical trial sites for our ReDUX4 clinical trial temporarily postponed trial-related activities. We also saw temporary disruptions in other business activities due to a temporary reduction in workforce presence at our Cambridge research facility, and COVID-19 had a significant impact on economies worldwide. Future pandemics may arise, and they, like COVID-19, could impact our company, our CMOs and contract research organizations, or CROs, creating disruptions that affect our ability to initiate and complete preclinical studies or clinical trials, disrupt our supply chain for our research and development activities, and disrupt any then planned or ongoing clinical trials for any number of reasons. Any future pandemics could similarly impact patient recruitment or retention for clinical trials, or result in resources being redirected in a way that adversely impacts our ability to progress regulatory approvals and protect our intellectual property. In addition, as with COVID-19 pandemic, we may face impediments to regulatory meetings and approvals due to recommended safety measures intended to limit in-person interactions in any future pandemic.</w:t>
      </w:r>
    </w:p>
    <w:p>
      <w:pPr>
        <w:spacing w:after="0" w:line="80"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COVID-19 pandemic caused significant disruptions in the financial markets and any future pandemic could similarly cause such disruptions, which could impact our ability to raise additional funds through public offerings and may also impact the volatility of our stock price and trading in our stock. We cannot be certain what the overall impact of any future pandemic will be on our business. The extent of any future pandemic on our business, financial condition, results of operations and prospects will depend on future developments that are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For example, under Section 174 of the U.S. Internal Revenue Code of 1986, as amended, or the Code, in taxable years beginning after December 31, 2021, expenses that are incurred for research and development in the United States will be capitalized and amortized, which may have an adverse effect on our cash flow.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9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we had federal and state net operating loss carryforwards of $312.3 million and $317.1 million, respectively, which begin to expire in 2036. Approximately $288.7 million of the federal net operating losses can be carried forward indefinitely. As of December 31, 2023, we also had federal orphan drug credits of $23.8 million, which begin to expire in 2040. As of December 31, 2023, we also had federal and state research and development tax credit carryforwards of $7.6 million and $4.9 million, respectively, which begin to expire in 2035 and 2030, respectively. These net operating loss and tax credit carryforwards could expire unused and be unavailable to offset future income tax liabilities.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of the Code to determine if historical changes in ownership through December 31, 2021 would limit or otherwise restrict our ability to utilize our pre-change net operating losses and research and development tax credit carryforwards to offset future taxable income. As a result of the analysis, we do not believe that there are any significant limitations on our ability to utilize our net operating losses and research and development tax credit carryforwards to offset future taxable income. However, we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8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26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March 2023, a number of banks (e.g., Silicon Valley Bank, Signature Bank and Silvergate Capital Corp.) were placed into receivership, followed by First Republic Bank in May 2023. Although the Federal Deposit Insurance Corporation, or FDIC, and others have taken steps to reduce risk to uninsured depositors, borrowers under credit agreements, letters of credit and certain other financial instruments with such banks or any other financial institution that is placed into receivership by the FDIC may be unable to access undrawn amounts thereunder. Even 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and the supervision thereof. In addition, investor concerns regarding the United States or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ind w:right="40"/>
        <w:spacing w:after="0" w:line="277" w:lineRule="auto"/>
        <w:rPr>
          <w:sz w:val="20"/>
          <w:szCs w:val="20"/>
          <w:color w:val="auto"/>
        </w:rPr>
      </w:pPr>
      <w:r>
        <w:rPr>
          <w:rFonts w:ascii="Times New Roman" w:cs="Times New Roman" w:eastAsia="Times New Roman" w:hAnsi="Times New Roman"/>
          <w:sz w:val="17"/>
          <w:szCs w:val="17"/>
          <w:color w:val="auto"/>
        </w:rPr>
        <w:t>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which could have material adverse effect on our liquidity and on our business, financial condition or results of operations.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we only have two clinical-stage product candidates. If we are unable to commercialize our product candidates or experience significant delays in doing so, our business will be materially harmed.</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are early in our development efforts, and we have advanced only two product candidates into clinical trials, losmapimod for the treatment of FSHD, and pociredir for the treatment of SCD (which was on clinical hold between February and August 2023). We have invested substantially all of our efforts and financial resources in identifying and validating and conducting clinical trials on cellular drug targets that can potentially modulate gene expression to address the root cause of genetically-defined rare diseases. Our ability to generate product revenues, which we do not expect will occur for several years, if ever, will depend heavily on the successful development, regulatory approval and eventual commercialization of our product candidates. The success of our product candidates will depend on several factors, including the following:</w:t>
      </w:r>
    </w:p>
    <w:p>
      <w:pPr>
        <w:spacing w:after="0" w:line="79"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preclinical studies and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by the FDA or other regulatory agencies of the INDs, clinical trial applications, or CTAs, or other regulatory filings for losmapimod, pociredir and future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maintaining a workforce of experienced scientists and others to continue to develop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of the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adequate pricing and adequate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enforcing, defending and 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misappropriating or otherwise violating others’ intellectual property or proprietary rights;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product candidates.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current strategy is focused on developing small molecules to improve the lives of patients with genetically defined rare diseases.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including as a result of our collaboration with MyoKardia,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3" w:name="page54"/>
    <w:bookmarkEnd w:id="53"/>
    <w:p>
      <w:pPr>
        <w:ind w:right="100"/>
        <w:spacing w:after="0" w:line="266" w:lineRule="auto"/>
        <w:rPr>
          <w:sz w:val="20"/>
          <w:szCs w:val="20"/>
          <w:color w:val="auto"/>
        </w:rPr>
      </w:pPr>
      <w:r>
        <w:rPr>
          <w:rFonts w:ascii="Times New Roman" w:cs="Times New Roman" w:eastAsia="Times New Roman" w:hAnsi="Times New Roman"/>
          <w:sz w:val="18"/>
          <w:szCs w:val="18"/>
          <w:color w:val="auto"/>
        </w:rPr>
        <w:t>problems we experience in the future related to our discovery technologies or any of our research or development programs will not cause significant delays or unanticipated costs, or that such development problems can be solved. If we do not successfully identify, develop, obtain regulatory approval for and commercialize product candidates, we will not be able to generate product revenues.</w:t>
      </w:r>
    </w:p>
    <w:p>
      <w:pPr>
        <w:spacing w:after="0" w:line="2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7" w:lineRule="exact"/>
        <w:rPr>
          <w:sz w:val="20"/>
          <w:szCs w:val="20"/>
          <w:color w:val="auto"/>
        </w:rPr>
      </w:pPr>
    </w:p>
    <w:p>
      <w:pPr>
        <w:jc w:val="both"/>
        <w:ind w:right="220" w:firstLine="509"/>
        <w:spacing w:after="0" w:line="255" w:lineRule="auto"/>
        <w:rPr>
          <w:sz w:val="20"/>
          <w:szCs w:val="20"/>
          <w:color w:val="auto"/>
        </w:rPr>
      </w:pPr>
      <w:r>
        <w:rPr>
          <w:rFonts w:ascii="Times New Roman" w:cs="Times New Roman" w:eastAsia="Times New Roman" w:hAnsi="Times New Roman"/>
          <w:sz w:val="18"/>
          <w:szCs w:val="18"/>
          <w:color w:val="auto"/>
        </w:rPr>
        <w:t>We have two product candidates in clinical development.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completed a pivotal clinical trial of any product candidate.</w:t>
      </w:r>
    </w:p>
    <w:p>
      <w:pPr>
        <w:spacing w:after="0" w:line="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Clinical trials may fail to demonstrate that our product candidates are safe for humans and effective for indicated uses. For example, pociredir, our clinical trial stage candidate to treat SCD, is an embryonic ectoderm development, or EED, inhibitor. EED is a member of the PRC2 complex, which also includes EZH2. There are approved products in the EZH2 class of medications and their approved labeling outlines safety risks, including an increased risk of malignancies. In the event that pociredir has similar safety risks as other PRC2 medications, this could impact its acceptance.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or continue. For example, in February 2023, the FDA imposed a clinical hold on our IND for pociredir in SCD. We worked diligently to resolve the hold as soon as possible, and in August 2023, the FDA lifted the clinical hold.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uncertain as to outcome. We cannot guarantee that any clinical trials will be conducted as planned or completed on schedule, or at all. For example, we revised the inclusion and exclusion criteria of our clinical trial of pociredir in SCD to address the clinical hold imposed by the FDA, and there can be no certainty as to whether we will be successful in completing the clinical trial with its revised design.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88"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As described in Item 1 “Business—Licenses and Collaboration--Right of Reference and License Agreement with GlaxoSmithKline” in our Annual Report on Form 10-K for the year ended December 31, 2023, or this Annual Report on Form 10-K, we have entered into a right of reference and license agreement, as amended, with affiliates of GSK. Although losmapimod was originally evaluated by GSK in nearly 3,600 subjects, GSK did not evaluate losmapimod in FSHD or in any other muscular dystrophy, and most of the subjects in these trials were given a dose that was lower than our planned dosage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4" w:name="page55"/>
    <w:bookmarkEnd w:id="54"/>
    <w:p>
      <w:pPr>
        <w:spacing w:after="0" w:line="266" w:lineRule="auto"/>
        <w:rPr>
          <w:sz w:val="20"/>
          <w:szCs w:val="20"/>
          <w:color w:val="auto"/>
        </w:rPr>
      </w:pPr>
      <w:r>
        <w:rPr>
          <w:rFonts w:ascii="Times New Roman" w:cs="Times New Roman" w:eastAsia="Times New Roman" w:hAnsi="Times New Roman"/>
          <w:sz w:val="18"/>
          <w:szCs w:val="18"/>
          <w:color w:val="auto"/>
        </w:rPr>
        <w:t>of 15 mg of losmapimod twice per day. Accordingly, the safety data generated from GSK’s clinical trials of losmapimod may not be predictive or indicative of the results of our clinical trials. Similarly, while we believe the safety data from GSK’s clinical trials may, in part, support the safety database for losmapimod, GSK evaluated a limited number of subjects at a dose of 15 mg twice daily.</w:t>
      </w:r>
    </w:p>
    <w:p>
      <w:pPr>
        <w:spacing w:after="0" w:line="6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ind w:left="900" w:right="20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900" w:right="78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decide the design of our clinical trials is flawed, for example if our trial protocol does not evaluate treatment effects in trial subjects for a sufficient length of time;</w:t>
      </w:r>
    </w:p>
    <w:p>
      <w:pPr>
        <w:spacing w:after="0" w:line="53"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900" w:right="380" w:hanging="383"/>
        <w:spacing w:after="0" w:line="312"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31" w:lineRule="exact"/>
        <w:rPr>
          <w:rFonts w:ascii="Times New Roman" w:cs="Times New Roman" w:eastAsia="Times New Roman" w:hAnsi="Times New Roman"/>
          <w:sz w:val="17"/>
          <w:szCs w:val="17"/>
          <w:color w:val="auto"/>
        </w:rPr>
      </w:pPr>
    </w:p>
    <w:p>
      <w:pPr>
        <w:ind w:left="900" w:right="120" w:hanging="383"/>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6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900" w:right="420" w:hanging="383"/>
        <w:spacing w:after="0" w:line="312"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31" w:lineRule="exact"/>
        <w:rPr>
          <w:rFonts w:ascii="Times New Roman" w:cs="Times New Roman" w:eastAsia="Times New Roman" w:hAnsi="Times New Roman"/>
          <w:sz w:val="17"/>
          <w:szCs w:val="17"/>
          <w:color w:val="auto"/>
        </w:rPr>
      </w:pPr>
    </w:p>
    <w:p>
      <w:pPr>
        <w:ind w:left="900" w:right="24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900" w:right="68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w:t>
      </w:r>
    </w:p>
    <w:p>
      <w:pPr>
        <w:spacing w:after="0" w:line="53" w:lineRule="exact"/>
        <w:rPr>
          <w:rFonts w:ascii="Times New Roman" w:cs="Times New Roman" w:eastAsia="Times New Roman" w:hAnsi="Times New Roman"/>
          <w:sz w:val="18"/>
          <w:szCs w:val="18"/>
          <w:color w:val="auto"/>
        </w:rPr>
      </w:pPr>
    </w:p>
    <w:p>
      <w:pPr>
        <w:jc w:val="both"/>
        <w:ind w:left="900" w:right="380" w:hanging="383"/>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global instability, including political instability, such as the Russian invasion of Ukraine or recent hostilities in Israel and Gaza Strip, or instability from an outbreak of pandemic or contagious disease in or around the countries in which we conduct our clinical trials, could delay the commencement or rate of completion of our clinical trials; and</w:t>
      </w:r>
    </w:p>
    <w:p>
      <w:pPr>
        <w:spacing w:after="0" w:line="6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withdraw their approval of a product or impose restrictions on its distribution, such as in the form of a risk evaluation and mitigation strategy, or REMS.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For example, in response to the COVID-19 pandemic, the clinical trial sites for our ReDUX4 trial temporarily postponed trial-related activities, impacting our clinical trial execution plans, and we cannot be certain that we will not face other postponements or similar difficulties in the future. Further, in February 2023, the FDA imposed a clinical hold on our IND for pociredir in SCD, which halted our clinical trial until the FDA lifted the clinical hold in August 2023.</w:t>
      </w:r>
    </w:p>
    <w:p>
      <w:pPr>
        <w:spacing w:after="0" w:line="7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or a REMS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9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are currently no therapies approved to treat FSHD, and there may be no therapies approved to treat the underlying causes of diseases that we attempt to address or may address in the future. As a result, the design and conduct of a clinical trial or trials of the product candidates for the treatment of these diseases may take longer, be more costly or be less effective as part of the novelty of development in these diseases. In some cases, we may use new or novel endpoints or methodologies, such as RWS, which has not been proven for registration to our knowledge. The FDA and other regulatory authorities have indicated support for RWS as a primary endpoint with additional and appropriate supportive data from secondary endpoints. However, such regulatory authorities may not consider the endpoints of our clinical trial(s) to provide clinically meaningful results, even where we believe such results are clinically meaningful. For example, while we have met with regulators to discuss the REACH trial design and registration strategy for losmapimod for FSHD, including our proposed endpoints for REACH, regulators may require additional data to support the RWS functional primary endpoint for approval of losmapimod for FSHD.</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the FDA does find our primary endpoint to be sufficiently validated and clinically meaningful, we may not achieve the pre-specified endpoint to a magnitude, duration or degree of statistical significance in any pivotal or other clinical trials we may conduct for our product candidates. Even if we do meet the primary endpoint, our trials may produce results that are unpredictable or inconsistent with the results of the other, more traditional efficacy endpoints in the trials. The FDA also could ascribe substantial weight to other efficacy endpoints when interpreting the clinical trial data, such that even if we achieve statistically significant results on our primary endpoint, the FDA may regard the failure to show a statistically significant effect on our secondary efficacy endpoints as raising questions about the efficacy of the drug.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and complete clinical trials for our product candidates is critical to our success. Successful and timely completion of clinical trials will require that we enroll a sufficient number of patients who remain in the trial until its conclusion. For example, in our Phase 1b trial of pociredir, although we enrolled six subjects in the initial cohort, only three subjects remained evaluable as of the initial data cutoff date. Subsequently, we modified the study protocol to monitor subject adherence. However, if such protocols do not improve adherence and improve compliance, we may not be able to generate meaningful data. Furthermore,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We revised the design of our clinical trial of pociredir in SCD to address the clinical hold imposed by the FDA, and there can be no certainty as to whether we will be successful in completing the clinical trial with its revised design, which include updated inclusion and exclusion criteria and thus a narrower set of eligible patients. Because of our primary focus on genetically-defined rare diseases, we may have difficulty enrolling a sufficient number of eligible patients.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a variety of other factors, including:</w:t>
      </w:r>
    </w:p>
    <w:p>
      <w:pPr>
        <w:spacing w:after="0" w:line="117" w:lineRule="exact"/>
        <w:rPr>
          <w:sz w:val="20"/>
          <w:szCs w:val="20"/>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under investigation;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trial protocols, including invasive procedures such as muscle biopsies or medical resonance imaging (MRI), which requires the use of specialized equipment;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existing treatments for the indications for which we are conducting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clinical trials by competitors for product candidates that treat the same indications as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specific patient populations for biomarker-defined trial cohort(s);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or lack of adequate compensation for, prospective patients.</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26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For example, in February 2023, the FDA placed our IND for pociredir on clinical hold based on hematological malignancies observed in nonclinical toxicology studies. We addressed the FDA’s concern as diligently as possible, including FDA’s request for information about an SCD patient population with an appropriate benefit-risk profile for further clinical development of pociredir, and FDA's request for information to define the potential risk in any further studies that may be conducted in healthy volunteers. Although the FDA lifted the clinical hold in August 2023, we cannot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ind w:right="20"/>
        <w:spacing w:after="0" w:line="258" w:lineRule="auto"/>
        <w:rPr>
          <w:sz w:val="20"/>
          <w:szCs w:val="20"/>
          <w:color w:val="auto"/>
        </w:rPr>
      </w:pPr>
      <w:r>
        <w:rPr>
          <w:rFonts w:ascii="Times New Roman" w:cs="Times New Roman" w:eastAsia="Times New Roman" w:hAnsi="Times New Roman"/>
          <w:sz w:val="18"/>
          <w:szCs w:val="18"/>
          <w:color w:val="auto"/>
        </w:rPr>
        <w:t>assurances that patients treated with pociredir will not develop hematological malignancies or other adverse events in the future. We also cannot make assurances that additional observations in preclinical studies of hematological malignancies or other adverse events will not occur. If such additional adverse events were to emerge, further advancement of our clinical studies could be halted or delayed and we may not receive regulatory approval for pociredir. Even if we receive regulatory approval for pociredir, our labeling may be restricted and/or market acceptance for our product may be diminished, and the commercial potential of our pociredir program may be materially and negatively impacted.</w:t>
      </w:r>
    </w:p>
    <w:p>
      <w:pPr>
        <w:spacing w:after="0" w:line="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pharmaceutical development, many compounds that initially show promise in early-stage or clinical testing are later found to cause side effects that delay or prevent further development of the compound.</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5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75" w:lineRule="exact"/>
        <w:rPr>
          <w:sz w:val="20"/>
          <w:szCs w:val="20"/>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limitation by regulatory authorities of approvals of such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the product by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the product or the manufacturing process for any component thereof;</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by regulatory authorities of additional warnings on the label, such as a “black box” warning or contraindication;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we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expensive post-marketing studies as a prerequisite of approval by regulatory authorities of such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legal action against us to hold us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resulting harm to physician or patient acceptance of our products.</w:t>
      </w:r>
    </w:p>
    <w:p>
      <w:pPr>
        <w:spacing w:after="0" w:line="22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8" w:name="page59"/>
    <w:bookmarkEnd w:id="58"/>
    <w:p>
      <w:pPr>
        <w:ind w:right="340"/>
        <w:spacing w:after="0" w:line="266" w:lineRule="auto"/>
        <w:rPr>
          <w:sz w:val="20"/>
          <w:szCs w:val="20"/>
          <w:color w:val="auto"/>
        </w:rPr>
      </w:pPr>
      <w:r>
        <w:rPr>
          <w:rFonts w:ascii="Times New Roman" w:cs="Times New Roman" w:eastAsia="Times New Roman" w:hAnsi="Times New Roman"/>
          <w:sz w:val="18"/>
          <w:szCs w:val="18"/>
          <w:color w:val="auto"/>
        </w:rPr>
        <w:t>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8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conducting clinical trials of losmapimod in patients with FSHD in Europe, the United Kingdom, and Canada and currently plan to conduct additional clinical trials for our product candidates at sites outside the United States, and the FDA may not accept data from trials conducted in such locations.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currently conducting a Phase 3 clinical trial, an open label extension of our Phase 2b clinical trial, and an open label extension of our Phase 2 open label clinical trial of losmapimod in patients with FSHD in Europe, the United Kingdom, and Canada. We may also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good clinical practices, and FDA’s ability to validate the data.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6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75" w:lineRule="exact"/>
        <w:rPr>
          <w:sz w:val="20"/>
          <w:szCs w:val="20"/>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product candidates compared to the advantages and relative risks of alternative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22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9" w:name="page60"/>
    <w:bookmarkEnd w:id="59"/>
    <w:p>
      <w:pPr>
        <w:ind w:right="100"/>
        <w:spacing w:after="0" w:line="258" w:lineRule="auto"/>
        <w:rPr>
          <w:sz w:val="20"/>
          <w:szCs w:val="20"/>
          <w:color w:val="auto"/>
        </w:rPr>
      </w:pPr>
      <w:r>
        <w:rPr>
          <w:rFonts w:ascii="Times New Roman" w:cs="Times New Roman" w:eastAsia="Times New Roman" w:hAnsi="Times New Roman"/>
          <w:sz w:val="18"/>
          <w:szCs w:val="18"/>
          <w:color w:val="auto"/>
        </w:rPr>
        <w:t>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5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6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900" w:right="120" w:hanging="383"/>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ind w:right="160"/>
        <w:spacing w:after="0" w:line="258" w:lineRule="auto"/>
        <w:rPr>
          <w:sz w:val="20"/>
          <w:szCs w:val="20"/>
          <w:color w:val="auto"/>
        </w:rPr>
      </w:pPr>
      <w:r>
        <w:rPr>
          <w:rFonts w:ascii="Times New Roman" w:cs="Times New Roman" w:eastAsia="Times New Roman" w:hAnsi="Times New Roman"/>
          <w:sz w:val="18"/>
          <w:szCs w:val="18"/>
          <w:color w:val="auto"/>
        </w:rPr>
        <w:t>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For example, we are aware of several product candidates in clinical development that could be competitive with product candidates that we may successfully develop and commercialize. See Item 1 “Business—Competition” in this Annual Report on Form 10-K.</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For example, on December 8, 2023, the FDA approved CASGEVY (exagamglogene autotemcel) and LYFGENIA (lovotibeglogene autotemcel), the first ex vivo cell-based gene therapies for the treatment of SCD. CASGEVY has also been FDA-approved for the treatment of transfusion-dependent beta-thalassemia.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84"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8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target patient populations for some of the indications we are evaluating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1" w:name="page62"/>
    <w:bookmarkEnd w:id="61"/>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2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and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7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 supply sources.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8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do not have any manufacturing facilities. Although we believe we have obtained sufficient losmapimod tablets from GSK to complete our ongoing clinical trials of losmapimod for the treatment of FSHD, we cannot be sure we have correctly estimated our drug product and API requirements or that such drug product or API will not expire before we want to use it. We have also engaged CMOs to prepare our own API and to manufacture losmapimod tablets. Although we believe we have produced sufficient losmapimod tablets to complete our planned Phase 3 registrational trial, we cannot be sure we have correctly estimated our drug product and API requirements or that such drug product or API will not expire before we want to use it. In addition, although we believe we have obtained sufficient quantities of pociredir from a CMO for the completion of our Phase 1b clinical trial for SCD, we cannot be sure we have correctly estimated our drug product requirements, which could delay, prevent or impair our development efforts.</w:t>
      </w:r>
    </w:p>
    <w:p>
      <w:pPr>
        <w:spacing w:after="0" w:line="8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We expect to rely on third parties for the manufacture of pociredir for any future clinical trials and for the manufacture of any future product candidates for preclinical and clinical testing. We also expect to rely on third-party manufacturers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ind w:right="40"/>
        <w:spacing w:after="0" w:line="266" w:lineRule="auto"/>
        <w:rPr>
          <w:sz w:val="20"/>
          <w:szCs w:val="20"/>
          <w:color w:val="auto"/>
        </w:rPr>
      </w:pPr>
      <w:r>
        <w:rPr>
          <w:rFonts w:ascii="Times New Roman" w:cs="Times New Roman" w:eastAsia="Times New Roman" w:hAnsi="Times New Roman"/>
          <w:sz w:val="18"/>
          <w:szCs w:val="18"/>
          <w:color w:val="auto"/>
        </w:rPr>
        <w:t>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68"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72" w:lineRule="exact"/>
        <w:rPr>
          <w:sz w:val="20"/>
          <w:szCs w:val="20"/>
          <w:color w:val="auto"/>
        </w:rPr>
      </w:pPr>
    </w:p>
    <w:p>
      <w:pPr>
        <w:ind w:right="420" w:firstLine="509"/>
        <w:spacing w:after="0" w:line="313"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3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Item 1 “Business — Government Regulation and Product Approval— Pharmaceutical Insurance Coverage and Health Care Reform” in this Annual Report on Form 10-K.</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3" w:name="page64"/>
    <w:bookmarkEnd w:id="63"/>
    <w:p>
      <w:pPr>
        <w:spacing w:after="0" w:line="254" w:lineRule="auto"/>
        <w:rPr>
          <w:sz w:val="20"/>
          <w:szCs w:val="20"/>
          <w:color w:val="auto"/>
        </w:rPr>
      </w:pPr>
      <w:r>
        <w:rPr>
          <w:rFonts w:ascii="Times New Roman" w:cs="Times New Roman" w:eastAsia="Times New Roman" w:hAnsi="Times New Roman"/>
          <w:sz w:val="18"/>
          <w:szCs w:val="18"/>
          <w:color w:val="auto"/>
        </w:rPr>
        <w:t>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our product candidates in markets outside of the United States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If we commercialize our product candidates in foreign markets, we will be subject to additional risks and uncertainties, including:</w:t>
      </w:r>
    </w:p>
    <w:p>
      <w:pPr>
        <w:spacing w:after="0" w:line="99" w:lineRule="exact"/>
        <w:rPr>
          <w:sz w:val="20"/>
          <w:szCs w:val="20"/>
          <w:color w:val="auto"/>
        </w:rPr>
      </w:pPr>
    </w:p>
    <w:p>
      <w:pPr>
        <w:ind w:left="900" w:right="260" w:hanging="383"/>
        <w:spacing w:after="0" w:line="312" w:lineRule="auto"/>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weakness, including inflation, or political instability in particular economies and markets, which could include localized disputes that have a broader regional or global impact (such as the Russian invasion of Ukraine or recent hostilities in Israel and Gaza Strip);</w:t>
      </w:r>
    </w:p>
    <w:p>
      <w:pPr>
        <w:spacing w:after="0" w:line="31" w:lineRule="exact"/>
        <w:rPr>
          <w:rFonts w:ascii="Times New Roman" w:cs="Times New Roman" w:eastAsia="Times New Roman" w:hAnsi="Times New Roman"/>
          <w:sz w:val="17"/>
          <w:szCs w:val="17"/>
          <w:color w:val="auto"/>
        </w:rPr>
      </w:pPr>
    </w:p>
    <w:p>
      <w:pPr>
        <w:ind w:left="900" w:right="8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many of which vary between countries;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as well as other governmental controls and trade restrictions;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trade protection measures, import or export licensing requirements or other restrictive actions by U.S. or foreign governments;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 and related prevalence of generic alternatives to therapeutics;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currency controls;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foreign reimbursement landscapes;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potentially inadequate reimbursement of our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risks related to any of these uncertainties materializes, it could have a material adverse effect on our business.</w:t>
      </w:r>
    </w:p>
    <w:p>
      <w:pPr>
        <w:spacing w:after="0" w:line="329"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64" w:name="page65"/>
    <w:bookmarkEnd w:id="64"/>
    <w:p>
      <w:pPr>
        <w:ind w:right="200"/>
        <w:spacing w:after="0" w:line="261" w:lineRule="auto"/>
        <w:rPr>
          <w:sz w:val="20"/>
          <w:szCs w:val="20"/>
          <w:color w:val="auto"/>
        </w:rPr>
      </w:pPr>
      <w:r>
        <w:rPr>
          <w:rFonts w:ascii="Times New Roman" w:cs="Times New Roman" w:eastAsia="Times New Roman" w:hAnsi="Times New Roman"/>
          <w:sz w:val="18"/>
          <w:szCs w:val="18"/>
          <w:color w:val="auto"/>
        </w:rPr>
        <w:t>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2" w:lineRule="exact"/>
        <w:rPr>
          <w:sz w:val="20"/>
          <w:szCs w:val="20"/>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currently rely on third-party contract CROs to conduct our clinical trials. We plan to rely on third-party CROs or third-party research collaboratives to conduct any future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7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8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6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a collaboration and license agreement with MyoKardia (for certain genetically defined cardiomyopathies). See Item 1 “Business—License Agreements and Collaborations” in this Annual Report on Form 10-K. While we have retained all rights to and are developing on our own our current product candidates, 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5" w:name="page66"/>
    <w:bookmarkEnd w:id="65"/>
    <w:p>
      <w:pPr>
        <w:ind w:right="80"/>
        <w:spacing w:after="0" w:line="261" w:lineRule="auto"/>
        <w:rPr>
          <w:sz w:val="20"/>
          <w:szCs w:val="20"/>
          <w:color w:val="auto"/>
        </w:rPr>
      </w:pPr>
      <w:r>
        <w:rPr>
          <w:rFonts w:ascii="Times New Roman" w:cs="Times New Roman" w:eastAsia="Times New Roman" w:hAnsi="Times New Roman"/>
          <w:sz w:val="18"/>
          <w:szCs w:val="18"/>
          <w:color w:val="auto"/>
        </w:rPr>
        <w:t>companies and biotechnology companies. If we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7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Collaborations that we enter into, including our collaboration with MyoKardia, may not be successful, and any success will depend heavily on the efforts and activities of such collaborators. Collaborations pose a number of risks, including the following:</w:t>
      </w:r>
    </w:p>
    <w:p>
      <w:pPr>
        <w:spacing w:after="0" w:line="54" w:lineRule="exact"/>
        <w:rPr>
          <w:sz w:val="20"/>
          <w:szCs w:val="20"/>
          <w:color w:val="auto"/>
        </w:rPr>
      </w:pPr>
    </w:p>
    <w:p>
      <w:pPr>
        <w:ind w:left="900" w:right="92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00" w:right="280" w:hanging="383"/>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60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67" w:lineRule="exact"/>
        <w:rPr>
          <w:rFonts w:ascii="Times New Roman" w:cs="Times New Roman" w:eastAsia="Times New Roman" w:hAnsi="Times New Roman"/>
          <w:sz w:val="18"/>
          <w:szCs w:val="18"/>
          <w:color w:val="auto"/>
        </w:rPr>
      </w:pPr>
    </w:p>
    <w:p>
      <w:pPr>
        <w:ind w:left="900" w:right="560" w:hanging="383"/>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00" w:right="60" w:hanging="383"/>
        <w:spacing w:after="0" w:line="261"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(e.g., termination of our collaboration with Acceleron Pharma, Inc., or Acceleron, following its acquisition by Merck &amp; Co., or Merck), and,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ind w:left="900" w:right="460"/>
        <w:spacing w:after="0" w:line="282" w:lineRule="auto"/>
        <w:rPr>
          <w:sz w:val="20"/>
          <w:szCs w:val="20"/>
          <w:color w:val="auto"/>
        </w:rPr>
      </w:pPr>
      <w:r>
        <w:rPr>
          <w:rFonts w:ascii="Times New Roman" w:cs="Times New Roman" w:eastAsia="Times New Roman" w:hAnsi="Times New Roman"/>
          <w:sz w:val="18"/>
          <w:szCs w:val="18"/>
          <w:color w:val="auto"/>
        </w:rPr>
        <w:t>terminated, we could be required to raise additional capital to pursue further development or commercialization of the applicable product candidates.</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For example, in November 2020, subsequent to our entering into the MyoKardia collaboration agreement, MyoKardia was acquired by Bristol-Myers Squibb Company. Bristol-Myers Squibb Company could determine to reprioritize MyoKardia’s development programs such that it ceases to diligently pursue the development of our programs and/or cause the agreement between MyoKardia and us to terminate. If our collaborator terminates its agreement with us, we may find it more difficult to attract new collaborators and our perception in the business and financial communities could be adversely affected.</w:t>
      </w:r>
    </w:p>
    <w:p>
      <w:pPr>
        <w:spacing w:after="0" w:line="2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For example, in July 2020, we entered into a collaboration and license agreement with MyoKardia to identify and validate potential biological targets for the potential treatment of certain genetically defined cardiomyopathies.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89" w:lineRule="exact"/>
        <w:rPr>
          <w:sz w:val="20"/>
          <w:szCs w:val="20"/>
          <w:color w:val="auto"/>
        </w:rPr>
      </w:pPr>
    </w:p>
    <w:p>
      <w:pPr>
        <w:ind w:right="140" w:firstLine="509"/>
        <w:spacing w:after="0" w:line="273" w:lineRule="auto"/>
        <w:rPr>
          <w:sz w:val="20"/>
          <w:szCs w:val="20"/>
          <w:color w:val="auto"/>
        </w:rPr>
      </w:pPr>
      <w:r>
        <w:rPr>
          <w:rFonts w:ascii="Times New Roman" w:cs="Times New Roman" w:eastAsia="Times New Roman" w:hAnsi="Times New Roman"/>
          <w:sz w:val="17"/>
          <w:szCs w:val="17"/>
          <w:color w:val="auto"/>
        </w:rPr>
        <w:t>We may also be restricted under existing or future license agreements from entering into agreements on certain terms with potential collaborators. For example, we are restricted by GSK’s right of first negotiation under our current license agreement with them, and we had restrictions under our collaboration with Acceleron.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 cardiomyopathies shown to be related to certain specified genes of interest that are modulated by the targets chosen by MyoKardia under our collaboration, in each case , while we are performing the research activities pursuant to the research plan and for a specified period thereafter.</w:t>
      </w:r>
    </w:p>
    <w:p>
      <w:pPr>
        <w:spacing w:after="0" w:line="63" w:lineRule="exact"/>
        <w:rPr>
          <w:sz w:val="20"/>
          <w:szCs w:val="20"/>
          <w:color w:val="auto"/>
        </w:rPr>
      </w:pPr>
    </w:p>
    <w:p>
      <w:pPr>
        <w:ind w:right="300" w:firstLine="509"/>
        <w:spacing w:after="0" w:line="312" w:lineRule="auto"/>
        <w:rPr>
          <w:sz w:val="20"/>
          <w:szCs w:val="20"/>
          <w:color w:val="auto"/>
        </w:rPr>
      </w:pPr>
      <w:r>
        <w:rPr>
          <w:rFonts w:ascii="Times New Roman" w:cs="Times New Roman" w:eastAsia="Times New Roman" w:hAnsi="Times New Roman"/>
          <w:sz w:val="17"/>
          <w:szCs w:val="17"/>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3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7" w:name="page68"/>
    <w:bookmarkEnd w:id="67"/>
    <w:p>
      <w:pPr>
        <w:ind w:right="140"/>
        <w:spacing w:after="0" w:line="282" w:lineRule="auto"/>
        <w:rPr>
          <w:sz w:val="20"/>
          <w:szCs w:val="20"/>
          <w:color w:val="auto"/>
        </w:rPr>
      </w:pPr>
      <w:r>
        <w:rPr>
          <w:rFonts w:ascii="Times New Roman" w:cs="Times New Roman" w:eastAsia="Times New Roman" w:hAnsi="Times New Roman"/>
          <w:sz w:val="18"/>
          <w:szCs w:val="18"/>
          <w:color w:val="auto"/>
        </w:rPr>
        <w:t>not have sufficient funds or expertise to undertake the necessary development and commercialization activities, we may not be able to further develop our product candidates or bring them to market.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7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 in this Annual Report on Form 10-K.</w:t>
      </w:r>
    </w:p>
    <w:p>
      <w:pPr>
        <w:spacing w:after="0" w:line="193"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U.S. patent provide protection for the method of using losmapimod for the treatment of FSHD and while we also believe that the specific and generic claims contained in our issued and pending U.S. non-provisional and provisional applications provide protection for the pharmaceutical compositions and methods of use for pociredir, third parties may nevertheless challenge such claims.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807720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right="40"/>
        <w:spacing w:after="0" w:line="282" w:lineRule="auto"/>
        <w:rPr>
          <w:sz w:val="20"/>
          <w:szCs w:val="20"/>
          <w:color w:val="auto"/>
        </w:rPr>
      </w:pPr>
      <w:r>
        <w:rPr>
          <w:rFonts w:ascii="Times New Roman" w:cs="Times New Roman" w:eastAsia="Times New Roman" w:hAnsi="Times New Roman"/>
          <w:sz w:val="18"/>
          <w:szCs w:val="18"/>
          <w:color w:val="auto"/>
        </w:rPr>
        <w:t>any such claims are invalidated or rendered unenforceable for any reason, we will lose valuable intellectual property rights and our ability to prevent others from competing with us would be impaired.</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have expired and are no longer a barrier to entry for any new uses not covered by our other patents and patent applications.</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3"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impede, or delay or prohibit the further development or commercialization of one or more product candidates that rely on such agreements.</w:t>
      </w:r>
    </w:p>
    <w:p>
      <w:pPr>
        <w:spacing w:after="0" w:line="22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Under our current license agreements, we may not have the final or sole decision on whether we are able to opt out certain of our in-licensed European patents and patent applications from the recently created Unified Patent Court, or the UPC, for the European Union. While our licensors have decided to opt out of the UPC, we cannot guarantee that our in-licensed European patents and patent applications will be challenged for non-compliance during the opt-out procedure and if successful, brought under the jurisdiction of the UPC nor can we guarantee that our licensors will decide to opt back into the UPC at a later time.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29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 product candidates receive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9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Item 1 “Business—Intellectual Property” in this Annual Report on Form 10-K for additional information regarding patent laws and patent protection.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issued European patents could be subject to the jurisdiction of the UPC.</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UPC. We decided to remove, i.e., opt out, our European patents and patent applications from the jurisdiction of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70" w:name="page71"/>
    <w:bookmarkEnd w:id="70"/>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29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or our licensors are not currently involved in any litigation to protect or enforce our patent or other intellectual property rights, we may become involved in such lawsuits, which could be expensive, time-consuming and unsuccessful.</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The outcome following legal assertions of invalidity and unenforceability is unpredictable.</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ind w:right="340"/>
        <w:spacing w:after="0" w:line="282" w:lineRule="auto"/>
        <w:rPr>
          <w:sz w:val="20"/>
          <w:szCs w:val="20"/>
          <w:color w:val="auto"/>
        </w:rPr>
      </w:pPr>
      <w:r>
        <w:rPr>
          <w:rFonts w:ascii="Times New Roman" w:cs="Times New Roman" w:eastAsia="Times New Roman" w:hAnsi="Times New Roman"/>
          <w:sz w:val="18"/>
          <w:szCs w:val="18"/>
          <w:color w:val="auto"/>
        </w:rPr>
        <w:t>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8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3"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2" w:name="page73"/>
    <w:bookmarkEnd w:id="72"/>
    <w:p>
      <w:pPr>
        <w:ind w:right="60"/>
        <w:spacing w:after="0" w:line="254" w:lineRule="auto"/>
        <w:rPr>
          <w:sz w:val="20"/>
          <w:szCs w:val="20"/>
          <w:color w:val="auto"/>
        </w:rPr>
      </w:pPr>
      <w:r>
        <w:rPr>
          <w:rFonts w:ascii="Times New Roman" w:cs="Times New Roman" w:eastAsia="Times New Roman" w:hAnsi="Times New Roman"/>
          <w:sz w:val="18"/>
          <w:szCs w:val="18"/>
          <w:color w:val="auto"/>
        </w:rPr>
        <w:t>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9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92"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9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party to license and funding agreements, such as our agreement with GSK and our recent license agreement with CAMP4,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3" w:name="page74"/>
    <w:bookmarkEnd w:id="73"/>
    <w:p>
      <w:pPr>
        <w:ind w:right="200"/>
        <w:spacing w:after="0" w:line="255" w:lineRule="auto"/>
        <w:rPr>
          <w:sz w:val="20"/>
          <w:szCs w:val="20"/>
          <w:color w:val="auto"/>
        </w:rPr>
      </w:pPr>
      <w:r>
        <w:rPr>
          <w:rFonts w:ascii="Times New Roman" w:cs="Times New Roman" w:eastAsia="Times New Roman" w:hAnsi="Times New Roman"/>
          <w:sz w:val="18"/>
          <w:szCs w:val="18"/>
          <w:color w:val="auto"/>
        </w:rPr>
        <w:t>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that we use in our discovery efforts,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17" w:lineRule="exact"/>
        <w:rPr>
          <w:sz w:val="20"/>
          <w:szCs w:val="20"/>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8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4" w:name="page75"/>
    <w:bookmarkEnd w:id="74"/>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3"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9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5" w:name="page76"/>
    <w:bookmarkEnd w:id="75"/>
    <w:p>
      <w:pPr>
        <w:spacing w:after="0" w:line="282" w:lineRule="auto"/>
        <w:rPr>
          <w:sz w:val="20"/>
          <w:szCs w:val="20"/>
          <w:color w:val="auto"/>
        </w:rPr>
      </w:pPr>
      <w:r>
        <w:rPr>
          <w:rFonts w:ascii="Times New Roman" w:cs="Times New Roman" w:eastAsia="Times New Roman" w:hAnsi="Times New Roman"/>
          <w:sz w:val="18"/>
          <w:szCs w:val="18"/>
          <w:color w:val="auto"/>
        </w:rPr>
        <w:t>reasonable terms, or at all, or such license may be non-exclusive. Even if we are successful in prosecuting or defending against such claims, litigation could result in substantial costs and be a distraction to our management and employees.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discovery technology.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in-licensed intellectual property rights;</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and in-licensed pending patent applications or those we may own or in-license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our discovery technology are protected by trade secrets, but much is not protected by intellectual property, including patents, trade secrets and know-how, and we may not be able to develop, acquire or in-license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6" w:name="page77"/>
    <w:bookmarkEnd w:id="76"/>
    <w:p>
      <w:pPr>
        <w:ind w:left="900"/>
        <w:spacing w:after="0"/>
        <w:rPr>
          <w:sz w:val="20"/>
          <w:szCs w:val="20"/>
          <w:color w:val="auto"/>
        </w:rPr>
      </w:pPr>
      <w:r>
        <w:rPr>
          <w:rFonts w:ascii="Times New Roman" w:cs="Times New Roman" w:eastAsia="Times New Roman" w:hAnsi="Times New Roman"/>
          <w:sz w:val="18"/>
          <w:szCs w:val="18"/>
          <w:color w:val="auto"/>
        </w:rPr>
        <w:t>any patentable technologies or other intellectual property related to the unprotected portions of our discovery portfolio;</w:t>
      </w:r>
    </w:p>
    <w:p>
      <w:pPr>
        <w:spacing w:after="0" w:line="117" w:lineRule="exact"/>
        <w:rPr>
          <w:sz w:val="20"/>
          <w:szCs w:val="20"/>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prolong the time necessary for regulatory submissions to be reviewed and/or new drugs to be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were to occur, it could significantly impact the ability of the FDA to timely review and process our regulatory submissions, which could have a material adverse effect on our business.</w:t>
      </w:r>
    </w:p>
    <w:p>
      <w:pPr>
        <w:spacing w:after="0" w:line="7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7" w:name="page78"/>
    <w:bookmarkEnd w:id="77"/>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5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European Union, may designate drugs for relatively small patient populations as orphan drugs. The FDA and EMA have granted orphan drug designation to losmapimod for the treatment of FSHD. We may seek orphan drug designation for our other current and future product candidates.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drug no longer meets the criteria for orphan drug designation, including if the drug is sufficiently profitable so that market exclusivity is no longer justified. Proposed amendments to European Union regulations regarding orphan medicines are under consideration that could reduce the ten-year marketing exclusivity period to eight to nine years (or even as little as three to five years for well-established medicines). The European Union’s April 2023 draft legislative proposal is under review, including by the European Parliament and European Council but, if implemented in due course, may mean that orphan medicines have reduced marketing exclusivity.</w:t>
      </w:r>
    </w:p>
    <w:p>
      <w:pPr>
        <w:spacing w:after="0" w:line="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5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the FDA can subsequently approve the same drug for the same condition if the FDA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Designation by the FDA, such as fast track or breakthrough therapy,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granted fast track designation to losmapimod for the treatment of FSHD and to pociredir for the treatment of SCD, and we may seek fast track designation for some of our other product candidates as well as breakthrough therapy designation, including for losmapimod.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8" w:name="page79"/>
    <w:bookmarkEnd w:id="78"/>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intermediate clinical endpoint).</w:t>
      </w:r>
    </w:p>
    <w:p>
      <w:pPr>
        <w:spacing w:after="0" w:line="7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otherwise evaluate our ability to seek and receive such accelerated approval.</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Moreover,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of 2022, or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even if we seek to utilize the accelerated approval pathway for a product candidate, we may not experience a faster development or regulatory review or approval process for that product. In addition, receiving accelerated approval does not assure that the product’s accelerated approval will ultimately be converted to a traditional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product candidates from being marketed abroad.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the necessary approvals to commercialize our products in any market.</w:t>
      </w:r>
    </w:p>
    <w:p>
      <w:pPr>
        <w:spacing w:after="0" w:line="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Additionally, now that the United Kingdom is no longer part of the European Union, separate applications and procedures will be required to obtain regulatory approval for our products in the United Kingdom and the European Union. Any delay in obtaining, or an inability to obtain, any marketing approvals could prevent us from commercializing any product candidates in the United Kingdom and/or the European Union and restrict our ability to generate revenue and achieve and sustain profitability.</w:t>
      </w:r>
    </w:p>
    <w:p>
      <w:pPr>
        <w:spacing w:after="0" w:line="28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67"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7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54" w:lineRule="exact"/>
        <w:rPr>
          <w:sz w:val="20"/>
          <w:szCs w:val="20"/>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jc w:val="both"/>
        <w:ind w:right="520" w:firstLine="509"/>
        <w:spacing w:after="0" w:line="289" w:lineRule="auto"/>
        <w:rPr>
          <w:sz w:val="20"/>
          <w:szCs w:val="20"/>
          <w:color w:val="auto"/>
        </w:rPr>
      </w:pPr>
      <w:r>
        <w:rPr>
          <w:rFonts w:ascii="Times New Roman" w:cs="Times New Roman" w:eastAsia="Times New Roman" w:hAnsi="Times New Roman"/>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We will also be subject to other regulatory requirements, including submissions of safety and other post-marketing information and reports, registration and listing requirements, requirements regarding the distribution of samples to clinicians, and recordkeeping.</w:t>
      </w:r>
    </w:p>
    <w:p>
      <w:pPr>
        <w:spacing w:after="0" w:line="291"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Item 1 “Business—Government Regulation and Product Approvals—Health Care Law and Regulation” in this Annual Report on Form 10-K.</w:t>
      </w:r>
    </w:p>
    <w:p>
      <w:pPr>
        <w:spacing w:after="0" w:line="8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spacing w:after="0" w:line="282" w:lineRule="auto"/>
        <w:rPr>
          <w:sz w:val="20"/>
          <w:szCs w:val="20"/>
          <w:color w:val="auto"/>
        </w:rPr>
      </w:pPr>
      <w:r>
        <w:rPr>
          <w:rFonts w:ascii="Times New Roman" w:cs="Times New Roman" w:eastAsia="Times New Roman" w:hAnsi="Times New Roman"/>
          <w:sz w:val="18"/>
          <w:szCs w:val="18"/>
          <w:color w:val="auto"/>
        </w:rPr>
        <w:t>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66"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legislative and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Economic Area, or EEA, including personal health data, is subject to the European Union’s General Data Protection Regulation, or EU GDPR. Following the withdrawal of the United Kingdom from the European Union, or Brexit, the EU GDPR has been incorporated into United Kingdom’s laws, or UK GDPR, alongside the UK Data Protection Act 2018, and together with the EU GDPR, is referred to as GDPR.</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us to implement a variety of different contractual clauses approved by European Union’s or United Kingdom’s regulators, and carry out transfer impact assessments to establish whether the third country can ensure essential equivalency. This complexity and the additional contractual burden increases our overall risk exposure, and may result in us needing to make strategic considerations around where EEA and UK personal data is stored and which service providers we can utilize for the processing of EEA and UK personal data.</w:t>
      </w:r>
    </w:p>
    <w:p>
      <w:pPr>
        <w:spacing w:after="0" w:line="79" w:lineRule="exact"/>
        <w:rPr>
          <w:sz w:val="20"/>
          <w:szCs w:val="20"/>
          <w:color w:val="auto"/>
        </w:rPr>
      </w:pPr>
    </w:p>
    <w:p>
      <w:pPr>
        <w:ind w:right="80" w:firstLine="554"/>
        <w:spacing w:after="0" w:line="277" w:lineRule="auto"/>
        <w:rPr>
          <w:sz w:val="20"/>
          <w:szCs w:val="20"/>
          <w:color w:val="auto"/>
        </w:rPr>
      </w:pPr>
      <w:r>
        <w:rPr>
          <w:rFonts w:ascii="Times New Roman" w:cs="Times New Roman" w:eastAsia="Times New Roman" w:hAnsi="Times New Roman"/>
          <w:sz w:val="17"/>
          <w:szCs w:val="17"/>
          <w:color w:val="auto"/>
        </w:rPr>
        <w:t>There may be further divergence in the future, including with regard to administrative burdens. The UK Government has also now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This may lead to additional compliance costs and could increase our overall risk exposure as we may no longer be able to take a unified approach across the European Union and the United Kingdom, and we will need to amend our processes and procedures to align with the new framework.</w:t>
      </w:r>
    </w:p>
    <w:p>
      <w:pPr>
        <w:spacing w:after="0" w:line="6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Similar data protection laws are either in place or under way in the United States. There are a broad variety of privacy and data security laws and regulations that may be applicable to our activities governing the collection, use, disclosure, and protection of health-related and other personal information (including, state data breach notification laws, health information and/or genetic privacy laws and federal and state consumer protection laws including Section 5 of the FTC Act, HIPAA, and the California Consumer Privacy Act, or CCPA). For example, the CCPA as amended by the California Privacy Rights Act, has created certain requirements for data use, sharing and transparency, and provides California residents certain rights concerning their personal information, such as access, correction, deletion and opt out of or selling or sharing such data. Several other states have implemented privacy legislation similar to the CCPA or are preparing to implement their own regulatory frameworks. A wide range of enforcement agencies at both the state and federal levels, such as the Federal Trade Commission and state Attorneys General have been increasingly aggressive in reviewing and enforcing privacy and data security-related consumer protection laws. See Item 1 “Business –Government Regulation and Product Approvals” in this Annual Report on Form 10-K.</w:t>
      </w:r>
    </w:p>
    <w:p>
      <w:pPr>
        <w:spacing w:after="0" w:line="86"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Given the breadth and depth of changes in privacy, data protection and consumer protection obligations, preparing for and complying with these requirements is rigorous and time intensive and requires significant resources and ongoing review of our technologies, systems and practices, as well as those of any third-party collaborators, service providers, contractors or consultants that store, process or transfer personal data on our behalf. Compliance with the GDPR and other similar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Any failure or perceived failure by us to comply with such laws and regulations could lead to government enforcement actions, private litigation and significant fines and penalties against us and could have a material adverse effect on our business, financial condition or results of operations. There is also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2" w:name="page83"/>
    <w:bookmarkEnd w:id="82"/>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Approval—Pharmaceutical Insurance Coverage and Health Care Reform” in this Annual Report on Form 10-K.</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August 2022 the Inflation Reduction Act of 2022 was passed, which among other things, allows for Centers for Medicare &amp; Medicaid Services to negotiate prices for certain single-source drugs and biologics reimbursed under Medicare Part B and Part D, beginning with select high-cost drugs in 2026. The legislation subjects drug manufacturers to civil monetary penalties and a potential excise tax for offering a price that is not equal to or less than the price negotiated under the law or for taking price increases that exceed inflation. The legislation also requires manufacturers to pay rebates for drugs in Medicare Part D whose price increases exceed inflation. Further, the legislation caps Medicare beneficiaries’ annual out-of-pocket drug expenses at $2,000. The implementation of the IRA is currently subject to ongoing litigation challenging the constitutionality of the IRA's Medicare drug price negotiation program. The effect of Inflation Reduction Act of 2022 on our business and the healthcare industry in general is not yet known.</w:t>
      </w:r>
    </w:p>
    <w:p>
      <w:pPr>
        <w:spacing w:after="0" w:line="8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3" w:name="page84"/>
    <w:bookmarkEnd w:id="83"/>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 GDPR.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information technology systems and infrastructure, or those of our collaborators or other contractors or consultants, may fail or suffer security compromises or breaches, which could result in a material disruption of our product development programs.</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internal computer and information technology systems and infrastructure and those of our CROs, collaborators, and other contractors or consultants upon which our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our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We have experienced cyber incidents in the past, and we cannot guarantee that the measures we take to prevent, detect, and respond to cyber-attacks will be effective to prevent or remediate future incidents. If our cybersecurity measures or those of our service providers fail to protect against unauthorized access, attacks, compromise or the mishandling of data by our employees or contractors, then our reputation, customer trust, business, results of operations and financial condition could be adversely affected. Because the techniques used by threat actors who may attempt to penetrate and sabotage our computer systems or those of our collaborators or other contractors or consultants change frequently and may not be recognized until launched against a target, we may be unable to anticipate these techniques.</w:t>
      </w:r>
    </w:p>
    <w:p>
      <w:pPr>
        <w:spacing w:after="0" w:line="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compromise or breach were to result in a loss of, damage to, unauthorized access, or misuse of our data, systems, infrastructure or applications, or inappropriate disclosure of confidential or proprietary information, we could incur liability (including in connection with or resulting from litigation or governmental investigations and enforcement actions), our competitive position could be harmed and the further development and commercialization of our product candidates could be delayed and our business could be otherwise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retaining qualified scientific, clinical, manufacturing, accounting, legal and sales and marketing personnel will also be critical to our success.</w:t>
      </w:r>
    </w:p>
    <w:p>
      <w:pPr>
        <w:spacing w:after="0" w:line="117"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have had recent executive transitions, including of our chief executive officer, chief financial officer, president of research and development, chief scientific officer, and chief medical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For example, our employees have taken on increased responsibilities in light of this turnover, which could divert attention from key business areas. Additionally, the number of recent departures has created some uncertainty.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Even if we are successful in our efforts to replace our executive leadership, we cannot guarantee that we will not face similar turnover in the future. In addition, we rely on consultants and advisors, including scientific and clinical advisors, to assist us in formulating our research and development and commercialization strategy. In August 2022, we announced a workforce reduction in our research and development function, which may make us a less attractive employer to future candidates.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8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of February 20, 2023, our executive officers and directors and our stockholders who owned more than 5% of our outstanding common stock in the aggregate beneficially owned shares representing approximately 48.6%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control may:</w:t>
      </w:r>
    </w:p>
    <w:p>
      <w:pPr>
        <w:spacing w:after="0" w:line="117"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that other stockholders may desire.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jc w:val="both"/>
        <w:ind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2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6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5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our stockholders.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the operating performance of particular companies. The market price for our common stock may be influenced by many factors, including:</w:t>
      </w:r>
    </w:p>
    <w:p>
      <w:pPr>
        <w:spacing w:after="0" w:line="117" w:lineRule="exact"/>
        <w:rPr>
          <w:sz w:val="20"/>
          <w:szCs w:val="20"/>
          <w:color w:val="auto"/>
        </w:rPr>
      </w:pPr>
    </w:p>
    <w:p>
      <w:pPr>
        <w:ind w:left="900" w:right="84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product candidates or those of our competitors or potential collaborators;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our product candidates, if and when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filed or intend to file universal shelf registration statements (which allows us to offer and sell securities from time to time pursuant to one or more offerings at prices and terms to be determined at the time of sale) subject to an aggregate offering amount stated therein, as well as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8" w:name="page89"/>
    <w:bookmarkEnd w:id="88"/>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$1.235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79" w:lineRule="exact"/>
        <w:rPr>
          <w:sz w:val="20"/>
          <w:szCs w:val="20"/>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900" w:right="580" w:hanging="383"/>
        <w:spacing w:after="0" w:line="266"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5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9" w:name="page90"/>
    <w:bookmarkEnd w:id="89"/>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management on our internal control over financial reporting. However, while we remain an EGC or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9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80"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2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Risk Management and Strategy</w:t>
      </w:r>
    </w:p>
    <w:p>
      <w:pPr>
        <w:spacing w:after="0" w:line="121"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At Fulcrum Therapeutics, we recognize the importance of assessing, identifying, and managing risks from cybersecurity threats. We have implemented a cybersecurity risk management process in accordance with our risk profile and business that is informed by industry standards and is integrated into our enterprise risk management process.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leverage the support of third-party information technology and security providers, including for periodic security testing and risk assessments, as part of our risk management process, designed to identify, assess, and manage cybersecurity risks. We conduct employee cybersecurity training and maintain an incident response and notification plan designed to assist us in identifying, responding to, and recovering from cybersecurity incidents. Further, we intend to evaluate and update our existing cybersecurity policies and procedures as appropriate to continue to align them to our risk profile.</w:t>
      </w:r>
    </w:p>
    <w:p>
      <w:pPr>
        <w:spacing w:after="0" w:line="7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have a process to assess the security practices of certain third-party vendors, including through the use of vendor security questionnaires, as appropriate.</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Although risks from cybersecurity threats have to date not materially affected us, our business strategy, results of operations or financial condition, we have, from time to time, experienced threats to and breaches of our and our third party vendors’ data and systems. For more information about these risks, please refer to the section entitled “Risk Factors” in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121" w:lineRule="exact"/>
        <w:rPr>
          <w:sz w:val="20"/>
          <w:szCs w:val="20"/>
          <w:color w:val="auto"/>
        </w:rPr>
      </w:pPr>
    </w:p>
    <w:p>
      <w:pPr>
        <w:jc w:val="both"/>
        <w:ind w:right="700" w:firstLine="509"/>
        <w:spacing w:after="0" w:line="266" w:lineRule="auto"/>
        <w:rPr>
          <w:sz w:val="20"/>
          <w:szCs w:val="20"/>
          <w:color w:val="auto"/>
        </w:rPr>
      </w:pPr>
      <w:r>
        <w:rPr>
          <w:rFonts w:ascii="Times New Roman" w:cs="Times New Roman" w:eastAsia="Times New Roman" w:hAnsi="Times New Roman"/>
          <w:sz w:val="18"/>
          <w:szCs w:val="18"/>
          <w:color w:val="auto"/>
        </w:rPr>
        <w:t>Our Executive Director, IT &amp; Operations, or Executive Director, who reports to the Chief Financial Officer, is responsible for the strategic leadership and direction of our cybersecurity program. With over 15 years of experience in information technology, the Executive Director works alongside individuals across other functions, such as legal and engineering, to establish and implement our cybersecurity strategy.</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Executive Director and our Chief Legal Officer participate in periodic discussions with other members of our management, including executive leadership, regarding implementation of our cybersecurity program, program enhancements, and relevant cyber risks or threats. Our Chief Legal Officer has received the National Association of Corporate Directors CERT Certificate in Cyber-Risk Oversight.</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audit committee has oversight over cybersecurity risks. With the input of the executive team, the Executive Director provides annual presentations to the audit committee on our cyber program, including updates on security testing and assessments, cyber risks, and related cyber strategy as applicable. The management team will also update the full board of directors on matters related to cybersecurity as needed.</w:t>
      </w:r>
    </w:p>
    <w:p>
      <w:pPr>
        <w:spacing w:after="0" w:line="68"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Additionally, we have implemented an enterprise risk management process, which addresses cyber risks. This process is led by our Chief Legal Officer and includes participation by the board of directors, as appropriate. Our Chief Legal Officer reports regularly on the enterprise risk management process to executive leadership and the audit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Our principal facilities consist of office and laboratory space. We occupy approximately 28,731 square feet of office space in Cambridge, Massachusetts under a lease that currently expires in June 2028.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April 28, 2023, a class action complaint was filed in the United States District Court for the District of New Jersey against our company and current and former officers, or the Securities Action. On May 19, 2023, the Securities Action was transferred to the United States District Court for the District of Massachusetts, captioned </w:t>
      </w:r>
      <w:r>
        <w:rPr>
          <w:rFonts w:ascii="Times New Roman" w:cs="Times New Roman" w:eastAsia="Times New Roman" w:hAnsi="Times New Roman"/>
          <w:sz w:val="18"/>
          <w:szCs w:val="18"/>
          <w:i w:val="1"/>
          <w:iCs w:val="1"/>
          <w:color w:val="auto"/>
        </w:rPr>
        <w:t>Celano v. Fulcrum Therapeutics, Inc., et al</w:t>
      </w:r>
      <w:r>
        <w:rPr>
          <w:rFonts w:ascii="Times New Roman" w:cs="Times New Roman" w:eastAsia="Times New Roman" w:hAnsi="Times New Roman"/>
          <w:sz w:val="18"/>
          <w:szCs w:val="18"/>
          <w:color w:val="auto"/>
        </w:rPr>
        <w:t>., Case No. 1:23-cv-11125-IT. On July 31, 2023, the court appointed a lead plaintiff, who filed an amended complaint on September 29, 2023. The Securities Action alleges violations of Section 10(b) of the Exchange Act and Rule 10b-5 promulgated thereunder against all defendants and control person violations of Section 20(a) against the individuals, related to our February 2023 announcement that the FDA issued a clinical hold regarding the IND application for pociredir for the potential treatment of SCD. The Securities Action alleges that the defendants made misleading statements and omitted to disclose material information related to the clinical hold and seeks, among other things, compensatory damages in connection with an allegedly inflated stock price between March 3, 2022, and March 8, 2023, as well as attorneys’ fees and costs. On November 28, 2023, all defendants filed a motion to dismiss the Securities Action, which motion is currently pending. We intend to defend vigorously against this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ectPr>
          <w:pgSz w:w="11900" w:h="16838" w:orient="portrait"/>
          <w:cols w:equalWidth="0" w:num="1">
            <w:col w:w="10139"/>
          </w:cols>
          <w:pgMar w:left="320" w:top="1413" w:right="1440" w:bottom="1440" w:gutter="0" w:footer="0" w:header="0"/>
        </w:sectPr>
      </w:pP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697865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type w:val="continuous"/>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2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common stock trades under the symbol “FULC” on the Nasdaq Global Market and has been publicly traded since July 18, 2019. Prior to this time, there was no public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February 20, 2024, there were approximately 14 holders of record of shares of our common stock. This number does not include stockholders for whom shares are held in “nominee” or “street” name.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at the end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small molecules to improve the lives of patients with genetically defined rare diseases in areas of high unmet medical need. Our most advanced clinical-stage product candidate, losmapimod, is being developed for the potential treatment of FSHD. Our other clinical product candidate is pociredir, which is being developed for the potential treatment of SCD. We initiated REACH, a randomized, double-blind, placebo-controlled, multi-national Phase 3 clinical trial of losmapimod in the second quarter of 2022 and we completed enrollment during September 2023. The trial enrolled 260 patients. We expect to report topline data from REACH in the fourth quarter of 2024.</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January 2023, we announced interim data from our Phase 1b clinical trial of pociredir in SCD. We completed enrollment in the 6 mg and 2 mg dose cohorts, and we do not plan to enroll additional subjects in these cohorts. Although we commenced enrollment in the 12 mg dose cohort, in February 2023 the FDA placed a full clinical hold on the IND application for pociredir for SCD, which was lifted in August 2023. The Phase 1b clinical trial is being re-initiated at the 12 mg once daily dose level, with that cohort expected to enroll approximately 10 patients, and will be followed by an additional cohort of approximately 10 patients at the 20 mg once daily dose level. Following the clinical hold, we amended the protocol to revise the inclusion and exclusion criteria for the Phase 1b clinical trial to target patients with higher disease severity.</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product candidate development, we have developed discovery approach that we employ to systematically identify and validate cellular drug targets that can potentially modulate gene expression to treat known root causes of genetically defined rare diseases. Our discovery approach led to the identification of both losmapimod for FSHD and pociredir for SCD, as well as a robust discovery pipeline. With our priorities focused on the development and potential commercialization of our two clinical-stage assets, losmapimod and pociredir, and ongoing work on our preclinical programs in hematology and muscle diseases, we are realigning our strategy and resources accordingly and will be winding down certain exploratory activities from our discovery efforts.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technologies, identifying drug targets and potential product candidates, in-licensing assets, producing drug substance and drug product material for use in clinical trials and conducting preclinical studies and clinical trials. To date, we have funded our operations primarily from the sale of shares of our capital stock and from upfront payments received under our collaboration and license agreements.</w:t>
      </w:r>
    </w:p>
    <w:p>
      <w:pPr>
        <w:spacing w:after="0" w:line="183"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In January 2023, we issued and sold 9,615,384 shares of our common stock in a public offering at a public offering price of $13.00 per share, less underwriting discounts and commissions. The net proceeds of the offering were $117.3 million, after deducting underwriting discounts and commissions and 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4" w:name="page95"/>
    <w:bookmarkEnd w:id="94"/>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$97.3 million and $109.9 million for the years ended December 31, 2023 and 2022, respectively. As of December 31, 2023, we had an accumulated deficit of $509.7 million. We expect our expenses and operating losses will increase substantially over the next several years in connection with our ongoing activities, as we:</w:t>
      </w:r>
    </w:p>
    <w:p>
      <w:pPr>
        <w:spacing w:after="0" w:line="75" w:lineRule="exact"/>
        <w:rPr>
          <w:sz w:val="20"/>
          <w:szCs w:val="20"/>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losmapimod and pociredir;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into later stage trials such as REACH, the Phase 3 clinical trial of losmapimod for the treatment of FSHD;</w:t>
      </w:r>
    </w:p>
    <w:p>
      <w:pPr>
        <w:spacing w:after="0" w:line="53"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 including for Diamond Blackfan Anemia under our recent license agreement with CAMP4;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recent agreement with CAMP4;</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affiliates of GSK under our right of reference and license agreement with GSK upon the achievement of specified clinical or regulatory milestones, or to CAMP4 under our license agreement with CAMP4;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we had $236.2 million in cash, cash equivalents, and marketable securities. We believe that our existing cash, cash equivalents, and marketable securities as of December 31, 2023 will enable us to fund our operating expenses and capital expenditure requirements into 2026. We have based this estimate on assumptions that may prove to be wrong, and we could exhaust our available capital resources sooner than we expect. See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December 2019, we entered into a collaboration and license agreement with Acceleron to identify biological targets to modulate specific pathways associated with a targeted indication within the pulmonary disease space. The agreement terminated effective October 1, 2022, following notification from Acceleron in June 2022 of its decision to terminate the agreement for convenience. For the years ended December 31, 2023 and 2022, we recognized zero and $1.0 million, respectively of collaboration revenue under the Acceleron collaboration agreement.</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July 2020, we entered into a collaboration and license agreement with MyoKardia, which we amended in April 2023,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MyoKardia was subsequently acquired by Bristol-Myers Squibb Company in November 2020.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MyoKardia collaboration agreement, we received a $10.0 million upfront payment and a $2.5 million payment as prepaid research funding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To date, we have achieved a $2.5 million specified preclinical milestone.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8"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color w:val="auto"/>
        </w:rPr>
        <w:t>For the years ended December 31, 2023 and 2022 we recognized $2.8 million and $5.3 million, respectively, of collaboration revenue under the MyoKardia collaboration agreement. As of December 31, 2023, we have recorded no deferred revenue associated with the MyoKardia collaboration agreement. As of December 31, 2022 we have recorded $0.9 million of deferred revenue associated with the MyoKardia collaboration agreement, which is classified as either current or noncurrent, net of current portion in our consolidated balance sheets based on the period over which the revenue is expected to be recognized. As of December 31, 2023, we had received $7.2 million of cost reimbursement payments and $2.5 million of milestone payments under the MyoKardia collaboration agreement. As of December 31, 2023, we recorded unbilled accounts receivable of $0.5 million related to reimbursable research and development costs under the MyoKardia collaboration agreement for activities performed during the three months ended December 31, 2023.</w:t>
      </w:r>
    </w:p>
    <w:p>
      <w:pPr>
        <w:spacing w:after="0" w:line="17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the future, we may generate revenue from milestones and royalty payments under the MyoKardia collaboration agreement. We expect that our revenue may fluctuate from quarter-to-quarter and year-to-year as a result of the timing, amount, and achievement of milestones under the MyoKardia collaboration agreement.</w:t>
      </w:r>
    </w:p>
    <w:p>
      <w:pPr>
        <w:spacing w:after="0" w:line="17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by us for the discovery, development, and manufacture of our product candidates and include:</w:t>
      </w:r>
    </w:p>
    <w:p>
      <w:pPr>
        <w:spacing w:after="0" w:line="54" w:lineRule="exact"/>
        <w:rPr>
          <w:sz w:val="20"/>
          <w:szCs w:val="20"/>
          <w:color w:val="auto"/>
        </w:rPr>
      </w:pPr>
    </w:p>
    <w:p>
      <w:pPr>
        <w:ind w:left="900" w:right="780" w:hanging="383"/>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contract manufacturing organizations, and consultants;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payroll taxes, employee benefits and stock-based compensation expenses for individuals involved in research and development efforts;</w:t>
      </w:r>
    </w:p>
    <w:p>
      <w:pPr>
        <w:spacing w:after="0" w:line="12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other operating costs;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expenses associated with our right of reference and license agreement with GSK.</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following nomination as a development candidate for the years ended December 31, 2023 and 2022. Pre-development candidate expenses, unallocated expenses and internal research and development expenses are classified separately. Losmapimod external expenses during the year ended December 31, 2022 includes a $5.0 million milestone achieved under our right of reference and license agreement with GSK upon initiation of the REACH trial during the second quarter of 2022.</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7"/>
        </w:trPr>
        <w:tc>
          <w:tcPr>
            <w:tcW w:w="5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26,260</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Pociredir external expenses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15,133</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14,536</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20,754</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80" w:type="dxa"/>
            <w:vAlign w:val="bottom"/>
          </w:tcPr>
          <w:p>
            <w:pPr>
              <w:spacing w:after="0"/>
              <w:rPr>
                <w:sz w:val="20"/>
                <w:szCs w:val="20"/>
                <w:color w:val="auto"/>
              </w:rPr>
            </w:pPr>
          </w:p>
        </w:tc>
      </w:tr>
      <w:tr>
        <w:trPr>
          <w:trHeight w:val="277"/>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71,801</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76,782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4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2" w:lineRule="exact"/>
        <w:rPr>
          <w:sz w:val="20"/>
          <w:szCs w:val="20"/>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commercialize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7" w:name="page98"/>
    <w:bookmarkEnd w:id="97"/>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active pharmaceutical ingredient, or API, for use in production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operate a manufacturing facility, or secure manufacturing supply through relationships with third parties;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in quantities sufficient for use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enforce, defend and protect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and when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products following receipt of any regulatory approvals.</w:t>
      </w:r>
    </w:p>
    <w:p>
      <w:pPr>
        <w:spacing w:after="0" w:line="22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for the treatment of FSHD, advancing pociredir for the treatment of SCD,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to support continued research and development activities and planned commercialization activities, including establishing a sales, marketing and distribution infrastructure to commercialize any medicines for which we may obtain marketing approval. These increases will likely include increased costs related to the hiring of additional personnel, legal, audit, filing fees, and general compliance and consulting expenses, among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related to our investments in cash equivalents and marketable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years ended December 31, 2023 and 2022, along with the changes in those items in dollars: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(3,537 )</w:t>
            </w: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71,801</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76,782</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(4,981 )</w:t>
            </w:r>
          </w:p>
        </w:tc>
        <w:tc>
          <w:tcPr>
            <w:tcW w:w="0" w:type="dxa"/>
            <w:vAlign w:val="bottom"/>
          </w:tcPr>
          <w:p>
            <w:pPr>
              <w:spacing w:after="0"/>
              <w:rPr>
                <w:sz w:val="1"/>
                <w:szCs w:val="1"/>
                <w:color w:val="auto"/>
              </w:rPr>
            </w:pPr>
          </w:p>
        </w:tc>
      </w:tr>
      <w:tr>
        <w:trPr>
          <w:trHeight w:val="239"/>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Restructuring expenses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(427 )</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113,469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(5,434 )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(110,664 )</w:t>
            </w:r>
          </w:p>
        </w:tc>
        <w:tc>
          <w:tcPr>
            <w:tcW w:w="3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(112,561 )</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13,329</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(97,335 )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(109,871 )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-668020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-668020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-668020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Collaboration revenue decreased by $3.5 million from $6.3 million for the year ended December 31, 2022 to $2.8 million for the year ended December 31, 2023. We recognize revenue under collaboration agreements based on our pattern of performance related to the respective identified performance obligation, which is the period over which we will perform research services under the respective agreement. For the years ended December 31, 2023 and 2022, we recognized zero and $1.0 million, respectively, of collaboration revenue under the Acceleron collaboration agreement, which terminated in October 2022, and $2.8 million and $5.3 million of collaboration revenue, respectively, under the MyoKardia collaboration agreement.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2023 and 2022:</w:t>
      </w:r>
    </w:p>
    <w:p>
      <w:pPr>
        <w:spacing w:after="0" w:line="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41,179</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44,944</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(3,765 )</w:t>
            </w:r>
          </w:p>
        </w:tc>
        <w:tc>
          <w:tcPr>
            <w:tcW w:w="0" w:type="dxa"/>
            <w:vAlign w:val="bottom"/>
          </w:tcPr>
          <w:p>
            <w:pPr>
              <w:spacing w:after="0"/>
              <w:rPr>
                <w:sz w:val="1"/>
                <w:szCs w:val="1"/>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(741 )</w:t>
            </w:r>
          </w:p>
        </w:tc>
        <w:tc>
          <w:tcPr>
            <w:tcW w:w="0" w:type="dxa"/>
            <w:vAlign w:val="bottom"/>
          </w:tcPr>
          <w:p>
            <w:pPr>
              <w:spacing w:after="0"/>
              <w:rPr>
                <w:sz w:val="1"/>
                <w:szCs w:val="1"/>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(759 )</w:t>
            </w: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71,801</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76,782</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(4,981 )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-187960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-187960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$5.0 million from $76.8 million for the year ended December 31, 2022 to $71.8 million for the year ended December 31, 2023. The decrease in research and development expense was primarily attributable to the following:</w:t>
      </w:r>
    </w:p>
    <w:p>
      <w:pPr>
        <w:spacing w:after="0" w:line="54" w:lineRule="exact"/>
        <w:rPr>
          <w:sz w:val="20"/>
          <w:szCs w:val="20"/>
          <w:color w:val="auto"/>
        </w:rPr>
      </w:pPr>
    </w:p>
    <w:p>
      <w:pPr>
        <w:ind w:left="1020" w:right="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of decreased external research and development costs, primarily associated with decreased costs for pociredir as a result of the clinical hold from February 2023 to August 2023, and achievement of a $5.0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3" w:right="519" w:bottom="1440" w:gutter="0" w:footer="0" w:header="0"/>
        </w:sectPr>
      </w:pPr>
    </w:p>
    <w:bookmarkStart w:id="99" w:name="page100"/>
    <w:bookmarkEnd w:id="99"/>
    <w:p>
      <w:pPr>
        <w:ind w:left="1020" w:right="620"/>
        <w:spacing w:after="0" w:line="282" w:lineRule="auto"/>
        <w:rPr>
          <w:sz w:val="20"/>
          <w:szCs w:val="20"/>
          <w:color w:val="auto"/>
        </w:rPr>
      </w:pPr>
      <w:r>
        <w:rPr>
          <w:rFonts w:ascii="Times New Roman" w:cs="Times New Roman" w:eastAsia="Times New Roman" w:hAnsi="Times New Roman"/>
          <w:sz w:val="18"/>
          <w:szCs w:val="18"/>
          <w:color w:val="auto"/>
        </w:rPr>
        <w:t>milestone due to GSK upon initiation of REACH in the second quarter of 2022, partially offset by increased costs associated with the advancement of REACH as we completed enrollment in September 2023;</w:t>
      </w:r>
    </w:p>
    <w:p>
      <w:pPr>
        <w:spacing w:after="0" w:line="54"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of decreased facilities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of decreased laboratory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$0.3 million of increased employee compensation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years ended December 31, 2023 and 2022:</w:t>
      </w:r>
    </w:p>
    <w:p>
      <w:pPr>
        <w:spacing w:after="0" w:line="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24,809</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(2,255 )</w:t>
            </w: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41,668</w:t>
            </w: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41,694</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-25400</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less than $0.1 million from $41.7 million for the year ended December 31, 2022 to $41.7 million for the year ended December 31, 2023. The decrease in general and administrative expenses was primarily attributable to the following:</w:t>
      </w:r>
    </w:p>
    <w:p>
      <w:pPr>
        <w:spacing w:after="0" w:line="54" w:lineRule="exact"/>
        <w:rPr>
          <w:sz w:val="20"/>
          <w:szCs w:val="20"/>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in decreased professional services costs, primarily due to decreased consulting and insurance costs;</w:t>
      </w:r>
    </w:p>
    <w:p>
      <w:pPr>
        <w:spacing w:after="0" w:line="117"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$1.3 million of increased employee compensation costs, including a $1.4 million increase in stock-based compensation expense;</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in increased facility-related costs, including increased costs associated with our leases as well as depreciation and other utility and maintenance costs;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in increased other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increased by $10.6 million from $2.7 million for the year ended December 31, 2022 to $13.3 million for the year ended December 31, 2023. The increase in other income, net was primarily attributable to an increased rate of return on our cash, cash equivalents, and marketable securities and an increase in our average cash, cash equivalents, and marketable securities balance.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December 31, 2023, we have funded our operations primarily with aggregate gross proceeds of $712.5 million from the sale of shares of our capital stock and from upfront payments received under our collaboration and license agreements. As of December 31, 2023, we had cash, cash equivalents, and marketable securities of $236.2 million.</w:t>
      </w:r>
    </w:p>
    <w:p>
      <w:pPr>
        <w:spacing w:after="0" w:line="79" w:lineRule="exact"/>
        <w:rPr>
          <w:sz w:val="20"/>
          <w:szCs w:val="20"/>
          <w:color w:val="auto"/>
        </w:rPr>
      </w:pPr>
    </w:p>
    <w:p>
      <w:pPr>
        <w:ind w:right="240" w:firstLine="509"/>
        <w:spacing w:after="0" w:line="312" w:lineRule="auto"/>
        <w:rPr>
          <w:sz w:val="20"/>
          <w:szCs w:val="20"/>
          <w:color w:val="auto"/>
        </w:rPr>
      </w:pPr>
      <w:r>
        <w:rPr>
          <w:rFonts w:ascii="Times New Roman" w:cs="Times New Roman" w:eastAsia="Times New Roman" w:hAnsi="Times New Roman"/>
          <w:sz w:val="17"/>
          <w:szCs w:val="17"/>
          <w:color w:val="auto"/>
        </w:rPr>
        <w:t>In January 2023, we completed a public offering of our common stock and issued and sold 9,615,384 shares of common stock at a public offering price of $13.00 per share, resulting in net proceeds of $117.3 million after deducting underwriting discounts and commissions and 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2023 and 2022:</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(90,965 )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(97,050 )</w:t>
            </w:r>
          </w:p>
        </w:tc>
        <w:tc>
          <w:tcPr>
            <w:tcW w:w="20" w:type="dxa"/>
            <w:vAlign w:val="bottom"/>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(36,692 )</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118,122</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84,323</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(9,535 )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2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$91.0 million during the year ended December 31, 2023 compared to net cash used in operating activities of $97.1 million during the year ended December 31, 2022. The decrease in net cash used in operating activities of $6.1 million was primarily due to a decrease in net loss, including as a result of decreased external research and development costs as a result of the clinical hold for pociredir, which was lifted in August 2023, and increased interest income.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$36.7 million during the year ended December 31, 2023 compared to net cash provided by investing activities of $12.4 million during the year ended December 31, 2022. The increase in net cash used in investing activities of $49.1 million was primarily due to net purchases of marketable securities during the year ended December 31, 2023, as compared to net maturities of marketable securities during the year ended December 31, 2022.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$118.1 million during the year ended December 31, 2023 compared to net cash provided by financing activities of $84.3 million during the year ended December 31, 2022. Net cash provided by financing activities during the year ended December 31, 2023 primarily consisted of net proceeds of $117.3 million from the January 2023 public offering of our common stock. Net cash provided by financing activities during the year ended December 31, 2022 primarily consisted of net proceeds of $80.8 million from the August 2022 completion of the public offering of our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to support the growth of our organization. As a result, we expect to incur substantial operating losses and negative operating cash flows for the foreseeable future.</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as of December 31, 2023 will enable us to fund our operating expenses and capital expenditure requirements into 2026. However, we have based this estimate on assumptions that may prove to be wrong and we could exhaust our capital resources sooner than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ind w:left="52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clinical trials of losmapimod and pociredir;</w:t>
      </w:r>
    </w:p>
    <w:p>
      <w:pPr>
        <w:spacing w:after="0" w:line="117" w:lineRule="exact"/>
        <w:rPr>
          <w:rFonts w:ascii="Times New Roman" w:cs="Times New Roman" w:eastAsia="Times New Roman" w:hAnsi="Times New Roman"/>
          <w:sz w:val="18"/>
          <w:szCs w:val="18"/>
          <w:color w:val="auto"/>
        </w:rPr>
      </w:pPr>
    </w:p>
    <w:p>
      <w:pPr>
        <w:jc w:val="both"/>
        <w:ind w:left="900" w:right="560" w:hanging="383"/>
        <w:spacing w:after="0" w:line="26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 including under our recent license agreement with CAMP4;</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MyoKardia;</w:t>
      </w:r>
    </w:p>
    <w:p>
      <w:pPr>
        <w:spacing w:after="0" w:line="117"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discussed below are critical to understanding our historical and future performance, as these policies relate to the most significant areas involving management’s judgments and estimates. See Note 2 to our consolidated financial statements included elsewhere in this Annual Report on Form 10-K for a description of our other significant accounting policies.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3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account for revenue recognition under the Financial Accounting Standards Board Accounting Standards Codification, or ASC,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We recognize revenue pursuant to ASC 606 when our customer obtains control of promised goods or services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that reflects the consideration which we expect to receive in exchange for those goods or services.</w:t>
      </w:r>
    </w:p>
    <w:p>
      <w:pPr>
        <w:spacing w:after="0" w:line="6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we assess the goods or services promised within the contract and determine those that are performance obligations. We then determine the transaction price and allocate it to the identified performance obligations. As part of the accounting for these arrangements, we must use significant judgment to determine the number of performance obligations and the transaction price, including the determination of whether milestones or other variable consideration should be included in the transaction price.</w:t>
      </w:r>
    </w:p>
    <w:p>
      <w:pPr>
        <w:spacing w:after="0" w:line="72"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We use judgment to determine whether milestones or other variable consideration should be included in the transaction price. As part of management’s evaluation of the transaction price, we consider numerous factors, including whether the achievement of the milestones is outside of our control, contingent upon the efforts of others or subject to the risks of success. If we conclude it is probable that a significant revenue reversal would not occur, the associated milestone payment is included in the transaction price. Milestone payments that are based on the occurrence of events not within our control, such as regulatory approvals, are generally not considered probable of being achieved until the underlying events occur or the associated approvals are received. At the end of each reporting period, we re-evaluate the estimated variable consideration included in the transaction price and any related constraint, and if necessary, adjust the estimate of the overall transaction price. Any such adjustments are recorded on a cumulative catch-up basis in the period of adjustment. Changes to the constraint of variable consideration can have a material effect on the amount of revenue recognized in the period.</w:t>
      </w:r>
    </w:p>
    <w:p>
      <w:pPr>
        <w:spacing w:after="0" w:line="6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recognize as revenue the amount of the transaction price that is allocated to the respective performance obligation when (or as) the performance obligation is satisfied, either at a point in time or over time. If the performance obligation is satisfied over time, we recognize revenue based on the use of either an output or input method. The estimation of measure of progress is complex, involves significant judgment, and is affected by our estimates of the total costs required to complete the performance obligations, including the total internal personnel costs and external costs to be incurred. Changes in these estimates can have a material effect on our revenue recognition. If the entity does not satisfy a performance obligation over time, the related performance obligation is satisfied at a point in time by transferring the control of a promised good or service to a customer.</w:t>
      </w:r>
    </w:p>
    <w:p>
      <w:pPr>
        <w:spacing w:after="0" w:line="7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For further description of our revenue recognition policy, see Note 2 “Summary of Significant Accounting Policies—Revenue Recognition” to our audited consolidated financial statements included elsewhere in this Annual Report on Form 10-K. See also Note 10, “Collaboration and License Agreements” to our audited consolidated financial statements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ind w:right="500"/>
        <w:spacing w:after="0" w:line="282" w:lineRule="auto"/>
        <w:rPr>
          <w:sz w:val="20"/>
          <w:szCs w:val="20"/>
          <w:color w:val="auto"/>
        </w:rPr>
      </w:pPr>
      <w:r>
        <w:rPr>
          <w:rFonts w:ascii="Times New Roman" w:cs="Times New Roman" w:eastAsia="Times New Roman" w:hAnsi="Times New Roman"/>
          <w:sz w:val="18"/>
          <w:szCs w:val="18"/>
          <w:color w:val="auto"/>
        </w:rPr>
        <w:t>elsewhere in this Annual Report on Form 10-K for further information on the application of ASC 606 to the Acceleron and MyoKardia collaboration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9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measure stock-based compensation expense related to all restricted stock awards, restricted stock units, and stock options based on the fair value of the award on the date of grant. We recognize compensation expense for these awards over the requisite service period, which is generally the vesting period of the respective award. Generally, we issue awards with only service-based vesting conditions and record the expense for these awards using the straight-line method. We have also granted certain stock-based awards with performance-based vesting conditions.We recognize compensation expense for awards with performance-based vesting conditions over the remaining service period using an accelerated attribution method when management determines that achievement of the performance condition is probable. At each reporting date, we evaluate if the achievement of a performance-based milestone is probable based on the expected satisfaction of the performance conditions.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determine the fair value of restricted stock awards and restricted stock units based on the estimated fair value of our common stock on the date of grant, less any applicable purchase price. We estimate the fair value of stock options granted using the Black-Scholes option-pricing model. The determination of the grant date fair value of stock options using an option pricing model is affected principally by our estimated fair value of our common stock and requires management to make a number of other assumptions, including the expected term of the option, the estimated volatility of the underlying shares, the risk-free interest rate, and expected dividends. The assumptions used in the determination of the grant date fair value of stock options represent management’s best estimates at the time of measurement. Given the lack of public market for our common stock prior to the closing of our IPO and a lack of company-specific historical and implied volatility data, we based the estimate of expected volatility on the historical volatility of a representative group of publicly traded companies for which historical information is available. The historical volatility is calculated based on a period of time commensurate with the assumption used for the expected term. We use the simplified method to calculate the expected term for all stock options. We utilize this method as we do not have sufficient historical exercise data to provide a reasonable basis upon which to estimate the expected term. The risk-free interest rate is based on a U.S. treasury instrument whose term is consistent with the expected term of the stock options. The expected dividend yield is assumed to be zero as we have never paid dividends and do not have current plans to pay any dividends on common stock.</w:t>
      </w:r>
    </w:p>
    <w:p>
      <w:pPr>
        <w:spacing w:after="0" w:line="19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 future periods, we expect stock-based compensation expense to increase, due in part to our existing unrecognized stock-based compensation expense and as we grant additional stock-based awards to continue to attract and retain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account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As of each balance sheet date, we did not have any uncertain tax positions.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audited consolidated financial statements appearing elsewhere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particularly because our cash equivalents are in the form of money market funds that are invested in U.S. Treasury securities and our investments are in short-term marketable securities, such as corporate bonds and commercial paper. As of December 31, 2023, we had cash, cash equivalents, and marketable securities of $236.2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December 31, 2023, we had minimal or no liabilities denominated in foreign currencies.</w:t>
      </w:r>
    </w:p>
    <w:p>
      <w:pPr>
        <w:spacing w:after="0" w:line="1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had a material effect on our business, financial condition or results of operations during the years ended December 31, 2023 and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independent registered public accounting firm report thereon, are presented beginning on page F-1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Item 9(b). Director and Officer Trading Plans and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(our principal executive officer) and our Chief Financial Officer (our principal financial officer), evaluated the effectiveness of our disclosure controls and procedures as of December 31, 2023.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December 31, 2023, our Chief Executive Officer and our Chief Financial Officer concluded that, as of such date,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the company.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 w:lineRule="exact"/>
        <w:rPr>
          <w:sz w:val="20"/>
          <w:szCs w:val="20"/>
          <w:color w:val="auto"/>
        </w:rPr>
      </w:pPr>
    </w:p>
    <w:p>
      <w:pPr>
        <w:ind w:left="1260" w:right="820" w:hanging="368"/>
        <w:spacing w:after="0" w:line="260" w:lineRule="auto"/>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 company’s assets;</w:t>
      </w:r>
    </w:p>
    <w:p>
      <w:pPr>
        <w:spacing w:after="0" w:line="73" w:lineRule="exact"/>
        <w:rPr>
          <w:rFonts w:ascii="Times New Roman" w:cs="Times New Roman" w:eastAsia="Times New Roman" w:hAnsi="Times New Roman"/>
          <w:sz w:val="18"/>
          <w:szCs w:val="18"/>
          <w:color w:val="auto"/>
        </w:rPr>
      </w:pPr>
    </w:p>
    <w:p>
      <w:pPr>
        <w:ind w:left="1260" w:right="120" w:hanging="368"/>
        <w:spacing w:after="0" w:line="266" w:lineRule="auto"/>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a company’s management and directors; and</w:t>
      </w:r>
    </w:p>
    <w:p>
      <w:pPr>
        <w:spacing w:after="0" w:line="67" w:lineRule="exact"/>
        <w:rPr>
          <w:rFonts w:ascii="Times New Roman" w:cs="Times New Roman" w:eastAsia="Times New Roman" w:hAnsi="Times New Roman"/>
          <w:sz w:val="18"/>
          <w:szCs w:val="18"/>
          <w:color w:val="auto"/>
        </w:rPr>
      </w:pPr>
    </w:p>
    <w:p>
      <w:pPr>
        <w:ind w:left="1260" w:right="400" w:hanging="368"/>
        <w:spacing w:after="0" w:line="282" w:lineRule="auto"/>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 company’s assets that could have a material effect on the financial statements.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principal executive officer and principal financial officer, our management assessed the effectiveness of our internal control over financial reporting as of December 31, 2023 based on the criteria set forth by the Committee of Sponsoring Organizations of the Treadway Commission (COSO) in Internal Control—Integrated Framework (2013 framework). Based on this assessment, management concluded that our internal control over financial reporting was effective as of December 31, 2023.</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due to an exemption established by the JOBS Act for “emerging growth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three months ended December 31, 2023 that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1.02. Termination of a Material Definitive Agreement.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previously disclosed, on May 9, 2022, we entered into an equity distribution agreement, or the 2022 Sales Agreement, with Piper Sandler &amp; Co., as sales agent, with respect to an at-the-market offering program to sell shares of our common stock having an aggregate offering price of up to $50.0 million, or the 2022 Shares, from time to time through the sales agent. Effective as of the date of this Annual Report on Form 10-K, we terminated the 2022 Sales Agreement pursuant to Section 7 thereof. We are not subject to any termination penalties related to the termination of the 2022 Sales Agreement. Prior to termination, all of the 2022 Shares remained available for sale pursuant to the 2022 Sales Agreement. As a result of the termination of the 2022 Sales Agreement, we will not offer or sell any shares under the 2022 Sales Agreement.</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 copy of the 2022 Sales Agreement was filed as Exhibit 1.1 to the Current Report on Form 8-K filed by us on May 10, 2022. The description of the 2022 Sales Agreement contained herein does not purport to be complete and is qualified in its entirety by reference to the copy of the 2022 Sales Agreement filed as Exhibit 1.1 to the Current Report on Form 8-K filed by us on May 10,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Except to the extent provided below, the information required by this Item 10 will be included in our Definitive Proxy Statement to be filed with the SEC, with respect to our 2024 Annual Meeting of Stockholders and is incorporated herein by reference.</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post our Code of Business Conduct and Ethics, which applies to our directors, officers and employees, including our principal executive officer, principal financial officer, principal accounting officer or controller, or persons performing similar functions, in the “Corporate Governance” sub-section of the “Investor Relations” section (ir.fulcrumtx.com) of our corporate website at www.fulcrumtx.com. We intend to disclose on our website any amendments to, or waivers from, the Code of Business Conduct and Ethics that are required to be disclosed pursuant to the disclosure requirements of Item 5.05 of Form 8-K.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2024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2024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2024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2024 Annual Meeting of Stockholders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08" w:name="page109"/>
    <w:bookmarkEnd w:id="10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F-31 attached hereto and are filed as part of this Annual Report on Form 10-K.</w:t>
      </w: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7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1034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760" w:type="dxa"/>
            <w:vAlign w:val="bottom"/>
          </w:tcPr>
          <w:p>
            <w:pPr>
              <w:ind w:left="500"/>
              <w:spacing w:after="0" w:line="182" w:lineRule="exact"/>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2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0" w:type="dxa"/>
            <w:vAlign w:val="bottom"/>
            <w:shd w:val="clear" w:color="auto" w:fill="0000EE"/>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0" w:type="dxa"/>
            <w:vAlign w:val="bottom"/>
            <w:shd w:val="clear" w:color="auto" w:fill="0000EE"/>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0" w:type="dxa"/>
            <w:vAlign w:val="bottom"/>
            <w:shd w:val="clear" w:color="auto" w:fill="0000EE"/>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consolidated financial statements or the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109" w:name="page110"/>
    <w:bookmarkEnd w:id="10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60" w:type="dxa"/>
            <w:vAlign w:val="bottom"/>
          </w:tcPr>
          <w:p>
            <w:pPr>
              <w:spacing w:after="0"/>
              <w:rPr>
                <w:sz w:val="16"/>
                <w:szCs w:val="16"/>
                <w:color w:val="auto"/>
              </w:rPr>
            </w:pPr>
          </w:p>
        </w:tc>
      </w:tr>
      <w:tr>
        <w:trPr>
          <w:trHeight w:val="183"/>
        </w:trPr>
        <w:tc>
          <w:tcPr>
            <w:tcW w:w="100" w:type="dxa"/>
            <w:vAlign w:val="bottom"/>
          </w:tcPr>
          <w:p>
            <w:pPr>
              <w:spacing w:after="0"/>
              <w:rPr>
                <w:sz w:val="15"/>
                <w:szCs w:val="15"/>
                <w:color w:val="auto"/>
              </w:rPr>
            </w:pPr>
          </w:p>
        </w:tc>
        <w:tc>
          <w:tcPr>
            <w:tcW w:w="1038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700" w:type="dxa"/>
            <w:vAlign w:val="bottom"/>
          </w:tcPr>
          <w:p>
            <w:pPr>
              <w:ind w:left="440"/>
              <w:spacing w:after="0" w:line="182" w:lineRule="exact"/>
              <w:rPr>
                <w:sz w:val="20"/>
                <w:szCs w:val="20"/>
                <w:color w:val="auto"/>
              </w:rPr>
            </w:pPr>
            <w:r>
              <w:rPr>
                <w:rFonts w:ascii="Times New Roman" w:cs="Times New Roman" w:eastAsia="Times New Roman" w:hAnsi="Times New Roman"/>
                <w:sz w:val="18"/>
                <w:szCs w:val="18"/>
                <w:color w:val="auto"/>
                <w:w w:val="95"/>
              </w:rPr>
              <w:t>F-2</w:t>
            </w:r>
          </w:p>
        </w:tc>
        <w:tc>
          <w:tcPr>
            <w:tcW w:w="60" w:type="dxa"/>
            <w:vAlign w:val="bottom"/>
          </w:tcPr>
          <w:p>
            <w:pPr>
              <w:spacing w:after="0"/>
              <w:rPr>
                <w:sz w:val="15"/>
                <w:szCs w:val="15"/>
                <w:color w:val="auto"/>
              </w:rPr>
            </w:pPr>
          </w:p>
        </w:tc>
      </w:tr>
      <w:tr>
        <w:trPr>
          <w:trHeight w:val="20"/>
        </w:trPr>
        <w:tc>
          <w:tcPr>
            <w:tcW w:w="10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F-3</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F-4</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F-5</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F-6</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F-6</w:t>
            </w:r>
          </w:p>
        </w:tc>
        <w:tc>
          <w:tcPr>
            <w:tcW w:w="60" w:type="dxa"/>
            <w:vAlign w:val="bottom"/>
          </w:tcPr>
          <w:p>
            <w:pPr>
              <w:spacing w:after="0"/>
              <w:rPr>
                <w:sz w:val="19"/>
                <w:szCs w:val="19"/>
                <w:color w:val="auto"/>
              </w:rPr>
            </w:pPr>
          </w:p>
        </w:tc>
      </w:tr>
      <w:tr>
        <w:trPr>
          <w:trHeight w:val="682"/>
        </w:trPr>
        <w:tc>
          <w:tcPr>
            <w:tcW w:w="10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F-1</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0" w:name="page111"/>
    <w:bookmarkEnd w:id="110"/>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Fulcrum Therapeutics,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Fulcrum Therapeutics, Inc. (the Company) as of December 31, 2023 and 2022, the related consolidated statements of operations and comprehensive loss,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the years then ended, in conformity with U.S. generally accepted accounting principles.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11" w:name="page112"/>
    <w:bookmarkEnd w:id="1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210,658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242,199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207,519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257,694</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226,685</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16,725</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excluding current portion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 excluding current portion</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200,000,000 shares authorized; 61,915,367 and 52,099,211 shares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and outstanding as of December 31, 2023 and December 31, 2022, respectively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744,940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612,025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(797 )</w:t>
            </w: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(509,673 )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(412,338 )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235,193</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198,942</w:t>
            </w:r>
          </w:p>
        </w:tc>
        <w:tc>
          <w:tcPr>
            <w:tcW w:w="100" w:type="dxa"/>
            <w:vAlign w:val="bottom"/>
            <w:tcBorders>
              <w:top w:val="single" w:sz="8" w:color="CFF0FC"/>
            </w:tcBorders>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257,694</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-3316605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-3316605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-1731010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2" w:name="page113"/>
    <w:bookmarkEnd w:id="1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6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76,782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41,694</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expenses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113,469</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118,903</w:t>
            </w:r>
          </w:p>
        </w:tc>
        <w:tc>
          <w:tcPr>
            <w:tcW w:w="100" w:type="dxa"/>
            <w:vAlign w:val="bottom"/>
            <w:tcBorders>
              <w:top w:val="single" w:sz="8" w:color="CFF0FC"/>
            </w:tcBorders>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(110,664 )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(112,561 )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13,329</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Pr>
          <w:p>
            <w:pPr>
              <w:spacing w:after="0"/>
              <w:rPr>
                <w:sz w:val="20"/>
                <w:szCs w:val="20"/>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(97,335 )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(109,871 )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61,310</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7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(97,335 )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(109,871 )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(400 )</w:t>
            </w: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(96,674 )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(110,271 )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-2150745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-1508125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-1490980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3" w:name="page114"/>
    <w:bookmarkEnd w:id="1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220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20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w:t>
            </w: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8"/>
        </w:trPr>
        <w:tc>
          <w:tcPr>
            <w:tcW w:w="3720" w:type="dxa"/>
            <w:vAlign w:val="bottom"/>
          </w:tcPr>
          <w:p>
            <w:pPr>
              <w:spacing w:after="0"/>
              <w:rPr>
                <w:sz w:val="20"/>
                <w:szCs w:val="20"/>
                <w:color w:val="auto"/>
              </w:rPr>
            </w:pPr>
          </w:p>
        </w:tc>
        <w:tc>
          <w:tcPr>
            <w:tcW w:w="2200" w:type="dxa"/>
            <w:vAlign w:val="bottom"/>
            <w:tcBorders>
              <w:bottom w:val="single" w:sz="8" w:color="auto"/>
            </w:tcBorders>
            <w:gridSpan w:val="3"/>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ive</w:t>
            </w:r>
          </w:p>
        </w:tc>
        <w:tc>
          <w:tcPr>
            <w:tcW w:w="18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8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40,626,224</w:t>
            </w: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41</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514,362</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(397 )</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(302,467 )</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offering, net of issuance costs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11,029,410</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 plans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433,403</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awards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(400 )</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43"/>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(109,871 )</w:t>
            </w: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(109,871 )</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52,099,211</w:t>
            </w:r>
          </w:p>
        </w:tc>
        <w:tc>
          <w:tcPr>
            <w:tcW w:w="260" w:type="dxa"/>
            <w:vAlign w:val="bottom"/>
          </w:tcPr>
          <w:p>
            <w:pPr>
              <w:spacing w:after="0"/>
              <w:rPr>
                <w:sz w:val="20"/>
                <w:szCs w:val="20"/>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52</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612,025</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(412,338 )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public offering, net of issuance costs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9,615,384</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117,336</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 plans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182,628</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awards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(97,335 )</w:t>
            </w: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(97,335 )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61,915,367</w:t>
            </w: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62</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744,940</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(509,673 )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235,193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-1576705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-1576705</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-1576705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-1576705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-1576705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-24765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-7620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4" w:name="page115"/>
    <w:bookmarkEnd w:id="1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3"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(97,335 )</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(109,872 )</w:t>
            </w: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expense</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14,802</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13,350</w:t>
            </w: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(accretion of discounts) amortization of premiums on marketable securities</w:t>
            </w:r>
          </w:p>
        </w:tc>
        <w:tc>
          <w:tcPr>
            <w:tcW w:w="9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(5,991 )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9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9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(308 )</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(1,072 )</w:t>
            </w: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(170 )</w:t>
            </w: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9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(715 )</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(372 )</w:t>
            </w: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(1,562 )</w:t>
            </w: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9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(853 )</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(1,176 )</w:t>
            </w: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(825 )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(934 )</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(3,777 )</w:t>
            </w:r>
          </w:p>
        </w:tc>
      </w:tr>
      <w:tr>
        <w:trPr>
          <w:trHeight w:val="23"/>
        </w:trPr>
        <w:tc>
          <w:tcPr>
            <w:tcW w:w="7780" w:type="dxa"/>
            <w:vAlign w:val="bottom"/>
            <w:shd w:val="clear" w:color="auto" w:fill="CFF0F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(90,965 )</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(97,050 )</w:t>
            </w: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9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(194,892 )</w:t>
            </w: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(151,153 )</w:t>
            </w: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158,708</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165,529</w:t>
            </w: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(508 )</w:t>
            </w: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(1,963 )</w:t>
            </w:r>
          </w:p>
        </w:tc>
      </w:tr>
      <w:tr>
        <w:trPr>
          <w:trHeight w:val="23"/>
        </w:trPr>
        <w:tc>
          <w:tcPr>
            <w:tcW w:w="7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(36,692 )</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12,413</w:t>
            </w:r>
          </w:p>
        </w:tc>
        <w:tc>
          <w:tcPr>
            <w:tcW w:w="100" w:type="dxa"/>
            <w:vAlign w:val="bottom"/>
            <w:shd w:val="clear" w:color="auto" w:fill="CFF0FC"/>
          </w:tcPr>
          <w:p>
            <w:pPr>
              <w:spacing w:after="0"/>
              <w:rPr>
                <w:sz w:val="19"/>
                <w:szCs w:val="19"/>
                <w:color w:val="auto"/>
              </w:rPr>
            </w:pP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public offerings, net of issuance costs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117,345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80,804</w:t>
            </w:r>
          </w:p>
        </w:tc>
        <w:tc>
          <w:tcPr>
            <w:tcW w:w="100" w:type="dxa"/>
            <w:vAlign w:val="bottom"/>
            <w:shd w:val="clear" w:color="auto" w:fill="CFF0FC"/>
          </w:tcPr>
          <w:p>
            <w:pPr>
              <w:spacing w:after="0"/>
              <w:rPr>
                <w:sz w:val="20"/>
                <w:szCs w:val="20"/>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benefit plans, net</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100" w:type="dxa"/>
            <w:vAlign w:val="bottom"/>
          </w:tcPr>
          <w:p>
            <w:pPr>
              <w:spacing w:after="0"/>
              <w:rPr>
                <w:sz w:val="19"/>
                <w:szCs w:val="19"/>
                <w:color w:val="auto"/>
              </w:rPr>
            </w:pPr>
          </w:p>
        </w:tc>
      </w:tr>
      <w:tr>
        <w:trPr>
          <w:trHeight w:val="22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118,122</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9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(9,535 )</w:t>
            </w: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(314 )</w:t>
            </w:r>
          </w:p>
        </w:tc>
      </w:tr>
      <w:tr>
        <w:trPr>
          <w:trHeight w:val="23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9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36,190</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36,504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92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26,655</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36,190</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 liabilities</w:t>
            </w: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2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purchases unpaid at end of period</w:t>
            </w: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-2533015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-2533015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-1050290</wp:posOffset>
            </wp:positionV>
            <wp:extent cx="774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-1050290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-749935</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-749935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25,563</w:t>
            </w:r>
          </w:p>
        </w:tc>
        <w:tc>
          <w:tcPr>
            <w:tcW w:w="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35,098</w:t>
            </w:r>
          </w:p>
        </w:tc>
        <w:tc>
          <w:tcPr>
            <w:tcW w:w="100" w:type="dxa"/>
            <w:vAlign w:val="bottom"/>
            <w:shd w:val="clear" w:color="auto" w:fill="CFF0FC"/>
          </w:tcPr>
          <w:p>
            <w:pPr>
              <w:spacing w:after="0"/>
              <w:rPr>
                <w:sz w:val="19"/>
                <w:szCs w:val="19"/>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1,092</w:t>
            </w:r>
          </w:p>
        </w:tc>
        <w:tc>
          <w:tcPr>
            <w:tcW w:w="100" w:type="dxa"/>
            <w:vAlign w:val="bottom"/>
          </w:tcPr>
          <w:p>
            <w:pPr>
              <w:spacing w:after="0"/>
              <w:rPr>
                <w:sz w:val="19"/>
                <w:szCs w:val="19"/>
                <w:color w:val="auto"/>
              </w:rPr>
            </w:pPr>
          </w:p>
        </w:tc>
      </w:tr>
      <w:tr>
        <w:trPr>
          <w:trHeight w:val="26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26,655</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36,190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Fulcrum Therapeutics, Inc. (the “Company” or “Fulcrum”) was incorporated in Delaware on August 18, 2015. The Company is focused on developing small molecules to improve the lives of patients with genetically-defined rare diseases in areas of high unmet medical need.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5" w:name="page116"/>
    <w:bookmarkEnd w:id="115"/>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w:t>
      </w:r>
    </w:p>
    <w:p>
      <w:pPr>
        <w:spacing w:after="0" w:line="229"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In August 2022, the Company completed a public offering of its common stock and issued and sold 11,029,410 shares of common stock at a public offering price of $7.82 per share, resulting in net proceeds of $80.8 million after deducting underwriting discounts and commissions and offering expenses.</w:t>
      </w:r>
    </w:p>
    <w:p>
      <w:pPr>
        <w:spacing w:after="0" w:line="14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January 2023, the Company completed a public offering of its common stock and issued and sold 9,615,384 shares of common stock at a public offering price of $13.00 per share, resulting in net proceeds of $117.3 million after deducting underwriting discounts and commissions and offering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primarily funded its operations with proceeds from the sale of shares of its capital stock and from upfront payments received from the collaboration and license agreements with Acceleron Pharma Inc. (“Acceleron”), a wholly-owned subsidiary of Merck &amp; Co., Inc., (“Merck”) and MyoKardia, Inc. (“MyoKardia”), a wholly-owned subsidiary of Bristol Myers Squibb Company. As of December 31, 2023, the Company had an accumulated deficit of $509.7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subsidiary, Fulcrum Therapeutics Securities Corp., which is a Massachusetts subsidiary created to buy, sell, and hold securities. All intercompany transactions and balances have been eliminated.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116" w:name="page117"/>
    <w:bookmarkEnd w:id="116"/>
    <w:p>
      <w:pPr>
        <w:ind w:right="40"/>
        <w:spacing w:after="0" w:line="258" w:lineRule="auto"/>
        <w:rPr>
          <w:sz w:val="20"/>
          <w:szCs w:val="20"/>
          <w:color w:val="auto"/>
        </w:rPr>
      </w:pPr>
      <w:r>
        <w:rPr>
          <w:rFonts w:ascii="Times New Roman" w:cs="Times New Roman" w:eastAsia="Times New Roman" w:hAnsi="Times New Roman"/>
          <w:sz w:val="18"/>
          <w:szCs w:val="18"/>
          <w:color w:val="auto"/>
        </w:rPr>
        <w:t>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Cash equivalents are highly liquid investments that are readily convertible into cash with original maturities of three months or less when purchased. Cash equivalents include investments in money market funds that invest in U.S. Treasury obligations, and commercial paper. The Company maintains its bank accounts at major financial institutions.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cash represents cash held to secure a letter of credit associated with the Company’s facility lease for its corporate headquarters.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79"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54" w:lineRule="exact"/>
        <w:rPr>
          <w:sz w:val="20"/>
          <w:szCs w:val="20"/>
          <w:color w:val="auto"/>
        </w:rPr>
      </w:pPr>
    </w:p>
    <w:p>
      <w:pPr>
        <w:ind w:left="520" w:right="52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54" w:lineRule="exact"/>
        <w:rPr>
          <w:sz w:val="20"/>
          <w:szCs w:val="20"/>
          <w:color w:val="auto"/>
        </w:rPr>
      </w:pPr>
    </w:p>
    <w:p>
      <w:pPr>
        <w:ind w:left="520" w:right="420"/>
        <w:spacing w:after="0" w:line="282" w:lineRule="auto"/>
        <w:rPr>
          <w:sz w:val="20"/>
          <w:szCs w:val="20"/>
          <w:color w:val="auto"/>
        </w:rPr>
      </w:pPr>
      <w:r>
        <w:rPr>
          <w:rFonts w:ascii="Times New Roman" w:cs="Times New Roman" w:eastAsia="Times New Roman" w:hAnsi="Times New Roman"/>
          <w:sz w:val="18"/>
          <w:szCs w:val="18"/>
          <w:color w:val="auto"/>
        </w:rPr>
        <w:t>Level 3: Unobservable inputs based on the Company’s assessment of the assumptions that market participants would use in pricing the asset or liability.</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Company’s cash equivalents and marketable securities are carried at fair value and are classified according to the fair value hierarchy described above (Note 3). The cash equivalents and marketable securities are initially valued at the transaction price, and subsequently revalued at the end of each reporting period, utilizing third-party pricing services. The pricing services utilize industry standard valuation models, including both income and market-based approaches, to determine fair value.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300" w:firstLine="578"/>
        <w:spacing w:after="0" w:line="261" w:lineRule="auto"/>
        <w:rPr>
          <w:sz w:val="20"/>
          <w:szCs w:val="20"/>
          <w:color w:val="auto"/>
        </w:rPr>
      </w:pPr>
      <w:r>
        <w:rPr>
          <w:rFonts w:ascii="Times New Roman" w:cs="Times New Roman" w:eastAsia="Times New Roman" w:hAnsi="Times New Roman"/>
          <w:sz w:val="18"/>
          <w:szCs w:val="18"/>
          <w:color w:val="auto"/>
        </w:rPr>
        <w:t>The Company classifies securities with a remaining maturity when purchased of greater than three months as marketable securities. As of December 31, 2023, the Company’s marketable securities consisted of investments in U.S. Treasury securities, government agency securities, corporate bonds, and commercial paper. Marketable securities are classified as current assets on the consolidated balance sheets if the marketable securities are available to be converted into cash to fund current operations.</w:t>
      </w:r>
    </w:p>
    <w:p>
      <w:pPr>
        <w:spacing w:after="0" w:line="180" w:lineRule="exact"/>
        <w:rPr>
          <w:sz w:val="20"/>
          <w:szCs w:val="20"/>
          <w:color w:val="auto"/>
        </w:rPr>
      </w:pPr>
    </w:p>
    <w:p>
      <w:pPr>
        <w:ind w:right="140" w:firstLine="578"/>
        <w:spacing w:after="0" w:line="258" w:lineRule="auto"/>
        <w:rPr>
          <w:sz w:val="20"/>
          <w:szCs w:val="20"/>
          <w:color w:val="auto"/>
        </w:rPr>
      </w:pPr>
      <w:r>
        <w:rPr>
          <w:rFonts w:ascii="Times New Roman" w:cs="Times New Roman" w:eastAsia="Times New Roman" w:hAnsi="Times New Roman"/>
          <w:sz w:val="18"/>
          <w:szCs w:val="18"/>
          <w:color w:val="auto"/>
        </w:rPr>
        <w:t>Marketable securities classified as available-for-sale are carried at fair value with the unrealized gains and losses included in accumulated other comprehensive loss, which is a component of stockholders’ equity, until such gains and losses are realized. Any premium arising at purchase is amortized to interest expense (a component of other income, net) over the period of the earliest call date, and any discount arising at purchase is accreted to interest income (a component of other income, net) over the life of the instrument. Realized gains and losses are determined using the specific identification method and are included in other income, net.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7" w:name="page118"/>
    <w:bookmarkEnd w:id="117"/>
    <w:p>
      <w:pPr>
        <w:ind w:right="80" w:firstLine="578"/>
        <w:spacing w:after="0" w:line="266" w:lineRule="auto"/>
        <w:rPr>
          <w:sz w:val="20"/>
          <w:szCs w:val="20"/>
          <w:color w:val="auto"/>
        </w:rPr>
      </w:pPr>
      <w:r>
        <w:rPr>
          <w:rFonts w:ascii="Times New Roman" w:cs="Times New Roman" w:eastAsia="Times New Roman" w:hAnsi="Times New Roman"/>
          <w:sz w:val="18"/>
          <w:szCs w:val="18"/>
          <w:color w:val="auto"/>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 (in years)</w:t>
            </w:r>
          </w:p>
        </w:tc>
      </w:tr>
      <w:tr>
        <w:trPr>
          <w:trHeight w:val="23"/>
        </w:trPr>
        <w:tc>
          <w:tcPr>
            <w:tcW w:w="274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1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5</w:t>
            </w:r>
          </w:p>
        </w:tc>
      </w:tr>
      <w:tr>
        <w:trPr>
          <w:trHeight w:val="23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1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4</w:t>
            </w:r>
          </w:p>
        </w:tc>
      </w:tr>
      <w:tr>
        <w:trPr>
          <w:trHeight w:val="247"/>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1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51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3</w:t>
            </w:r>
          </w:p>
        </w:tc>
      </w:tr>
      <w:tr>
        <w:trPr>
          <w:trHeight w:val="247"/>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1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Shorter of useful life or remaining lease term</w:t>
            </w:r>
          </w:p>
        </w:tc>
      </w:tr>
    </w:tbl>
    <w:p>
      <w:pPr>
        <w:spacing w:after="0" w:line="22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Construction-in-progress is stated at cost, which includes direct costs attributable to the setup or construction of the related asset. Depreciation expense is not recorded on construction-in-progress until 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2023 and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2022, the Company adopted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For contracts entered into on or after the effective date, at the inception of a contract, the Company determines whether the arrangement is or contains a lease based on the unique facts and circumstances present in the arrangement. Leases with a term greater than twelve months are recognized on the balance sheet as right-of-use assets and current and non-current lease liabilities, as applicable. The Company does not recognize leases with terms of twelve months or less on the balance sheet. Options to renew a lease are not included in the Company’s initial lease term assessment unless there is reasonable certainty that the Company will renew the lease.</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9" w:right="419" w:bottom="1440" w:gutter="0" w:footer="0" w:header="0"/>
        </w:sectPr>
      </w:pPr>
    </w:p>
    <w:bookmarkStart w:id="118" w:name="page119"/>
    <w:bookmarkEnd w:id="118"/>
    <w:p>
      <w:pPr>
        <w:ind w:left="520"/>
        <w:spacing w:after="0"/>
        <w:rPr>
          <w:sz w:val="20"/>
          <w:szCs w:val="20"/>
          <w:color w:val="auto"/>
        </w:rPr>
      </w:pPr>
      <w:r>
        <w:rPr>
          <w:rFonts w:ascii="Times New Roman" w:cs="Times New Roman" w:eastAsia="Times New Roman" w:hAnsi="Times New Roman"/>
          <w:sz w:val="18"/>
          <w:szCs w:val="18"/>
          <w:color w:val="auto"/>
        </w:rPr>
        <w:t>Leases are classified as either finance leases or operating leases. A lease is classified as a finance lease if any one of the following criteria are met:</w:t>
      </w:r>
    </w:p>
    <w:p>
      <w:pPr>
        <w:spacing w:after="0" w:line="27" w:lineRule="exact"/>
        <w:rPr>
          <w:sz w:val="20"/>
          <w:szCs w:val="20"/>
          <w:color w:val="auto"/>
        </w:rPr>
      </w:pPr>
    </w:p>
    <w:p>
      <w:pPr>
        <w:ind w:right="20" w:firstLine="8"/>
        <w:spacing w:after="0" w:line="255" w:lineRule="auto"/>
        <w:tabs>
          <w:tab w:leader="none" w:pos="2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transfers ownership of the asset by the end of the lease term, (ii) the lease contains an option to purchase the asset that is reasonably certain to be exercised, (iii) the lease term is for a major part of the remaining useful life of the asset or (iv) the present value of the lease payments equals or exceeds substantially all of the fair value of the asset. A lease is classified as an operating lease if it does not meet any of these criteria.</w:t>
      </w:r>
    </w:p>
    <w:p>
      <w:pPr>
        <w:spacing w:after="0" w:line="186"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7"/>
          <w:szCs w:val="17"/>
          <w:color w:val="auto"/>
        </w:rPr>
        <w:t>For all operating leases, a lease liability and corresponding right-of-use asset are recognized. The lease liability represents the present value of the lease payments over the expected remaining lease term, discounted using the interest rate implicit in the lease or, if that rate cannot be readily determined, the Company’s incremental borrowing rate, which reflects the fixed rate at which the Company could borrow on a collateralized basis the amount of the lease payments in the same currency, for a similar term, in a similar economic environment. To estimate the Company’s incremental borrowing rate, a credit rating applicable to the Company is estimated using a synthetic credit rating and yield curve analysis, since the Company does not have a rating agency-based credit rating. The right-of-use asset represents the right to use the leased asset for the lease term. The right-of-use asset is initially measured at cost, which primarily comprises the initial amount of the lease liability, plus any initial direct costs incurred if any, less any lease incentives received.</w:t>
      </w:r>
    </w:p>
    <w:p>
      <w:pPr>
        <w:spacing w:after="0" w:line="17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comprise (i) the fixed noncancelable lease payments, (ii) payments for optional renewal periods where it is reasonably certain the renewal period will be exercised, and (iii) payments for early termination options unless it is reasonably certain the lease will not be terminated early. Lease expense for operating leases consists of the lease payments plus any initial direct costs, and is recognized on a straight-line basis over the lease term. Included in lease expense are any variable lease payments incurred in the period that are not included in the initial lease liability and lease payments incurred in the period for any leases with an initial term of 12 months or less. The Company accounts for lease and non-lease components together as a single lease component.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 entity recognizes revenue when its customer obtains control of promised goods or services, in an amount that reflects the consideration that the entity expects to receive in exchange for those goods or services. In applying ASC 606, the Company performs the following five steps:</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1) Identify the contract with the customer</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contract with a customer exists when (i) the Company enters into an enforceable contract with a customer that defines each party’s rights regarding the goods or services to be transferred and identifies the related payment terms, (ii) the contract has commercial substance and (iii) the Company determines that collection of substantially all consideration for goods and services that are transferred is probable based on the customer’s intent and ability to pay the promised consideration.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 Identify the promises and performance obligations in the contract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readily available resources, and are distinct in the context of the contract, whereby the transfer of the good or service is separately identifiable from other promises in the contract. To the extent a contract includes multiple promised goods and services, the Company must apply judgment to determine whether promised goods and services are capable of being distinct and distinct in the context of the contract. In assessing whether a promised good or service is distinct, the Company considers factors such as the research, manufacturing and commercialization capabilities of the customer and the availability of the associated expertise in the marketplace. The Company also considers the intended benefit of the contract in assessing whether a promised good or service is separately identifiable from other promises in the contract. If these criteria are not met, the promised goods and services are accounted for as a combined performance obligation.</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3) Determine the transaction price</w:t>
      </w:r>
    </w:p>
    <w:p>
      <w:pPr>
        <w:spacing w:after="0" w:line="119"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goods and services to the customer.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119" w:name="page120"/>
    <w:bookmarkEnd w:id="119"/>
    <w:p>
      <w:pPr>
        <w:spacing w:after="0" w:line="258" w:lineRule="auto"/>
        <w:rPr>
          <w:sz w:val="20"/>
          <w:szCs w:val="20"/>
          <w:color w:val="auto"/>
        </w:rPr>
      </w:pPr>
      <w:r>
        <w:rPr>
          <w:rFonts w:ascii="Times New Roman" w:cs="Times New Roman" w:eastAsia="Times New Roman" w:hAnsi="Times New Roman"/>
          <w:sz w:val="18"/>
          <w:szCs w:val="18"/>
          <w:color w:val="auto"/>
        </w:rPr>
        <w:t>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the estimate of the overall transaction price. Any such adjustments are recorded on a cumulative catch-up basis in the period of adjustment. Changes to the constraint of variable consideration can have a material effect on the amount of revenue recognized in the period.</w:t>
      </w:r>
    </w:p>
    <w:p>
      <w:pPr>
        <w:spacing w:after="0" w:line="18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an arrangement includes research and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based on the occurrence of events not within the Company’s control, such as regulatory approvals, are generally not considered probable of being achieved until the underlying events occur or the associated approvals are received.</w:t>
      </w:r>
    </w:p>
    <w:p>
      <w:pPr>
        <w:spacing w:after="0" w:line="183"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determining the transaction price, the Company adjusts consideration for the effects of the time value of money if the timing of payments provides the Company with a significant benefit of financing. The Company assesses its revenue generating arrangements in order to determine whether a significant financing component exists.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4) Allocate the transaction price to the performance obligations in the contract</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5) Recognize revenue when or as the Company satisfies a performance obligation</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may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18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For revenue that the Company recognizes over time, the Company assesses whether an input or an output method is the appropriate measure of progress associated with the satisfaction of the performance obligation. In determining the appropriate method for measuring progress, the Company considers the nature of the good or service that it has promised to transfer to the customer. Output methods recognize revenue on the basis of direct measurements of the value to the customer of the goods or services transferred to date relative to the remaining goods or services promised under the contract. Input methods recognize revenue on the basis of the entity’s efforts or inputs to the satisfaction of a performance obligation. Estimates inherent to the measurement of progress associated with the satisfaction of performance obligations based on an input method include the total estimated costs to satisfy the associated performance obligation.</w:t>
      </w:r>
    </w:p>
    <w:p>
      <w:pPr>
        <w:spacing w:after="0" w:line="18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See Note 10, “Collaboration and License Agreements”, for further information on the application of ASC 606 to the collaboration and license agreement with Acceleron (the “Acceleron Collaboration Agreement”) and the collaboration and license agreement with MyoKardia (the “MyoKardia Collaboration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0" w:name="page121"/>
    <w:bookmarkEnd w:id="120"/>
    <w:p>
      <w:pPr>
        <w:ind w:right="40"/>
        <w:spacing w:after="0" w:line="261" w:lineRule="auto"/>
        <w:rPr>
          <w:sz w:val="20"/>
          <w:szCs w:val="20"/>
          <w:color w:val="auto"/>
        </w:rPr>
      </w:pPr>
      <w:r>
        <w:rPr>
          <w:rFonts w:ascii="Times New Roman" w:cs="Times New Roman" w:eastAsia="Times New Roman" w:hAnsi="Times New Roman"/>
          <w:sz w:val="18"/>
          <w:szCs w:val="18"/>
          <w:color w:val="auto"/>
        </w:rPr>
        <w:t>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Contract Costs and Accruals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research institutions and other companies. The Company records accruals for estimated ongoing research costs that have not yet been invoiced. When evaluating the adequacy of the accrued liabilities, the Company analyzes progress of the studies or trials or the extent of services provided during the reporting periods, including invoices received and contracted costs. Significant judgments and estimates are made in determining the accrued balances at each reporting period. Actual results could differ from the Company’s estimates.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Patent-Related Costs</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Patent-related costs incurred in connection with patent applications are expensed as incurred due to the uncertainty about the recovery of the expenditure. Amounts incurred are classified as general and administrative expenses in the accompanying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based on the fair value on the date of grant. Compensation expense associated with those awards is recognized over the requisite service period, which is generally the vesting period of the respective award. Generally, the Company issues awards with only service-based vesting conditions and records the expense for these awards using the straight-line method.</w:t>
      </w:r>
    </w:p>
    <w:p>
      <w:pPr>
        <w:spacing w:after="0" w:line="176"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 as the Company has never paid dividends and has no current plans to pay any dividends on common stock.</w:t>
      </w:r>
    </w:p>
    <w:p>
      <w:pPr>
        <w:spacing w:after="0" w:line="173"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accounts for forfeitures as they occur. The Company classifies stock-based compensation expense in its statements of operations in the same manner in which the award recipient’s payroll or service costs are classified.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records costs and liabilities associated with exit and disposal activities in accordance with Accounting Standards Codification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Such costs are based on estimates of fair value in the period liabilities are incurred. The Company evaluates and adjusts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costs as appropriate for changes in circumstances as additional information becomes available.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For the years ended December 31, 2023 and 2022, comprehensive loss consists of net loss and unrealized losses on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Basic net income (loss) per share is computed by dividing the net income (loss) by the weighted average number of shares of common stock outstanding for the period. Diluted net income (loss) per share is computed by dividing net income (loss) by the weighted average number of shares of common stock outstanding for the period, including potential dilutive common shares. For purpose of this calculation, outstanding options to purchase common stock and unvested restricted stock awards are considered potential dilutive common shares. The Company has generated a net loss in all periods presented, and therefore the basic and diluted net loss per share are the same as the inclusion of the potentially dilutive securities would be anti-dilutive.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U.S. Treasury securities, and commercial paper. The Company’s marketable securities consist of U.S. Treasury securities,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financial information is available for evaluation by the chief operating decision-maker in making decisions regarding resource allocation and assessing performance. The Company and the Company’s chief operating decision-maker, the Company’s interim chief executive officer, view the Company’s operations and manage its business as a single operating segment.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(the “JOBS Act”), and may take advantage of certain exemptions from various reporting requirements that are applicable to other public companies that are not EGCs, including that an EGC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for ASUs. The Company may take advantage of these exemptions up until the last day of the fiscal year following the fifth anniversary of its initial public offering or such earlier time that it is no longer an EGC.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Pronouncements—Adopted</w:t>
      </w:r>
    </w:p>
    <w:p>
      <w:pPr>
        <w:spacing w:after="0" w:line="2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standard requires that credit losses be reported using an expected losses model rather than the incurred losses model that is currently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establishes additional disclosures related to credit risks. For available-for-sale debt securities with unrealized losses, this standard requires allowances to be recorded instead of reducing the amortized cost of the investment. The Company adopted this guidance effective January 1, 2023. The adoption of this standard did not have a material impact on the Company’s consolidated financial position and results of operations.</w:t>
      </w:r>
    </w:p>
    <w:p>
      <w:pPr>
        <w:spacing w:after="0" w:line="183"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Taxes-Simplifying the Accounting for Income Taxes</w:t>
      </w:r>
      <w:r>
        <w:rPr>
          <w:rFonts w:ascii="Times New Roman" w:cs="Times New Roman" w:eastAsia="Times New Roman" w:hAnsi="Times New Roman"/>
          <w:sz w:val="18"/>
          <w:szCs w:val="18"/>
          <w:color w:val="auto"/>
        </w:rPr>
        <w:t>.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Company adopted this guidance effective January 1, 2023. The adoption of this standard did not have a material impact on the Company’s consolidated financial position and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fair value hierarchy classification of such fair values as of December 31, 2023 and 2022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65,107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65,107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113,447</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113,447</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236,221</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210,658</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5"/>
        </w:trPr>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25,174</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25,174</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96,672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96,672</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77"/>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202,921</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25,174</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177,747</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-2099310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-2099310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-2099310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years ended December 31, 2023 and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and marketable securities consisted of the following as of December 31, 2023 and December 31, 2022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97"/>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113,492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210,794</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(267 )</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236,357</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97"/>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97,195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(526 )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168,616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(796 )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203,718</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202,921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-2614295</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-2614295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-2614295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-2614295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-1285240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-1285240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-1285240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-351155</wp:posOffset>
            </wp:positionV>
            <wp:extent cx="768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-351155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-351155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-25400</wp:posOffset>
            </wp:positionV>
            <wp:extent cx="768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768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There were no sales of marketable securities during the year ended December 31, 2023. As of December 31, 2023, the held 46 debt securities that were in an unrealized loss position for less than 12 months with an aggregate fair value of $130.2 million. As of December 31, 2023, the Company held 18 debt securities that were in an unrealized loss position for greater than 12 months with an aggregate fair value of $33.8 million. As of December 31, 2023, the aggregate fair value of marketable securities with a remaining contractual maturity of greater than one year was $25.1 million.</w:t>
      </w:r>
    </w:p>
    <w:p>
      <w:pPr>
        <w:spacing w:after="0" w:line="1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the intent and ability to hold its debt securities until recovery. As a result, the Company did not record any charges for credit-related impairments for its marketable securities for the year ended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6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r>
      <w:tr>
        <w:trPr>
          <w:trHeight w:val="241"/>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17,976</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(12,760 )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(10,662 )</w:t>
            </w:r>
          </w:p>
        </w:tc>
      </w:tr>
      <w:tr>
        <w:trPr>
          <w:trHeight w:val="277"/>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and 2022 was $2.2 million and $2.4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Additional Balance Sheet Detail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4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11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Prepaid sign-on bonuses subject to vesting provisions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receivable</w:t>
            </w: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11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80" w:type="dxa"/>
            <w:vAlign w:val="bottom"/>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4"/>
                <w:szCs w:val="24"/>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-1653540</wp:posOffset>
            </wp:positionV>
            <wp:extent cx="514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-1653540</wp:posOffset>
            </wp:positionV>
            <wp:extent cx="431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Stock</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5,000,000 shares of undesignated preferred stock were authorized. No shares of preferred stock were issued or outstanding as of December 31, 2023 and 2022.</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and 2022, 200,000,000 shares of common stock, $0.001 par value per share, were authorized.</w:t>
      </w:r>
    </w:p>
    <w:p>
      <w:pPr>
        <w:spacing w:after="0" w:line="22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5" w:name="page126"/>
    <w:bookmarkEnd w:id="125"/>
    <w:p>
      <w:pPr>
        <w:ind w:left="520"/>
        <w:spacing w:after="0"/>
        <w:rPr>
          <w:sz w:val="20"/>
          <w:szCs w:val="20"/>
          <w:color w:val="auto"/>
        </w:rPr>
      </w:pPr>
      <w:r>
        <w:rPr>
          <w:rFonts w:ascii="Times New Roman" w:cs="Times New Roman" w:eastAsia="Times New Roman" w:hAnsi="Times New Roman"/>
          <w:sz w:val="18"/>
          <w:szCs w:val="18"/>
          <w:color w:val="auto"/>
        </w:rPr>
        <w:t>As of December 31, 2023 and 2022, the Company has reserved for future issuance the following number of shares of common stock:</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11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1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9,972,217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6,504,080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 Stock Incentive Plan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3,157,537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1,941,054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 Employee Stock</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1,346,125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1,061,279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2022 Inducement Stock</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837,877</w:t>
            </w:r>
          </w:p>
        </w:tc>
        <w:tc>
          <w:tcPr>
            <w:tcW w:w="180" w:type="dxa"/>
            <w:vAlign w:val="bottom"/>
            <w:vMerge w:val="restart"/>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329,880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vMerge w:val="continue"/>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15,388,773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9,913,011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December 31, 2023 and 2022, no shares remained available for future issuance under the 2016 Plan. Any options or other awards outstanding under the 2016 Plan remain outstanding and effective.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annually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As of December 31, 2023, there were 3,157,537 shares available for future issuance under the 2019 Plan. On January 1, 2024, the number of shares reserved for issuance under the 2019 Plan was increased by 2,000,000 shares.</w:t>
      </w:r>
    </w:p>
    <w:p>
      <w:pPr>
        <w:spacing w:after="0" w:line="19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Inducement Stock Incentive Plan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of shares reserved for issuance by 1,400,000 shares. As of December 31, 2023, there were 837,877 shares available for future issuance under the Inducement Plan.</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126" w:name="page127"/>
    <w:bookmarkEnd w:id="12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Stock options granted by the Company typically vest over a four 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year ended December 31, 2023:</w:t>
      </w:r>
    </w:p>
    <w:p>
      <w:pPr>
        <w:spacing w:after="0" w:line="200" w:lineRule="exact"/>
        <w:rPr>
          <w:sz w:val="20"/>
          <w:szCs w:val="20"/>
          <w:color w:val="auto"/>
        </w:rPr>
      </w:pPr>
    </w:p>
    <w:p>
      <w:pPr>
        <w:spacing w:after="0" w:line="22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3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3620" w:type="dxa"/>
            <w:vAlign w:val="bottom"/>
          </w:tcPr>
          <w:p>
            <w:pPr>
              <w:spacing w:after="0"/>
              <w:rPr>
                <w:sz w:val="16"/>
                <w:szCs w:val="16"/>
                <w:color w:val="auto"/>
              </w:rPr>
            </w:pPr>
          </w:p>
        </w:tc>
        <w:tc>
          <w:tcPr>
            <w:tcW w:w="11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6,504,080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1,885,160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6,089,933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(38,903 )</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(2,582,893 )</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9,972,217</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4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15,114,074</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3,225,146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-205105</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-187960</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both"/>
        <w:ind w:right="40" w:firstLine="509"/>
        <w:spacing w:after="0" w:line="312" w:lineRule="auto"/>
        <w:rPr>
          <w:sz w:val="20"/>
          <w:szCs w:val="20"/>
          <w:color w:val="auto"/>
        </w:rPr>
      </w:pPr>
      <w:r>
        <w:rPr>
          <w:rFonts w:ascii="Times New Roman" w:cs="Times New Roman" w:eastAsia="Times New Roman" w:hAnsi="Times New Roman"/>
          <w:sz w:val="17"/>
          <w:szCs w:val="17"/>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4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in the years ended December 31, 2023 and 2022 was $4.64 per share and $7.62 per share, respectively. The total intrinsic value of stock options exercised in the years ended December 31, 2023 and 2022 was $0.2 million and $2.6 million, respectively.</w:t>
      </w:r>
    </w:p>
    <w:p>
      <w:pPr>
        <w:spacing w:after="0" w:line="17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years ended December 31, 2023 and 2022 has been calculated on the date of grant using the following weighted average assumptions: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880" w:type="dxa"/>
            <w:vAlign w:val="bottom"/>
            <w:gridSpan w:val="3"/>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8"/>
        </w:trPr>
        <w:tc>
          <w:tcPr>
            <w:tcW w:w="15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880" w:type="dxa"/>
            <w:vAlign w:val="bottom"/>
            <w:gridSpan w:val="3"/>
          </w:tcPr>
          <w:p>
            <w:pPr>
              <w:jc w:val="center"/>
              <w:ind w:right="16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87"/>
        </w:trPr>
        <w:tc>
          <w:tcPr>
            <w:tcW w:w="15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40" w:type="dxa"/>
            <w:vAlign w:val="bottom"/>
            <w:gridSpan w:val="2"/>
          </w:tcPr>
          <w:p>
            <w:pPr>
              <w:spacing w:after="0"/>
              <w:rPr>
                <w:sz w:val="16"/>
                <w:szCs w:val="16"/>
                <w:color w:val="auto"/>
              </w:rPr>
            </w:pPr>
          </w:p>
        </w:tc>
      </w:tr>
      <w:tr>
        <w:trPr>
          <w:trHeight w:val="228"/>
        </w:trPr>
        <w:tc>
          <w:tcPr>
            <w:tcW w:w="158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2880" w:type="dxa"/>
            <w:vAlign w:val="bottom"/>
            <w:gridSpan w:val="3"/>
          </w:tcPr>
          <w:p>
            <w:pPr>
              <w:jc w:val="right"/>
              <w:ind w:right="1480"/>
              <w:spacing w:after="0"/>
              <w:rPr>
                <w:sz w:val="20"/>
                <w:szCs w:val="20"/>
                <w:color w:val="auto"/>
              </w:rPr>
            </w:pPr>
            <w:r>
              <w:rPr>
                <w:rFonts w:ascii="Times New Roman" w:cs="Times New Roman" w:eastAsia="Times New Roman" w:hAnsi="Times New Roman"/>
                <w:sz w:val="18"/>
                <w:szCs w:val="18"/>
                <w:color w:val="auto"/>
              </w:rPr>
              <w:t>2.7 %</w:t>
            </w:r>
          </w:p>
        </w:tc>
      </w:tr>
      <w:tr>
        <w:trPr>
          <w:trHeight w:val="245"/>
        </w:trPr>
        <w:tc>
          <w:tcPr>
            <w:tcW w:w="1580" w:type="dxa"/>
            <w:vAlign w:val="bottom"/>
          </w:tcPr>
          <w:p>
            <w:pPr>
              <w:spacing w:after="0"/>
              <w:rPr>
                <w:sz w:val="21"/>
                <w:szCs w:val="21"/>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2880" w:type="dxa"/>
            <w:vAlign w:val="bottom"/>
            <w:gridSpan w:val="3"/>
          </w:tcPr>
          <w:p>
            <w:pPr>
              <w:jc w:val="right"/>
              <w:ind w:right="1480"/>
              <w:spacing w:after="0"/>
              <w:rPr>
                <w:sz w:val="20"/>
                <w:szCs w:val="20"/>
                <w:color w:val="auto"/>
              </w:rPr>
            </w:pPr>
            <w:r>
              <w:rPr>
                <w:rFonts w:ascii="Times New Roman" w:cs="Times New Roman" w:eastAsia="Times New Roman" w:hAnsi="Times New Roman"/>
                <w:sz w:val="18"/>
                <w:szCs w:val="18"/>
                <w:color w:val="auto"/>
              </w:rPr>
              <w:t>0.0 %</w:t>
            </w:r>
          </w:p>
        </w:tc>
      </w:tr>
      <w:tr>
        <w:trPr>
          <w:trHeight w:val="250"/>
        </w:trPr>
        <w:tc>
          <w:tcPr>
            <w:tcW w:w="1580" w:type="dxa"/>
            <w:vAlign w:val="bottom"/>
          </w:tcPr>
          <w:p>
            <w:pPr>
              <w:spacing w:after="0"/>
              <w:rPr>
                <w:sz w:val="21"/>
                <w:szCs w:val="21"/>
                <w:color w:val="auto"/>
              </w:rPr>
            </w:pPr>
          </w:p>
        </w:tc>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21"/>
                <w:szCs w:val="21"/>
                <w:color w:val="auto"/>
              </w:rPr>
            </w:pPr>
          </w:p>
        </w:tc>
        <w:tc>
          <w:tcPr>
            <w:tcW w:w="1560" w:type="dxa"/>
            <w:vAlign w:val="bottom"/>
          </w:tcPr>
          <w:p>
            <w:pPr>
              <w:spacing w:after="0"/>
              <w:rPr>
                <w:sz w:val="21"/>
                <w:szCs w:val="21"/>
                <w:color w:val="auto"/>
              </w:rPr>
            </w:pPr>
          </w:p>
        </w:tc>
      </w:tr>
      <w:tr>
        <w:trPr>
          <w:trHeight w:val="234"/>
        </w:trPr>
        <w:tc>
          <w:tcPr>
            <w:tcW w:w="158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98.6 %</w:t>
            </w:r>
          </w:p>
        </w:tc>
        <w:tc>
          <w:tcPr>
            <w:tcW w:w="2880" w:type="dxa"/>
            <w:vAlign w:val="bottom"/>
            <w:gridSpan w:val="3"/>
          </w:tcPr>
          <w:p>
            <w:pPr>
              <w:jc w:val="right"/>
              <w:ind w:right="1480"/>
              <w:spacing w:after="0"/>
              <w:rPr>
                <w:sz w:val="20"/>
                <w:szCs w:val="20"/>
                <w:color w:val="auto"/>
              </w:rPr>
            </w:pPr>
            <w:r>
              <w:rPr>
                <w:rFonts w:ascii="Times New Roman" w:cs="Times New Roman" w:eastAsia="Times New Roman" w:hAnsi="Times New Roman"/>
                <w:sz w:val="18"/>
                <w:szCs w:val="18"/>
                <w:color w:val="auto"/>
              </w:rPr>
              <w:t>90.0 %</w:t>
            </w:r>
          </w:p>
        </w:tc>
      </w:tr>
      <w:tr>
        <w:trPr>
          <w:trHeight w:val="657"/>
        </w:trPr>
        <w:tc>
          <w:tcPr>
            <w:tcW w:w="15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740" w:type="dxa"/>
            <w:vAlign w:val="bottom"/>
            <w:gridSpan w:val="3"/>
          </w:tcPr>
          <w:p>
            <w:pPr>
              <w:jc w:val="right"/>
              <w:ind w:right="2560"/>
              <w:spacing w:after="0"/>
              <w:rPr>
                <w:sz w:val="20"/>
                <w:szCs w:val="20"/>
                <w:color w:val="auto"/>
              </w:rPr>
            </w:pPr>
            <w:r>
              <w:rPr>
                <w:rFonts w:ascii="Times New Roman" w:cs="Times New Roman" w:eastAsia="Times New Roman" w:hAnsi="Times New Roman"/>
                <w:sz w:val="18"/>
                <w:szCs w:val="18"/>
                <w:color w:val="auto"/>
              </w:rPr>
              <w:t>F-18</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763"/>
        </w:trPr>
        <w:tc>
          <w:tcPr>
            <w:tcW w:w="15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-1525270</wp:posOffset>
            </wp:positionV>
            <wp:extent cx="513461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3461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 has also granted restricted stock units. The shares of common stock underlying restricted stock units typically vest over a four-year period. The shares of common stock are recorded in stockholders’ equity as they vest.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 during the year ended December 31, 2023:</w:t>
      </w:r>
    </w:p>
    <w:p>
      <w:pPr>
        <w:spacing w:after="0" w:line="24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90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9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7"/>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76,718</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(18,144 )</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(20,602 )</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75,017</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-25400</wp:posOffset>
            </wp:positionV>
            <wp:extent cx="431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431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431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431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all restricted stock units and restricted stock awards that vested during the years ended December 31, 2023 and 2022 was $0.1 million and $0.2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total compensation cost recognized in the statements of operations and comprehensive loss associated with all stock-based compensation awards granted by the Company is as follows (in thousands):</w:t>
      </w:r>
    </w:p>
    <w:p>
      <w:pPr>
        <w:spacing w:after="0" w:line="196"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80" w:type="dxa"/>
            <w:vAlign w:val="bottom"/>
          </w:tcPr>
          <w:p>
            <w:pPr>
              <w:spacing w:after="0"/>
              <w:rPr>
                <w:sz w:val="20"/>
                <w:szCs w:val="20"/>
                <w:color w:val="auto"/>
              </w:rPr>
            </w:pPr>
          </w:p>
        </w:tc>
      </w:tr>
      <w:tr>
        <w:trPr>
          <w:trHeight w:val="277"/>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an aggregate of $30.4 million of unrecognized stock-based compensation expense, which is expected to be recognized over a weighted average period of 2.91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As of December 31, 2023, there were 1,346,125 shares available for future issuance under the ESPP. On January 1, 2024, the number of shares reserved for issuance under the 2019 ESPP was increased by 428,571 shares.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10.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Acceleron Collaboration Agreement</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83"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On June 3, 2022, Acceleron notified the Company of its termination of the Acceleron Collaboration Agreement for convenience, which became effective 120 days after the Company's receipt of the notice, or October 1, 2022.</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no collaboration revenue associated with the Acceleron Collaboration Agreement. During the year ended December 31, 2022, the Company recognized $1.0 million of collaboration revenue associated with the Acceleron Collaboration Agreement, which includes $0.6 million of revenue recognized that was included in deferred revenue as of December 31, 2021. As of December 31, 2023 and December 31, 2022, the Company recorded no deferred revenue, unbilled accounts receivable, or accounts receivable associated with the Acceleron Collaboration Agreement. As of December 31, 2023 and December 31, 2022, the Company had received $4.9 million of cost reimbursement payments under the Acceleron Collaboration Agreement and $2.0 million associated with the achievement of specified research milestones.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MyoKardia Collaboration Agreement</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July 20, 2020, the Company entered into the MyoKardia Collaboration Agreement,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184"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Under the MyoKardia Collaboration Agreement, MyoKardia made a $10.0 million upfront payment and a $2.5 million payment as prepaid research funding to the Company in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29" w:name="page130"/>
    <w:bookmarkEnd w:id="129"/>
    <w:p>
      <w:pPr>
        <w:ind w:right="40"/>
        <w:spacing w:after="0" w:line="258" w:lineRule="auto"/>
        <w:rPr>
          <w:sz w:val="20"/>
          <w:szCs w:val="20"/>
          <w:color w:val="auto"/>
        </w:rPr>
      </w:pPr>
      <w:r>
        <w:rPr>
          <w:rFonts w:ascii="Times New Roman" w:cs="Times New Roman" w:eastAsia="Times New Roman" w:hAnsi="Times New Roman"/>
          <w:sz w:val="18"/>
          <w:szCs w:val="18"/>
          <w:color w:val="auto"/>
        </w:rPr>
        <w:t>payments of up to $298.5 million in the aggregate per target for certain Identified Targets, and of up to $150.0 million in the aggregate per target for certain other Identified Targets. To date, the Company has achieved a $2.5 million specified preclinical milestone.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Identification of the Contract</w:t>
      </w:r>
    </w:p>
    <w:p>
      <w:pPr>
        <w:spacing w:after="0" w:line="11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assessed the MyoKardia Collaboration Agreement and concluded that it represents a contract with a customer within the scope of ASC 606.</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Identification of the Promises and Performance Obligations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18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0" w:name="page131"/>
    <w:bookmarkEnd w:id="130"/>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received a non-refundable upfront payment of $10.0 million, which the Company included in the transaction price. In December 2021, the Company achieved a $2.5 million specified preclinical milestone associated with the MyoKardia Collaboration Agreement, which was previously constrained due to the significant uncertainty regarding whether such preclinical milestone would be achieved. The Company included this amount in the transaction price as of December 31, 2021. Based on the continued uncertainty associated with the achievement of any of the remaining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8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54" w:lineRule="exact"/>
        <w:rPr>
          <w:sz w:val="20"/>
          <w:szCs w:val="20"/>
          <w:color w:val="auto"/>
        </w:rPr>
      </w:pPr>
    </w:p>
    <w:p>
      <w:pPr>
        <w:jc w:val="both"/>
        <w:ind w:right="820" w:firstLine="509"/>
        <w:spacing w:after="0" w:line="266" w:lineRule="auto"/>
        <w:rPr>
          <w:sz w:val="20"/>
          <w:szCs w:val="20"/>
          <w:color w:val="auto"/>
        </w:rPr>
      </w:pPr>
      <w:r>
        <w:rPr>
          <w:rFonts w:ascii="Times New Roman" w:cs="Times New Roman" w:eastAsia="Times New Roman" w:hAnsi="Times New Roman"/>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year ended December 31, 2023.</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Performance Obligations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Recognition of Revenue</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w:t>
      </w:r>
    </w:p>
    <w:p>
      <w:pPr>
        <w:spacing w:after="0" w:line="79"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$2.8 million of collaboration revenue associated with the MyoKardia Collaboration Agreement, which includes $0.9 million of revenue recognized that was included in deferred revenue as of December 31, 2022. During the year ended December 31, 2022, the Company recognized $5.3 million of collaboration revenue associated with the MyoKardia Collaboration Agreement, which includes $3.2 million of revenue recognized that was included in deferred revenue as of December 31, 2021. As of December 31, 2023, the Company recorded no deferred revenue associated with the MyoKardia Collaboration Agreement. As of December 31, 2022, the Company recorded deferred revenue of $0.9 million associated with the MyoKardia Collaboration Agreement,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December 31, 2023 and 2022. As of December 31, 2023, the Company had received $7.2 million of cost reimbursement payments under the MyoKardia Collaboration Agreement and $2.5 million associated with the achievement of a preclinical milestone. As of December 31, 2022, the Company had received $5.6 million of cost reimbursement payments under the MyoKardia Collaboration Agreement and $2.5 million associated with the achievement of a preclinical milestone. As of December 31, 2023, the Company recorded unbilled accounts receivable of $0.5 million related to reimbursable research and development costs under the MyoKardia Collaboration Agreement for activities performed during the three months ended December 31, 2023. As of December 31, 2022, the Company recorded unbilled accounts receivable of $0.2 million related to reimbursable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1" w:name="page132"/>
    <w:bookmarkEnd w:id="131"/>
    <w:p>
      <w:pPr>
        <w:ind w:right="440"/>
        <w:spacing w:after="0" w:line="282" w:lineRule="auto"/>
        <w:rPr>
          <w:sz w:val="20"/>
          <w:szCs w:val="20"/>
          <w:color w:val="auto"/>
        </w:rPr>
      </w:pPr>
      <w:r>
        <w:rPr>
          <w:rFonts w:ascii="Times New Roman" w:cs="Times New Roman" w:eastAsia="Times New Roman" w:hAnsi="Times New Roman"/>
          <w:sz w:val="18"/>
          <w:szCs w:val="18"/>
          <w:color w:val="auto"/>
        </w:rPr>
        <w:t>research and development costs under the MyoKardia Collaboration Agreement for activities performed during the three months ended December 31, 2022. As of December 31, 2023 and 2022, the Company recorded no accounts receivable under the MyoKardia Collaboration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GSK Agreement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February 2019, the Company entered into the right of reference and license agreement, as amended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87" w:lineRule="exact"/>
        <w:rPr>
          <w:sz w:val="20"/>
          <w:szCs w:val="20"/>
          <w:color w:val="auto"/>
        </w:rPr>
      </w:pPr>
    </w:p>
    <w:p>
      <w:pPr>
        <w:ind w:right="120" w:firstLine="509"/>
        <w:spacing w:after="0" w:line="277" w:lineRule="auto"/>
        <w:rPr>
          <w:sz w:val="20"/>
          <w:szCs w:val="20"/>
          <w:color w:val="auto"/>
        </w:rPr>
      </w:pPr>
      <w:r>
        <w:rPr>
          <w:rFonts w:ascii="Times New Roman" w:cs="Times New Roman" w:eastAsia="Times New Roman" w:hAnsi="Times New Roman"/>
          <w:sz w:val="17"/>
          <w:szCs w:val="17"/>
          <w:color w:val="auto"/>
        </w:rPr>
        <w:t>Under the GSK Agreement, the Company issued 12,500,000 shares of Series B Preferred Stock to GSK. In addition, the Company may owe GSK up to $37.5 million in certain specified clinical and regulatory milestones, including a $5.0 million milestone that was achieved during the year ended December 31, 2022 and a $2.5 million milestone previously achieved and paid during 2019, and up to $60.0 million in certain specified sales milestones. The Company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w:t>
      </w:r>
    </w:p>
    <w:p>
      <w:pPr>
        <w:spacing w:after="0" w:line="168"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clinical and regulatory milestone payments when the underlying contingency is resolved and the consideration is paid or becomes payable. The milestone payments are capitalized or expensed depending on the nature of the associated asset as of the date of recognition.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CAMP4 Agreement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July 2023, the Company entered into a license agreement (the “CAMP4 Agreement”) with CAMP4 Therapeutics Corporation (“CAMP4”) pursuant to which the Company received a worldwide exclusive license (including the right to sublicense) from CAMP4 to rights under its Diamond Blackfan Anemia (“DBA”) program, which includes certain small molecule compounds, composition of matter and method of use patent rights, and know-how for the Company to research, develop, manufacture, use, commercialize or otherwise exploit therapeutic products in any indication, including the grant of a sublicense under certain intellectual property rights that CAMP4 has licensed under an agreement with Children’s Medical Center Corporation (“CMCC”).</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made an undisclosed upfront non-refundable, non-creditable payment to CAMP4. If the Company succeeds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w:t>
      </w:r>
    </w:p>
    <w:p>
      <w:pPr>
        <w:spacing w:after="0" w:line="3" w:lineRule="exact"/>
        <w:rPr>
          <w:sz w:val="20"/>
          <w:szCs w:val="20"/>
          <w:color w:val="auto"/>
        </w:rPr>
      </w:pPr>
    </w:p>
    <w:p>
      <w:pPr>
        <w:ind w:left="220" w:hanging="212"/>
        <w:spacing w:after="0"/>
        <w:tabs>
          <w:tab w:leader="none" w:pos="2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all valid patent claims covering the compounds in such country, (ii) the expiration of all regulatory exclusivities in such country, and</w:t>
      </w:r>
    </w:p>
    <w:p>
      <w:pPr>
        <w:spacing w:after="0" w:line="9" w:lineRule="exact"/>
        <w:rPr>
          <w:rFonts w:ascii="Times New Roman" w:cs="Times New Roman" w:eastAsia="Times New Roman" w:hAnsi="Times New Roman"/>
          <w:sz w:val="18"/>
          <w:szCs w:val="18"/>
          <w:color w:val="auto"/>
        </w:rPr>
      </w:pPr>
    </w:p>
    <w:p>
      <w:pPr>
        <w:ind w:right="60" w:firstLine="8"/>
        <w:spacing w:after="0" w:line="260" w:lineRule="auto"/>
        <w:tabs>
          <w:tab w:leader="none" w:pos="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years following the first commercial sale in such country. The Company is responsible for the costs associated with the development and regulatory approvals of licensed products.</w:t>
      </w:r>
    </w:p>
    <w:p>
      <w:pPr>
        <w:spacing w:after="0" w:line="1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the Company will have a fully-paid up, royalty-free and perpetual license to the licensed patent rights and know-how with respect to such licensed product in such country.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2" w:name="page133"/>
    <w:bookmarkEnd w:id="132"/>
    <w:p>
      <w:pPr>
        <w:ind w:right="220"/>
        <w:spacing w:after="0" w:line="258" w:lineRule="auto"/>
        <w:rPr>
          <w:sz w:val="20"/>
          <w:szCs w:val="20"/>
          <w:color w:val="auto"/>
        </w:rPr>
      </w:pPr>
      <w:r>
        <w:rPr>
          <w:rFonts w:ascii="Times New Roman" w:cs="Times New Roman" w:eastAsia="Times New Roman" w:hAnsi="Times New Roman"/>
          <w:sz w:val="18"/>
          <w:szCs w:val="18"/>
          <w:color w:val="auto"/>
        </w:rPr>
        <w:t>CAMP4 has the right to terminate the license agreement in the event of the Company’s non-payment (subject to cure periods and tolling for bona fide disputes). CAMP4 may also terminate the license agreement if the Company challenges certain patents sublicensed to the Company by CAMP4. Either party may terminate the license agreement in its entirety for the other party’s material breach if such other party fails to cure the breach. Either party may also terminate the agreement in its entirety upon certain insolvency events involving the other party. The Company has the right to terminate the license agreement with CAMP4 for any or no reason upon prior written notice to CAMP4.</w:t>
      </w:r>
    </w:p>
    <w:p>
      <w:pPr>
        <w:spacing w:after="0" w:line="183" w:lineRule="exact"/>
        <w:rPr>
          <w:sz w:val="20"/>
          <w:szCs w:val="20"/>
          <w:color w:val="auto"/>
        </w:rPr>
      </w:pPr>
    </w:p>
    <w:p>
      <w:pPr>
        <w:ind w:right="80" w:firstLine="509"/>
        <w:spacing w:after="0" w:line="313" w:lineRule="auto"/>
        <w:rPr>
          <w:sz w:val="20"/>
          <w:szCs w:val="20"/>
          <w:color w:val="auto"/>
        </w:rPr>
      </w:pPr>
      <w:r>
        <w:rPr>
          <w:rFonts w:ascii="Times New Roman" w:cs="Times New Roman" w:eastAsia="Times New Roman" w:hAnsi="Times New Roman"/>
          <w:sz w:val="18"/>
          <w:szCs w:val="18"/>
          <w:color w:val="auto"/>
        </w:rPr>
        <w:t>The Company recognizes development and regulatory milestone payments when the underlying contingency is resolved and the consideration is paid or becomes payable. The milestone payments are capitalized or expensed depending on the nature of the associated asset as of the date of recognition.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26 Landsdowne Street</w:t>
      </w:r>
    </w:p>
    <w:p>
      <w:pPr>
        <w:spacing w:after="0" w:line="22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December 31, 2023 and December 31, 2022. Operating lease and variable lease expense associated with this lease for the year ended December 31, 2023 was approximately $1.9 million and $0.9 million, respectively. Operating lease expense and variable lease expense associated with this lease for the year ended December 31, 2022 was approximately $1.9 million and $1.0 million, respectively.</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future minimum lease payments associated with the 26 Landsdowne Street lease as of December 31, 2023,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20"/>
                <w:szCs w:val="20"/>
                <w:color w:val="auto"/>
              </w:rPr>
            </w:pPr>
          </w:p>
        </w:tc>
      </w:tr>
      <w:tr>
        <w:trPr>
          <w:trHeight w:val="243"/>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100" w:type="dxa"/>
            <w:vAlign w:val="bottom"/>
          </w:tcPr>
          <w:p>
            <w:pPr>
              <w:spacing w:after="0"/>
              <w:rPr>
                <w:sz w:val="20"/>
                <w:szCs w:val="20"/>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(1,575 )</w:t>
            </w:r>
          </w:p>
        </w:tc>
      </w:tr>
      <w:tr>
        <w:trPr>
          <w:trHeight w:val="236"/>
        </w:trPr>
        <w:tc>
          <w:tcPr>
            <w:tcW w:w="9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10,612</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125 Sidney Street</w:t>
      </w:r>
    </w:p>
    <w:p>
      <w:pPr>
        <w:spacing w:after="0" w:line="22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November 2021, the Company entered into a lease agreement comprising approximately 12,196 square feet of office space at 125 Sidney Street in Cambridge, Massachusetts, commencing November 2021. The Company began recognizing rent expense associated with this lease during November 2021. The lease ends on March 31, 2024. The Company has the option to extend the term of the lease for two successive one-year periods, at the market rate, by giving the landlord written notice of its election to exercise the extension at least nine months prior to the original expiration of the lease term. The lease has a total commitment of $1.7 million over the initial term, and includes escalating rent payments. Operating lease expense associated with this lease for each of the years ended December 31, 2023 and 2022 was approximately $0.7 million. No variable lease expense was recorded associated with this lease for the years ended December 31, 2023 and 2022. The future minimum lease payments associated with this lease as of December 31, 2023, are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4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r>
      <w:tr>
        <w:trPr>
          <w:trHeight w:val="243"/>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4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36"/>
        </w:trPr>
        <w:tc>
          <w:tcPr>
            <w:tcW w:w="3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5400" w:type="dxa"/>
            <w:vAlign w:val="bottom"/>
            <w:tcBorders>
              <w:top w:val="single" w:sz="8" w:color="CFF0FC"/>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FF0FC"/>
            </w:tcBorders>
          </w:tcPr>
          <w:p>
            <w:pPr>
              <w:spacing w:after="0"/>
              <w:rPr>
                <w:sz w:val="20"/>
                <w:szCs w:val="20"/>
                <w:color w:val="auto"/>
              </w:rPr>
            </w:pPr>
          </w:p>
        </w:tc>
      </w:tr>
      <w:tr>
        <w:trPr>
          <w:trHeight w:val="20"/>
        </w:trPr>
        <w:tc>
          <w:tcPr>
            <w:tcW w:w="38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3"/>
        </w:trPr>
        <w:tc>
          <w:tcPr>
            <w:tcW w:w="3860" w:type="dxa"/>
            <w:vAlign w:val="bottom"/>
          </w:tcPr>
          <w:p>
            <w:pPr>
              <w:spacing w:after="0"/>
              <w:rPr>
                <w:sz w:val="24"/>
                <w:szCs w:val="24"/>
                <w:color w:val="auto"/>
              </w:rPr>
            </w:pPr>
          </w:p>
        </w:tc>
        <w:tc>
          <w:tcPr>
            <w:tcW w:w="6240" w:type="dxa"/>
            <w:vAlign w:val="bottom"/>
            <w:gridSpan w:val="2"/>
          </w:tcPr>
          <w:p>
            <w:pPr>
              <w:jc w:val="right"/>
              <w:ind w:right="4210"/>
              <w:spacing w:after="0"/>
              <w:rPr>
                <w:sz w:val="20"/>
                <w:szCs w:val="20"/>
                <w:color w:val="auto"/>
              </w:rPr>
            </w:pPr>
            <w:r>
              <w:rPr>
                <w:rFonts w:ascii="Times New Roman" w:cs="Times New Roman" w:eastAsia="Times New Roman" w:hAnsi="Times New Roman"/>
                <w:sz w:val="18"/>
                <w:szCs w:val="18"/>
                <w:color w:val="auto"/>
              </w:rPr>
              <w:t>F-24</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0"/>
        </w:trPr>
        <w:tc>
          <w:tcPr>
            <w:tcW w:w="386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3" w:name="page134"/>
    <w:bookmarkEnd w:id="13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2023 or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April 28, 2023, a class action complaint was filed in the United States District Court for the District of New Jersey against the Company and current and former officers (the “Securities Action”). On May 19, 2023, the Securities Action was transferred to the United States District Court for the District of Massachusetts, captioned </w:t>
      </w:r>
      <w:r>
        <w:rPr>
          <w:rFonts w:ascii="Times New Roman" w:cs="Times New Roman" w:eastAsia="Times New Roman" w:hAnsi="Times New Roman"/>
          <w:sz w:val="18"/>
          <w:szCs w:val="18"/>
          <w:i w:val="1"/>
          <w:iCs w:val="1"/>
          <w:color w:val="auto"/>
        </w:rPr>
        <w:t>Celano v. Fulcrum Therapeutics, Inc., et al</w:t>
      </w:r>
      <w:r>
        <w:rPr>
          <w:rFonts w:ascii="Times New Roman" w:cs="Times New Roman" w:eastAsia="Times New Roman" w:hAnsi="Times New Roman"/>
          <w:sz w:val="18"/>
          <w:szCs w:val="18"/>
          <w:color w:val="auto"/>
        </w:rPr>
        <w:t>., Case No. 1:23-cv-11125-IT. On July 31, 2023, the court appointed a lead plaintiff, who filed an amended complaint on September 29, 2023. The Securities Action alleges violations of Section 10(b) of the Securities Exchange Act of 1934, as amended, and Rule 10b-5 promulgated thereunder against all defendants and control person violations of Section 20(a) against the individuals, related to the Company’s February 2023 announcement that the U.S. Food and Drug Administration issued a clinical hold regarding the investigational new drug application for pociredir (formerly known as FTX-6058) for the potential treatment of sickle cell disease. The Securities Action alleges that the defendants made misleading statements and omitted to disclose material information related to the clinical hold and seeks, among other things, compensatory damages in connection with an allegedly inflated stock price between March 3, 2022, and March 8, 2023, as well as attorneys’ fees and costs. On November 28, 2023, all defendants filed a motion to dismiss the Securities Action, which motion is currently pending. The Company intends to defend vigorously against this litigation.</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Other than attorneys’ fees and costs related to the defense of the Securities Action, no such costs have been incurred during the year ended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510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 at statutory rate</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21.00 %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45"/>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(0.71 )</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(0.46 )</w:t>
            </w:r>
          </w:p>
        </w:tc>
      </w:tr>
      <w:tr>
        <w:trPr>
          <w:trHeight w:val="25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and state research and development credits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Federal orphan drug credits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Officers' compensation</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80" w:type="dxa"/>
            <w:vAlign w:val="bottom"/>
          </w:tcPr>
          <w:p>
            <w:pPr>
              <w:spacing w:after="0"/>
              <w:rPr>
                <w:sz w:val="20"/>
                <w:szCs w:val="20"/>
                <w:color w:val="auto"/>
              </w:rPr>
            </w:pPr>
          </w:p>
        </w:tc>
      </w:tr>
      <w:tr>
        <w:trPr>
          <w:trHeight w:val="252"/>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ownership change</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80" w:type="dxa"/>
            <w:vAlign w:val="bottom"/>
          </w:tcPr>
          <w:p>
            <w:pPr>
              <w:spacing w:after="0"/>
              <w:rPr>
                <w:sz w:val="21"/>
                <w:szCs w:val="21"/>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80" w:type="dxa"/>
            <w:vAlign w:val="bottom"/>
          </w:tcPr>
          <w:p>
            <w:pPr>
              <w:spacing w:after="0"/>
              <w:rPr>
                <w:sz w:val="20"/>
                <w:szCs w:val="20"/>
                <w:color w:val="auto"/>
              </w:rPr>
            </w:pPr>
          </w:p>
        </w:tc>
      </w:tr>
      <w:tr>
        <w:trPr>
          <w:trHeight w:val="24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(35.93 )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(31.71 )</w:t>
            </w:r>
          </w:p>
        </w:tc>
        <w:tc>
          <w:tcPr>
            <w:tcW w:w="80" w:type="dxa"/>
            <w:vAlign w:val="bottom"/>
          </w:tcPr>
          <w:p>
            <w:pPr>
              <w:spacing w:after="0"/>
              <w:rPr>
                <w:sz w:val="21"/>
                <w:szCs w:val="21"/>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5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-1576705</wp:posOffset>
            </wp:positionV>
            <wp:extent cx="4989195" cy="154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-187960</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incurred book and tax losses and, because it maintains a full valuation allowance on its net deferred tax assets, did not recognize federal or state income tax expense or benefit.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ind w:left="520"/>
        <w:spacing w:after="0"/>
        <w:rPr>
          <w:sz w:val="20"/>
          <w:szCs w:val="20"/>
          <w:color w:val="auto"/>
        </w:rPr>
      </w:pPr>
      <w:r>
        <w:rPr>
          <w:rFonts w:ascii="Times New Roman" w:cs="Times New Roman" w:eastAsia="Times New Roman" w:hAnsi="Times New Roman"/>
          <w:sz w:val="18"/>
          <w:szCs w:val="18"/>
          <w:color w:val="auto"/>
        </w:rPr>
        <w:t>The Company’s deferred tax assets and liabilities consist of the following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85,622</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Orphan drug credit carryforwards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2"/>
        </w:trPr>
        <w:tc>
          <w:tcPr>
            <w:tcW w:w="5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166,942</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132,698</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(164,483 )</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(129,512 )</w:t>
            </w:r>
          </w:p>
        </w:tc>
        <w:tc>
          <w:tcPr>
            <w:tcW w:w="20" w:type="dxa"/>
            <w:vAlign w:val="bottom"/>
          </w:tcPr>
          <w:p>
            <w:pPr>
              <w:spacing w:after="0"/>
              <w:rPr>
                <w:sz w:val="21"/>
                <w:szCs w:val="21"/>
                <w:color w:val="auto"/>
              </w:rPr>
            </w:pPr>
          </w:p>
        </w:tc>
      </w:tr>
      <w:tr>
        <w:trPr>
          <w:trHeight w:val="232"/>
        </w:trPr>
        <w:tc>
          <w:tcPr>
            <w:tcW w:w="5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(2,459 )</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(3,186 )</w:t>
            </w:r>
          </w:p>
        </w:tc>
        <w:tc>
          <w:tcPr>
            <w:tcW w:w="20" w:type="dxa"/>
            <w:vAlign w:val="bottom"/>
          </w:tcPr>
          <w:p>
            <w:pPr>
              <w:spacing w:after="0"/>
              <w:rPr>
                <w:sz w:val="21"/>
                <w:szCs w:val="21"/>
                <w:color w:val="auto"/>
              </w:rPr>
            </w:pPr>
          </w:p>
        </w:tc>
      </w:tr>
      <w:tr>
        <w:trPr>
          <w:trHeight w:val="236"/>
        </w:trPr>
        <w:tc>
          <w:tcPr>
            <w:tcW w:w="5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-822325</wp:posOffset>
            </wp:positionV>
            <wp:extent cx="514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-822325</wp:posOffset>
            </wp:positionV>
            <wp:extent cx="431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-505460</wp:posOffset>
            </wp:positionV>
            <wp:extent cx="514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-187960</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net deferred tax assets. The Company considered its history of cumulative net losses incurred since inception and its lack of commercialization of any products since inception and has concluded that it is more likely than not that the Company will not realize the benefits of the net deferred tax assets. Accordingly, a full valuation allowance has been established against the net deferred tax assets as of December 31, 2023 and 2022. The valuation allowance increased by $35.0 million during the year ended December 31, 2023, which is primarily attributable to increases in net operating loss carryforwards as a result of current year net losses, increases in capitalized research and development costs, and the generation of research and development and orphan drug tax credit carryforwards. The Company reevaluates the positive and negative evidence at each reporting period.</w:t>
      </w:r>
    </w:p>
    <w:p>
      <w:pPr>
        <w:spacing w:after="0" w:line="18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federal net operating loss carryforwards of approximately $312.3 million, a portion of which begin to expire in 2036. Approximately $288.7 million of the federal net operating losses can be carried forward indefinitely. As of December 31, 2023, the Company also had state net operating loss carryforwards of approximately $317.1 million, which begin to expire in 2036.</w:t>
      </w:r>
    </w:p>
    <w:p>
      <w:pPr>
        <w:spacing w:after="0" w:line="17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federal orphan drug credits of approximately $23.8 million, which begin to expire in 2040. As of December 31, 2023, the Company had federal research and development tax credit carryforwards of approximately $7.6 million, which begin to expire in 2035. As of December 31, 2023, the Company also had state research and development tax credit carryforwards of approximately $4.9 million, which begin to expire in 2030.</w:t>
      </w:r>
    </w:p>
    <w:p>
      <w:pPr>
        <w:spacing w:after="0" w:line="18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Utilization of the net operating loss carryforwards and research and development tax credit carryforwards may be subject to an annual limitation under Section 382 of the Internal Revenue Code of 1986, as amended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conducted an analysis under Section 382 to determine if historical changes in ownership through December 31, 2021 would limit or otherwise restrict the Company's ability to utilize its pre-change net operating losses and research and development tax credit carryforwards to offset future taxable income. As a result of the analysis, the Company does not believe that there are any significant limitations on its ability to utilize its net operating losses and research and development tax credit carryforwards to offset future taxable income. The Company has not conducted a study to assess whether a change of control has occurred or whether there have been multiple changes of control since December 31, 2021. If the Company has experienced a change of control, as defined by Section 382, subsequent to December 31, 2021,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35" w:name="page136"/>
    <w:bookmarkEnd w:id="135"/>
    <w:p>
      <w:pPr>
        <w:ind w:right="580"/>
        <w:spacing w:after="0" w:line="282" w:lineRule="auto"/>
        <w:rPr>
          <w:sz w:val="20"/>
          <w:szCs w:val="20"/>
          <w:color w:val="auto"/>
        </w:rPr>
      </w:pPr>
      <w:r>
        <w:rPr>
          <w:rFonts w:ascii="Times New Roman" w:cs="Times New Roman" w:eastAsia="Times New Roman" w:hAnsi="Times New Roman"/>
          <w:sz w:val="18"/>
          <w:szCs w:val="18"/>
          <w:color w:val="auto"/>
        </w:rPr>
        <w:t>carryforwards before utilization. Further, until a study is completed and any limitation is known, no amounts are being presented as an uncertain tax position.</w:t>
      </w:r>
    </w:p>
    <w:p>
      <w:pPr>
        <w:spacing w:after="0" w:line="16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2023, the Company’s tax years are still open under statute from 2016 to the present.</w:t>
      </w:r>
    </w:p>
    <w:p>
      <w:pPr>
        <w:spacing w:after="0" w:line="17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It is the Company’s policy to include penalties and interest expense related to income taxes as a component of the provision for income taxes. As of December 31, 2023 and 2022, the Company had no accrued interest or penalties related to uncertain tax positions and no amounts have been recognized in the Company’s statements of operations. For the year ended December 31, 2023, the Company generated research and development tax credits but has not conducted a study to document the qualified activities. This study may result in an adjustment to the Company’s research and development tax credit carryforwards; however, until a study is completed and any adjustment is known, no amounts are being presented as an uncertain tax position.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Defined Contribution Plan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$0.7 million and $0.8 million in contributions to the 401(k) Plan for the years ended December 31,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Loss per Share</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for the periods indicated because including them would have had an anti-dilutive effect:</w:t>
      </w:r>
    </w:p>
    <w:p>
      <w:pPr>
        <w:spacing w:after="0" w:line="196"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4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9,972,217</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6,504,080</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36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75,017</w:t>
            </w:r>
          </w:p>
        </w:tc>
        <w:tc>
          <w:tcPr>
            <w:tcW w:w="18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76,718</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7"/>
        </w:trPr>
        <w:tc>
          <w:tcPr>
            <w:tcW w:w="1700" w:type="dxa"/>
            <w:vAlign w:val="bottom"/>
          </w:tcPr>
          <w:p>
            <w:pPr>
              <w:spacing w:after="0"/>
              <w:rPr>
                <w:sz w:val="24"/>
                <w:szCs w:val="24"/>
                <w:color w:val="auto"/>
              </w:rPr>
            </w:pPr>
          </w:p>
        </w:tc>
        <w:tc>
          <w:tcPr>
            <w:tcW w:w="2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10,047,234</w:t>
            </w:r>
          </w:p>
        </w:tc>
        <w:tc>
          <w:tcPr>
            <w:tcW w:w="18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6,580,798</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33"/>
        </w:trPr>
        <w:tc>
          <w:tcPr>
            <w:tcW w:w="1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0" w:type="dxa"/>
            <w:vAlign w:val="bottom"/>
            <w:gridSpan w:val="2"/>
          </w:tcPr>
          <w:p>
            <w:pPr>
              <w:jc w:val="right"/>
              <w:ind w:right="1796"/>
              <w:spacing w:after="0"/>
              <w:rPr>
                <w:sz w:val="20"/>
                <w:szCs w:val="20"/>
                <w:color w:val="auto"/>
              </w:rPr>
            </w:pPr>
            <w:r>
              <w:rPr>
                <w:rFonts w:ascii="Times New Roman" w:cs="Times New Roman" w:eastAsia="Times New Roman" w:hAnsi="Times New Roman"/>
                <w:sz w:val="18"/>
                <w:szCs w:val="18"/>
                <w:color w:val="auto"/>
              </w:rPr>
              <w:t>F-27</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-933450</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-916305</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8"/>
        </w:trPr>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60" w:type="dxa"/>
            <w:vAlign w:val="bottom"/>
            <w:gridSpan w:val="36"/>
          </w:tcPr>
          <w:p>
            <w:pPr>
              <w:ind w:left="36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24"/>
        </w:trPr>
        <w:tc>
          <w:tcPr>
            <w:tcW w:w="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0" w:type="dxa"/>
            <w:vAlign w:val="bottom"/>
            <w:gridSpan w:val="3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0" w:type="dxa"/>
            <w:vAlign w:val="bottom"/>
            <w:tcBorders>
              <w:bottom w:val="single" w:sz="8" w:color="auto"/>
            </w:tcBorders>
            <w:gridSpan w:val="3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Pr>
          <w:p>
            <w:pPr>
              <w:ind w:left="20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bottom w:val="single" w:sz="8" w:color="0000FF"/>
            </w:tcBorders>
            <w:gridSpan w:val="35"/>
          </w:tcPr>
          <w:p>
            <w:pPr>
              <w:spacing w:after="0" w:line="169" w:lineRule="exact"/>
              <w:rPr>
                <w:rFonts w:ascii="Times New Roman" w:cs="Times New Roman" w:eastAsia="Times New Roman" w:hAnsi="Times New Roman"/>
                <w:sz w:val="18"/>
                <w:szCs w:val="18"/>
                <w:color w:val="0000FF"/>
                <w:w w:val="99"/>
              </w:rPr>
            </w:pPr>
            <w:hyperlink r:id="rId317">
              <w:r>
                <w:rPr>
                  <w:rFonts w:ascii="Times New Roman" w:cs="Times New Roman" w:eastAsia="Times New Roman" w:hAnsi="Times New Roman"/>
                  <w:sz w:val="18"/>
                  <w:szCs w:val="18"/>
                  <w:color w:val="0000FF"/>
                  <w:w w:val="99"/>
                </w:rPr>
                <w:t>Restated Certificate of Incorporation of the Registrant (incorporated by reference to Exhibit 3.1 to the Registrant’s Current Report on Form</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17">
              <w:r>
                <w:rPr>
                  <w:rFonts w:ascii="Times New Roman" w:cs="Times New Roman" w:eastAsia="Times New Roman" w:hAnsi="Times New Roman"/>
                  <w:sz w:val="18"/>
                  <w:szCs w:val="18"/>
                  <w:color w:val="0000FF"/>
                  <w:w w:val="99"/>
                </w:rPr>
                <w:t>8-K filed with the Securities and Exchange Commission on July 22, 2019).</w:t>
              </w:r>
            </w:hyperlink>
          </w:p>
        </w:tc>
        <w:tc>
          <w:tcPr>
            <w:tcW w:w="20" w:type="dxa"/>
            <w:vAlign w:val="bottom"/>
            <w:tcBorders>
              <w:bottom w:val="single" w:sz="8" w:color="0000EE"/>
            </w:tcBorders>
          </w:tcPr>
          <w:p>
            <w:pPr>
              <w:spacing w:after="0"/>
              <w:rPr>
                <w:sz w:val="17"/>
                <w:szCs w:val="17"/>
                <w:color w:val="auto"/>
              </w:rPr>
            </w:pPr>
          </w:p>
        </w:tc>
        <w:tc>
          <w:tcPr>
            <w:tcW w:w="472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Certificate of Amendment of the Restated Certificate of Incorporation of the Registrant (incorporated by reference to Exhibit 3.1 to the</w:t>
              </w:r>
            </w:hyperlink>
          </w:p>
        </w:tc>
        <w:tc>
          <w:tcPr>
            <w:tcW w:w="40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Current Report on Form 8-K filed with the Securities and Exchange Commission on June 9, 2023).</w:t>
              </w:r>
            </w:hyperlink>
          </w:p>
        </w:tc>
        <w:tc>
          <w:tcPr>
            <w:tcW w:w="20" w:type="dxa"/>
            <w:vAlign w:val="bottom"/>
            <w:tcBorders>
              <w:bottom w:val="single" w:sz="8" w:color="0000EE"/>
            </w:tcBorders>
          </w:tcPr>
          <w:p>
            <w:pPr>
              <w:spacing w:after="0"/>
              <w:rPr>
                <w:sz w:val="17"/>
                <w:szCs w:val="17"/>
                <w:color w:val="auto"/>
              </w:rPr>
            </w:pPr>
          </w:p>
        </w:tc>
        <w:tc>
          <w:tcPr>
            <w:tcW w:w="30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Amended and Restated Bylaws of the Registrant (incorporated by reference to Exhibit 3.2 to the Registrant’s Current Report on Form 8-K</w:t>
              </w:r>
            </w:hyperlink>
          </w:p>
        </w:tc>
        <w:tc>
          <w:tcPr>
            <w:tcW w:w="1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8"/>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filed with the Securities and Exchange Commission on July 22, 2019).</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Specimen Stock Certificate evidencing shares of common stock (incorporated by reference to Exhibit 4.1 to the Registrant’s Registration</w:t>
              </w:r>
            </w:hyperlink>
          </w:p>
        </w:tc>
        <w:tc>
          <w:tcPr>
            <w:tcW w:w="26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8"/>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Statement on Form S-1 (File No. 333-232260) filed with the Securities and Exchange Commission on June 21, 2019).</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Description of the Registrant’s Securities Registered under Section 12 of the Exchange Act (incorporated by reference to Exhibit 4.2 to the</w:t>
              </w:r>
            </w:hyperlink>
          </w:p>
        </w:tc>
        <w:tc>
          <w:tcPr>
            <w:tcW w:w="1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Registrant’s Annual Report on Form 10-K filed with the Securities and Exchange Commission on March 5, 2020).</w:t>
              </w:r>
            </w:hyperlink>
          </w:p>
        </w:tc>
        <w:tc>
          <w:tcPr>
            <w:tcW w:w="20" w:type="dxa"/>
            <w:vAlign w:val="bottom"/>
            <w:tcBorders>
              <w:bottom w:val="single" w:sz="8" w:color="0000EE"/>
            </w:tcBorders>
          </w:tcPr>
          <w:p>
            <w:pPr>
              <w:spacing w:after="0"/>
              <w:rPr>
                <w:sz w:val="17"/>
                <w:szCs w:val="17"/>
                <w:color w:val="auto"/>
              </w:rPr>
            </w:pPr>
          </w:p>
        </w:tc>
        <w:tc>
          <w:tcPr>
            <w:tcW w:w="18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2016 Stock Incentive Plan, as amended (incorporated by reference to Exhibit 10.2 to the Registrant’s Registration Statement on Form S-1</w:t>
              </w:r>
            </w:hyperlink>
          </w:p>
        </w:tc>
        <w:tc>
          <w:tcPr>
            <w:tcW w:w="20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8"/>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(File No. 333-232260) filed with the Securities and Exchange Commission on June 21, 2019).</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Form of Incentive Stock Option Agreement under the 2016 Stock Incentive Plan (incorporated by reference to Exhibit 10.3 to the</w:t>
              </w:r>
            </w:hyperlink>
          </w:p>
        </w:tc>
        <w:tc>
          <w:tcPr>
            <w:tcW w:w="78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Registrant’s Registration Statement on Form S-1 (File No. 333-232260) filed with the Securities and Exchange Commission on June 21,</w:t>
              </w:r>
            </w:hyperlink>
          </w:p>
        </w:tc>
        <w:tc>
          <w:tcPr>
            <w:tcW w:w="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20" w:type="dxa"/>
            <w:vAlign w:val="bottom"/>
            <w:gridSpan w:val="4"/>
          </w:tcPr>
          <w:p>
            <w:pPr>
              <w:ind w:left="120"/>
              <w:spacing w:after="0" w:line="196" w:lineRule="exact"/>
              <w:rPr>
                <w:rFonts w:ascii="Times New Roman" w:cs="Times New Roman" w:eastAsia="Times New Roman" w:hAnsi="Times New Roman"/>
                <w:sz w:val="18"/>
                <w:szCs w:val="18"/>
                <w:color w:val="0000FF"/>
                <w:w w:val="98"/>
              </w:rPr>
            </w:pPr>
            <w:hyperlink r:id="rId323">
              <w:r>
                <w:rPr>
                  <w:rFonts w:ascii="Times New Roman" w:cs="Times New Roman" w:eastAsia="Times New Roman" w:hAnsi="Times New Roman"/>
                  <w:sz w:val="18"/>
                  <w:szCs w:val="18"/>
                  <w:color w:val="0000FF"/>
                  <w:w w:val="98"/>
                </w:rPr>
                <w:t>2019).</w:t>
              </w:r>
            </w:hyperlink>
          </w:p>
        </w:tc>
        <w:tc>
          <w:tcPr>
            <w:tcW w:w="4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Form of Non-Statutory Stock Option Agreement under the 2016 Stock Incentive Plan (incorporated by reference to Exhibit 10.4 to the</w:t>
              </w:r>
            </w:hyperlink>
          </w:p>
        </w:tc>
        <w:tc>
          <w:tcPr>
            <w:tcW w:w="42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Registrant’s Registration Statement on Form S-1 (File No. 333-232260) filed with the Securities and Exchange Commission on June 21,</w:t>
              </w:r>
            </w:hyperlink>
          </w:p>
        </w:tc>
        <w:tc>
          <w:tcPr>
            <w:tcW w:w="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20" w:type="dxa"/>
            <w:vAlign w:val="bottom"/>
            <w:gridSpan w:val="4"/>
          </w:tcPr>
          <w:p>
            <w:pPr>
              <w:ind w:left="120"/>
              <w:spacing w:after="0" w:line="196" w:lineRule="exact"/>
              <w:rPr>
                <w:rFonts w:ascii="Times New Roman" w:cs="Times New Roman" w:eastAsia="Times New Roman" w:hAnsi="Times New Roman"/>
                <w:sz w:val="18"/>
                <w:szCs w:val="18"/>
                <w:color w:val="0000FF"/>
                <w:w w:val="98"/>
              </w:rPr>
            </w:pPr>
            <w:hyperlink r:id="rId324">
              <w:r>
                <w:rPr>
                  <w:rFonts w:ascii="Times New Roman" w:cs="Times New Roman" w:eastAsia="Times New Roman" w:hAnsi="Times New Roman"/>
                  <w:sz w:val="18"/>
                  <w:szCs w:val="18"/>
                  <w:color w:val="0000FF"/>
                  <w:w w:val="98"/>
                </w:rPr>
                <w:t>2019).</w:t>
              </w:r>
            </w:hyperlink>
          </w:p>
        </w:tc>
        <w:tc>
          <w:tcPr>
            <w:tcW w:w="4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Form of Restricted Stock Agreement under the 2016 Stock Incentive Plan (incorporated by reference to Exhibit 10.5 to the Registrant’s</w:t>
              </w:r>
            </w:hyperlink>
          </w:p>
        </w:tc>
        <w:tc>
          <w:tcPr>
            <w:tcW w:w="36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8"/>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Registration Statement on Form S-1 (File No. 333-232260) filed with the Securities and Exchange Commission on June 21, 2019).</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2019 Stock Incentive Plan (incorporated by reference to Exhibit 10.6 to Amendment No. 1 to Registrant’s Registration Statement on Form</w:t>
              </w:r>
            </w:hyperlink>
          </w:p>
        </w:tc>
        <w:tc>
          <w:tcPr>
            <w:tcW w:w="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S-1 (File No. 333-232260) filed with the Securities and Exchange Commission on July 8, 2019).</w:t>
              </w:r>
            </w:hyperlink>
          </w:p>
        </w:tc>
        <w:tc>
          <w:tcPr>
            <w:tcW w:w="32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Form of Stock Option Agreement under the 2019 Stock Incentive Plan (incorporated by reference to Exhibit 10.7 to Amendment No. 1 to</w:t>
              </w:r>
            </w:hyperlink>
          </w:p>
        </w:tc>
        <w:tc>
          <w:tcPr>
            <w:tcW w:w="20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327">
              <w:r>
                <w:rPr>
                  <w:rFonts w:ascii="Times New Roman" w:cs="Times New Roman" w:eastAsia="Times New Roman" w:hAnsi="Times New Roman"/>
                  <w:sz w:val="18"/>
                  <w:szCs w:val="18"/>
                  <w:color w:val="0000FF"/>
                  <w:w w:val="99"/>
                </w:rPr>
                <w:t>Registrant’s Registration Statement on Form S-1 (File No. 333-232260) filed with the Securities and Exchange Commission on July 8,</w:t>
              </w:r>
            </w:hyperlink>
          </w:p>
        </w:tc>
        <w:tc>
          <w:tcPr>
            <w:tcW w:w="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20" w:type="dxa"/>
            <w:vAlign w:val="bottom"/>
            <w:gridSpan w:val="4"/>
          </w:tcPr>
          <w:p>
            <w:pPr>
              <w:ind w:left="120"/>
              <w:spacing w:after="0" w:line="196" w:lineRule="exact"/>
              <w:rPr>
                <w:rFonts w:ascii="Times New Roman" w:cs="Times New Roman" w:eastAsia="Times New Roman" w:hAnsi="Times New Roman"/>
                <w:sz w:val="18"/>
                <w:szCs w:val="18"/>
                <w:color w:val="0000FF"/>
                <w:w w:val="98"/>
              </w:rPr>
            </w:pPr>
            <w:hyperlink r:id="rId327">
              <w:r>
                <w:rPr>
                  <w:rFonts w:ascii="Times New Roman" w:cs="Times New Roman" w:eastAsia="Times New Roman" w:hAnsi="Times New Roman"/>
                  <w:sz w:val="18"/>
                  <w:szCs w:val="18"/>
                  <w:color w:val="0000FF"/>
                  <w:w w:val="98"/>
                </w:rPr>
                <w:t>2019).</w:t>
              </w:r>
            </w:hyperlink>
          </w:p>
        </w:tc>
        <w:tc>
          <w:tcPr>
            <w:tcW w:w="4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Form of Non-Statutory Stock Option Agreement (incorporated by reference to Exhibit 10.1 to the Registrant’s Quarterly Report on Form</w:t>
              </w:r>
            </w:hyperlink>
          </w:p>
        </w:tc>
        <w:tc>
          <w:tcPr>
            <w:tcW w:w="2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8"/>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10-Q filed with the Securities and Exchange Commission on November 4, 2021).</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Form of Restricted Stock Unit Agreement under the 2019 Stock Incentive Plan (incorporated by reference to Exhibit 10.10 to the</w:t>
              </w:r>
            </w:hyperlink>
          </w:p>
        </w:tc>
        <w:tc>
          <w:tcPr>
            <w:tcW w:w="82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Registrant’s Annual Report on Form 10-K filed with the Securities and Exchange Commission on March 3, 2022).</w:t>
              </w:r>
            </w:hyperlink>
          </w:p>
        </w:tc>
        <w:tc>
          <w:tcPr>
            <w:tcW w:w="20" w:type="dxa"/>
            <w:vAlign w:val="bottom"/>
            <w:tcBorders>
              <w:bottom w:val="single" w:sz="8" w:color="0000EE"/>
            </w:tcBorders>
          </w:tcPr>
          <w:p>
            <w:pPr>
              <w:spacing w:after="0"/>
              <w:rPr>
                <w:sz w:val="17"/>
                <w:szCs w:val="17"/>
                <w:color w:val="auto"/>
              </w:rPr>
            </w:pPr>
          </w:p>
        </w:tc>
        <w:tc>
          <w:tcPr>
            <w:tcW w:w="18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2019 Employee Stock Purchase Plan (incorporated by reference to Exhibit 10.8 to Amendment No. 1 to Registrant’s Registration Statement</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on Form S-1 (File No. 333-232260) filed with the Securities and Exchange Commission on July 8, 2019).</w:t>
              </w:r>
            </w:hyperlink>
          </w:p>
        </w:tc>
        <w:tc>
          <w:tcPr>
            <w:tcW w:w="25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2022 Inducement Stock Incentive Plan (incorporated by reference to Exhibit 10.12 to the Registrant’s Annual Report on Form 10-K filed</w:t>
              </w:r>
            </w:hyperlink>
          </w:p>
        </w:tc>
        <w:tc>
          <w:tcPr>
            <w:tcW w:w="2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31">
              <w:r>
                <w:rPr>
                  <w:rFonts w:ascii="Times New Roman" w:cs="Times New Roman" w:eastAsia="Times New Roman" w:hAnsi="Times New Roman"/>
                  <w:sz w:val="18"/>
                  <w:szCs w:val="18"/>
                  <w:color w:val="0000FF"/>
                  <w:w w:val="99"/>
                </w:rPr>
                <w:t>with the Securities and Exchange Commission on March 3, 2022).</w:t>
              </w:r>
            </w:hyperlink>
          </w:p>
        </w:tc>
        <w:tc>
          <w:tcPr>
            <w:tcW w:w="20" w:type="dxa"/>
            <w:vAlign w:val="bottom"/>
            <w:tcBorders>
              <w:bottom w:val="single" w:sz="8" w:color="0000EE"/>
            </w:tcBorders>
          </w:tcPr>
          <w:p>
            <w:pPr>
              <w:spacing w:after="0"/>
              <w:rPr>
                <w:sz w:val="17"/>
                <w:szCs w:val="17"/>
                <w:color w:val="auto"/>
              </w:rPr>
            </w:pPr>
          </w:p>
        </w:tc>
        <w:tc>
          <w:tcPr>
            <w:tcW w:w="534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38"/>
          </w:tcPr>
          <w:p>
            <w:pPr>
              <w:spacing w:after="0"/>
              <w:rPr>
                <w:rFonts w:ascii="Times New Roman" w:cs="Times New Roman" w:eastAsia="Times New Roman" w:hAnsi="Times New Roman"/>
                <w:sz w:val="18"/>
                <w:szCs w:val="18"/>
                <w:color w:val="0000FF"/>
                <w:w w:val="99"/>
              </w:rPr>
            </w:pPr>
            <w:hyperlink r:id="rId332">
              <w:r>
                <w:rPr>
                  <w:rFonts w:ascii="Times New Roman" w:cs="Times New Roman" w:eastAsia="Times New Roman" w:hAnsi="Times New Roman"/>
                  <w:sz w:val="18"/>
                  <w:szCs w:val="18"/>
                  <w:color w:val="0000FF"/>
                  <w:w w:val="99"/>
                </w:rPr>
                <w:t>First Amendment to 2022 Inducement Stock Incentive Plan (incorporated by reference to Exhibit 10.13 to the Registrant’s Annual Report on</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32">
              <w:r>
                <w:rPr>
                  <w:rFonts w:ascii="Times New Roman" w:cs="Times New Roman" w:eastAsia="Times New Roman" w:hAnsi="Times New Roman"/>
                  <w:sz w:val="18"/>
                  <w:szCs w:val="18"/>
                  <w:color w:val="0000FF"/>
                  <w:w w:val="99"/>
                </w:rPr>
                <w:t>Form 10-K filed with the Securities and Exchange Commission on March 9, 2023).</w:t>
              </w:r>
            </w:hyperlink>
          </w:p>
        </w:tc>
        <w:tc>
          <w:tcPr>
            <w:tcW w:w="4120" w:type="dxa"/>
            <w:vAlign w:val="bottom"/>
            <w:tcBorders>
              <w:top w:val="single" w:sz="8" w:color="0000FF"/>
            </w:tcBorders>
            <w:gridSpan w:val="2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Second Amendment to 2022 Inducement Stock Incentive Plan.</w:t>
            </w:r>
          </w:p>
        </w:tc>
        <w:tc>
          <w:tcPr>
            <w:tcW w:w="20" w:type="dxa"/>
            <w:vAlign w:val="bottom"/>
            <w:tcBorders>
              <w:bottom w:val="single" w:sz="8" w:color="0000EE"/>
            </w:tcBorders>
          </w:tcPr>
          <w:p>
            <w:pPr>
              <w:spacing w:after="0"/>
              <w:rPr>
                <w:sz w:val="18"/>
                <w:szCs w:val="18"/>
                <w:color w:val="auto"/>
              </w:rPr>
            </w:pPr>
          </w:p>
        </w:tc>
        <w:tc>
          <w:tcPr>
            <w:tcW w:w="5600" w:type="dxa"/>
            <w:vAlign w:val="bottom"/>
            <w:gridSpan w:val="3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38"/>
          </w:tcPr>
          <w:p>
            <w:pPr>
              <w:spacing w:after="0"/>
              <w:rPr>
                <w:rFonts w:ascii="Times New Roman" w:cs="Times New Roman" w:eastAsia="Times New Roman" w:hAnsi="Times New Roman"/>
                <w:sz w:val="18"/>
                <w:szCs w:val="18"/>
                <w:color w:val="0000FF"/>
                <w:w w:val="99"/>
              </w:rPr>
            </w:pPr>
            <w:hyperlink r:id="rId333">
              <w:r>
                <w:rPr>
                  <w:rFonts w:ascii="Times New Roman" w:cs="Times New Roman" w:eastAsia="Times New Roman" w:hAnsi="Times New Roman"/>
                  <w:sz w:val="18"/>
                  <w:szCs w:val="18"/>
                  <w:color w:val="0000FF"/>
                  <w:w w:val="99"/>
                </w:rPr>
                <w:t>Form of Non-Statutory Stock Option Agreement under 2022 Inducement Stock Incentive Plan (incorporated by reference to Exhibit 10.13 to</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top w:val="single" w:sz="8" w:color="0000FF"/>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333">
              <w:r>
                <w:rPr>
                  <w:rFonts w:ascii="Times New Roman" w:cs="Times New Roman" w:eastAsia="Times New Roman" w:hAnsi="Times New Roman"/>
                  <w:sz w:val="18"/>
                  <w:szCs w:val="18"/>
                  <w:color w:val="0000FF"/>
                  <w:w w:val="99"/>
                </w:rPr>
                <w:t>the Registrant’s Annual Report on Form 10-K filed with the Securities and Exchange Commission on March 3, 2022).</w:t>
              </w:r>
            </w:hyperlink>
          </w:p>
        </w:tc>
        <w:tc>
          <w:tcPr>
            <w:tcW w:w="1620" w:type="dxa"/>
            <w:vAlign w:val="bottom"/>
            <w:tcBorders>
              <w:top w:val="single" w:sz="8" w:color="0000FF"/>
            </w:tcBorders>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Form of Restricted Stock Unit Agreement under 2022 Inducement Stock Incentive Plan (incorporated by reference to Exhibit 10.14 to the</w:t>
              </w:r>
            </w:hyperlink>
          </w:p>
        </w:tc>
        <w:tc>
          <w:tcPr>
            <w:tcW w:w="1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Registrant’s Annual Report on Form 10-K filed with the Securities and Exchange Commission on March 3, 2022).</w:t>
              </w:r>
            </w:hyperlink>
          </w:p>
        </w:tc>
        <w:tc>
          <w:tcPr>
            <w:tcW w:w="20" w:type="dxa"/>
            <w:vAlign w:val="bottom"/>
            <w:tcBorders>
              <w:bottom w:val="single" w:sz="8" w:color="0000EE"/>
            </w:tcBorders>
          </w:tcPr>
          <w:p>
            <w:pPr>
              <w:spacing w:after="0"/>
              <w:rPr>
                <w:sz w:val="17"/>
                <w:szCs w:val="17"/>
                <w:color w:val="auto"/>
              </w:rPr>
            </w:pPr>
          </w:p>
        </w:tc>
        <w:tc>
          <w:tcPr>
            <w:tcW w:w="18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Summary of Non-Employee Director Compensation Program (incorporated by reference to Exhibit 10.16 to the Registrant’s Annual Report</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38"/>
          </w:tcPr>
          <w:p>
            <w:pPr>
              <w:spacing w:after="0" w:line="19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on Form 10-K filed with the Securities and Exchange Commission on March 9, 2023).</w:t>
              </w:r>
            </w:hyperlink>
          </w:p>
        </w:tc>
        <w:tc>
          <w:tcPr>
            <w:tcW w:w="0" w:type="dxa"/>
            <w:vAlign w:val="bottom"/>
          </w:tcPr>
          <w:p>
            <w:pPr>
              <w:spacing w:after="0"/>
              <w:rPr>
                <w:sz w:val="1"/>
                <w:szCs w:val="1"/>
                <w:color w:val="auto"/>
              </w:rPr>
            </w:pPr>
          </w:p>
        </w:tc>
      </w:tr>
      <w:tr>
        <w:trPr>
          <w:trHeight w:val="1121"/>
        </w:trPr>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07"/>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10.16#</w:t>
            </w:r>
          </w:p>
        </w:tc>
        <w:tc>
          <w:tcPr>
            <w:tcW w:w="992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Form of Employment Agreement for Executive Officers (incorporated by reference to Exhibit 10.12 to Amendment No. 1 to Registrant’s</w:t>
              </w:r>
            </w:hyperlink>
          </w:p>
        </w:tc>
        <w:tc>
          <w:tcPr>
            <w:tcW w:w="24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48"/>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Registration Statement on Form S-1 (File No. 333-232260) filed with the Securities and Exchange Commission on July 8, 2019).</w:t>
              </w:r>
            </w:hyperlink>
          </w:p>
        </w:tc>
      </w:tr>
      <w:tr>
        <w:trPr>
          <w:trHeight w:val="20"/>
        </w:trPr>
        <w:tc>
          <w:tcPr>
            <w:tcW w:w="10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10.17#</w:t>
            </w:r>
          </w:p>
        </w:tc>
        <w:tc>
          <w:tcPr>
            <w:tcW w:w="10120" w:type="dxa"/>
            <w:vAlign w:val="bottom"/>
            <w:tcBorders>
              <w:bottom w:val="single" w:sz="8" w:color="0000FF"/>
            </w:tcBorders>
            <w:gridSpan w:val="47"/>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Letter Agreement, dated January 3, 2023, by and between Registrant and Robert J. Gould (incorporated by reference to Exhibit 10.18 to the</w:t>
              </w:r>
            </w:hyperlink>
          </w:p>
        </w:tc>
        <w:tc>
          <w:tcPr>
            <w:tcW w:w="40" w:type="dxa"/>
            <w:vAlign w:val="bottom"/>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82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Registrant’s Annual Report on Form 10-K filed with the Securities and Exchange Commission on March 9, 2023).</w:t>
              </w:r>
            </w:hyperlink>
          </w:p>
        </w:tc>
        <w:tc>
          <w:tcPr>
            <w:tcW w:w="20" w:type="dxa"/>
            <w:vAlign w:val="bottom"/>
            <w:tcBorders>
              <w:bottom w:val="single" w:sz="8" w:color="0000EE"/>
            </w:tcBorders>
          </w:tcPr>
          <w:p>
            <w:pPr>
              <w:spacing w:after="0"/>
              <w:rPr>
                <w:sz w:val="17"/>
                <w:szCs w:val="17"/>
                <w:color w:val="auto"/>
              </w:rPr>
            </w:pPr>
          </w:p>
        </w:tc>
        <w:tc>
          <w:tcPr>
            <w:tcW w:w="1880" w:type="dxa"/>
            <w:vAlign w:val="bottom"/>
            <w:gridSpan w:val="26"/>
          </w:tcPr>
          <w:p>
            <w:pPr>
              <w:spacing w:after="0"/>
              <w:rPr>
                <w:sz w:val="17"/>
                <w:szCs w:val="17"/>
                <w:color w:val="auto"/>
              </w:rPr>
            </w:pPr>
          </w:p>
        </w:tc>
      </w:tr>
      <w:tr>
        <w:trPr>
          <w:trHeight w:val="209"/>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10.18#</w:t>
            </w:r>
          </w:p>
        </w:tc>
        <w:tc>
          <w:tcPr>
            <w:tcW w:w="996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Separation Agreement, dated January 2, 2023, by and between Registrant and Bryan Stuart (incorporated by reference to Exhibit 10.19 to</w:t>
              </w:r>
            </w:hyperlink>
          </w:p>
        </w:tc>
        <w:tc>
          <w:tcPr>
            <w:tcW w:w="200" w:type="dxa"/>
            <w:vAlign w:val="bottom"/>
            <w:gridSpan w:val="8"/>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85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the Registrant’s Annual Report on Form 10-K filed with the Securities and Exchange Commission on March 9, 2023).</w:t>
              </w:r>
            </w:hyperlink>
          </w:p>
        </w:tc>
        <w:tc>
          <w:tcPr>
            <w:tcW w:w="1640" w:type="dxa"/>
            <w:vAlign w:val="bottom"/>
            <w:gridSpan w:val="25"/>
          </w:tcPr>
          <w:p>
            <w:pPr>
              <w:spacing w:after="0"/>
              <w:rPr>
                <w:sz w:val="17"/>
                <w:szCs w:val="17"/>
                <w:color w:val="auto"/>
              </w:rPr>
            </w:pPr>
          </w:p>
        </w:tc>
      </w:tr>
      <w:tr>
        <w:trPr>
          <w:trHeight w:val="209"/>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10.19#</w:t>
            </w:r>
          </w:p>
        </w:tc>
        <w:tc>
          <w:tcPr>
            <w:tcW w:w="996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Employment Agreement, dated May 12, 2023, by and between Registrant and Alex C. Sapir (incorporated by reference to Exhibit 10.2 to</w:t>
              </w:r>
            </w:hyperlink>
          </w:p>
        </w:tc>
        <w:tc>
          <w:tcPr>
            <w:tcW w:w="200" w:type="dxa"/>
            <w:vAlign w:val="bottom"/>
            <w:gridSpan w:val="8"/>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48"/>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the Registrant’s Quarterly Report on Form 10-Q filed with the Securities and Exchange Commission on August 3, 2023).</w:t>
              </w:r>
            </w:hyperlink>
          </w:p>
        </w:tc>
      </w:tr>
      <w:tr>
        <w:trPr>
          <w:trHeight w:val="20"/>
        </w:trPr>
        <w:tc>
          <w:tcPr>
            <w:tcW w:w="10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0"/>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10.20#</w:t>
            </w:r>
          </w:p>
        </w:tc>
        <w:tc>
          <w:tcPr>
            <w:tcW w:w="990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Employment Agreement, dated August 7, 2023, by and between the Registrant and Alan A. Musso (incorporated by reference to Exhibit</w:t>
              </w:r>
            </w:hyperlink>
          </w:p>
        </w:tc>
        <w:tc>
          <w:tcPr>
            <w:tcW w:w="260" w:type="dxa"/>
            <w:vAlign w:val="bottom"/>
            <w:gridSpan w:val="10"/>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95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Registrant’s Quarterly Report on Form 10-Q filed with the Securities and Exchange Commission on November 7, 2023).</w:t>
              </w:r>
            </w:hyperlink>
          </w:p>
        </w:tc>
        <w:tc>
          <w:tcPr>
            <w:tcW w:w="640" w:type="dxa"/>
            <w:vAlign w:val="bottom"/>
            <w:gridSpan w:val="18"/>
          </w:tcPr>
          <w:p>
            <w:pPr>
              <w:spacing w:after="0"/>
              <w:rPr>
                <w:sz w:val="17"/>
                <w:szCs w:val="17"/>
                <w:color w:val="auto"/>
              </w:rPr>
            </w:pPr>
          </w:p>
        </w:tc>
      </w:tr>
      <w:tr>
        <w:trPr>
          <w:trHeight w:val="209"/>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10.21#</w:t>
            </w:r>
          </w:p>
        </w:tc>
        <w:tc>
          <w:tcPr>
            <w:tcW w:w="10040" w:type="dxa"/>
            <w:vAlign w:val="bottom"/>
            <w:tcBorders>
              <w:bottom w:val="single" w:sz="8" w:color="0000FF"/>
            </w:tcBorders>
            <w:gridSpan w:val="44"/>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Employment Agreement, dated October 29, 2020, by and between the Registrant and Curtis Oltmans (incorporated by reference to Exhibit</w:t>
              </w:r>
            </w:hyperlink>
          </w:p>
        </w:tc>
        <w:tc>
          <w:tcPr>
            <w:tcW w:w="120" w:type="dxa"/>
            <w:vAlign w:val="bottom"/>
            <w:gridSpan w:val="4"/>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91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16</w:t>
              </w:r>
              <w:r>
                <w:rPr>
                  <w:rFonts w:ascii="Times New Roman" w:cs="Times New Roman" w:eastAsia="Times New Roman" w:hAnsi="Times New Roman"/>
                  <w:sz w:val="18"/>
                  <w:szCs w:val="18"/>
                  <w:color w:val="0000FF"/>
                  <w:w w:val="99"/>
                </w:rPr>
                <w:t xml:space="preserve"> to the Registrant’s Annual Report on Form 10-K filed with the Securities and Exchange Commission on March 4, 2021).</w:t>
              </w:r>
            </w:hyperlink>
          </w:p>
        </w:tc>
        <w:tc>
          <w:tcPr>
            <w:tcW w:w="20" w:type="dxa"/>
            <w:vAlign w:val="bottom"/>
            <w:tcBorders>
              <w:bottom w:val="single" w:sz="8" w:color="0000EE"/>
            </w:tcBorders>
          </w:tcPr>
          <w:p>
            <w:pPr>
              <w:spacing w:after="0"/>
              <w:rPr>
                <w:sz w:val="17"/>
                <w:szCs w:val="17"/>
                <w:color w:val="auto"/>
              </w:rPr>
            </w:pPr>
          </w:p>
        </w:tc>
        <w:tc>
          <w:tcPr>
            <w:tcW w:w="980" w:type="dxa"/>
            <w:vAlign w:val="bottom"/>
            <w:gridSpan w:val="22"/>
          </w:tcPr>
          <w:p>
            <w:pPr>
              <w:spacing w:after="0"/>
              <w:rPr>
                <w:sz w:val="17"/>
                <w:szCs w:val="17"/>
                <w:color w:val="auto"/>
              </w:rPr>
            </w:pPr>
          </w:p>
        </w:tc>
      </w:tr>
      <w:tr>
        <w:trPr>
          <w:trHeight w:val="210"/>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10.22#</w:t>
            </w:r>
          </w:p>
        </w:tc>
        <w:tc>
          <w:tcPr>
            <w:tcW w:w="10020" w:type="dxa"/>
            <w:vAlign w:val="bottom"/>
            <w:tcBorders>
              <w:bottom w:val="single" w:sz="8" w:color="0000FF"/>
            </w:tcBorders>
            <w:gridSpan w:val="43"/>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Form of Indemnification Agreement between the Registrant and each of its Executive Officers and Directors (incorporated by reference to</w:t>
              </w:r>
            </w:hyperlink>
          </w:p>
        </w:tc>
        <w:tc>
          <w:tcPr>
            <w:tcW w:w="140" w:type="dxa"/>
            <w:vAlign w:val="bottom"/>
            <w:gridSpan w:val="5"/>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932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Exhibit 10.15 to Registrant’s Registration Statement on Form S-1 (File No. 333-232260) filed with the Securities and Exchange</w:t>
              </w:r>
            </w:hyperlink>
          </w:p>
        </w:tc>
        <w:tc>
          <w:tcPr>
            <w:tcW w:w="840" w:type="dxa"/>
            <w:vAlign w:val="bottom"/>
            <w:gridSpan w:val="2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3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Commission on June 21, 2019).</w:t>
              </w:r>
            </w:hyperlink>
          </w:p>
        </w:tc>
        <w:tc>
          <w:tcPr>
            <w:tcW w:w="20" w:type="dxa"/>
            <w:vAlign w:val="bottom"/>
            <w:tcBorders>
              <w:bottom w:val="single" w:sz="8" w:color="0000EE"/>
            </w:tcBorders>
          </w:tcPr>
          <w:p>
            <w:pPr>
              <w:spacing w:after="0"/>
              <w:rPr>
                <w:sz w:val="17"/>
                <w:szCs w:val="17"/>
                <w:color w:val="auto"/>
              </w:rPr>
            </w:pPr>
          </w:p>
        </w:tc>
        <w:tc>
          <w:tcPr>
            <w:tcW w:w="7840" w:type="dxa"/>
            <w:vAlign w:val="bottom"/>
            <w:gridSpan w:val="39"/>
          </w:tcPr>
          <w:p>
            <w:pPr>
              <w:spacing w:after="0"/>
              <w:rPr>
                <w:sz w:val="17"/>
                <w:szCs w:val="17"/>
                <w:color w:val="auto"/>
              </w:rPr>
            </w:pPr>
          </w:p>
        </w:tc>
      </w:tr>
      <w:tr>
        <w:trPr>
          <w:trHeight w:val="209"/>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10.23#</w:t>
            </w:r>
          </w:p>
        </w:tc>
        <w:tc>
          <w:tcPr>
            <w:tcW w:w="80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Consulting Agreement, dated April 22, 2023, by and between the Registrant and Esther Rajavelu (incorporated</w:t>
              </w:r>
            </w:hyperlink>
          </w:p>
        </w:tc>
        <w:tc>
          <w:tcPr>
            <w:tcW w:w="2160" w:type="dxa"/>
            <w:vAlign w:val="bottom"/>
            <w:gridSpan w:val="28"/>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48"/>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by reference to Exhibit 10.1 to the Registrant’s Quarterly Report on Form 10-Q filed with the Securities and</w:t>
              </w:r>
            </w:hyperlink>
          </w:p>
        </w:tc>
      </w:tr>
      <w:tr>
        <w:trPr>
          <w:trHeight w:val="196"/>
        </w:trPr>
        <w:tc>
          <w:tcPr>
            <w:tcW w:w="1080" w:type="dxa"/>
            <w:vAlign w:val="bottom"/>
          </w:tcPr>
          <w:p>
            <w:pPr>
              <w:spacing w:after="0"/>
              <w:rPr>
                <w:sz w:val="17"/>
                <w:szCs w:val="17"/>
                <w:color w:val="auto"/>
              </w:rPr>
            </w:pPr>
          </w:p>
        </w:tc>
        <w:tc>
          <w:tcPr>
            <w:tcW w:w="306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Exchange Commission on May 15, 2023).</w:t>
              </w:r>
            </w:hyperlink>
          </w:p>
        </w:tc>
        <w:tc>
          <w:tcPr>
            <w:tcW w:w="20" w:type="dxa"/>
            <w:vAlign w:val="bottom"/>
            <w:tcBorders>
              <w:top w:val="single" w:sz="8" w:color="0000FF"/>
              <w:bottom w:val="single" w:sz="8" w:color="0000EE"/>
            </w:tcBorders>
          </w:tcPr>
          <w:p>
            <w:pPr>
              <w:spacing w:after="0"/>
              <w:rPr>
                <w:sz w:val="17"/>
                <w:szCs w:val="17"/>
                <w:color w:val="auto"/>
              </w:rPr>
            </w:pPr>
          </w:p>
        </w:tc>
        <w:tc>
          <w:tcPr>
            <w:tcW w:w="4700" w:type="dxa"/>
            <w:vAlign w:val="bottom"/>
            <w:tcBorders>
              <w:top w:val="single" w:sz="8" w:color="0000FF"/>
            </w:tcBorders>
            <w:gridSpan w:val="8"/>
          </w:tcPr>
          <w:p>
            <w:pPr>
              <w:spacing w:after="0"/>
              <w:rPr>
                <w:sz w:val="17"/>
                <w:szCs w:val="17"/>
                <w:color w:val="auto"/>
              </w:rPr>
            </w:pPr>
          </w:p>
        </w:tc>
        <w:tc>
          <w:tcPr>
            <w:tcW w:w="2380" w:type="dxa"/>
            <w:vAlign w:val="bottom"/>
            <w:gridSpan w:val="29"/>
          </w:tcPr>
          <w:p>
            <w:pPr>
              <w:spacing w:after="0"/>
              <w:rPr>
                <w:sz w:val="17"/>
                <w:szCs w:val="17"/>
                <w:color w:val="auto"/>
              </w:rPr>
            </w:pPr>
          </w:p>
        </w:tc>
      </w:tr>
      <w:tr>
        <w:trPr>
          <w:trHeight w:val="209"/>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10.24</w:t>
            </w:r>
            <w:r>
              <w:rPr>
                <w:rFonts w:ascii="Times New Roman" w:cs="Times New Roman" w:eastAsia="Times New Roman" w:hAnsi="Times New Roman"/>
                <w:sz w:val="14"/>
                <w:szCs w:val="14"/>
                <w:color w:val="auto"/>
              </w:rPr>
              <w:t>†</w:t>
            </w:r>
          </w:p>
        </w:tc>
        <w:tc>
          <w:tcPr>
            <w:tcW w:w="97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Right of Reference and License Agreement, dated as of February 8, 2019, by and among the Registrant, GlaxoSmithKline Intellectual</w:t>
              </w:r>
            </w:hyperlink>
          </w:p>
        </w:tc>
        <w:tc>
          <w:tcPr>
            <w:tcW w:w="460" w:type="dxa"/>
            <w:vAlign w:val="bottom"/>
            <w:gridSpan w:val="14"/>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10040" w:type="dxa"/>
            <w:vAlign w:val="bottom"/>
            <w:tcBorders>
              <w:bottom w:val="single" w:sz="8" w:color="0000FF"/>
            </w:tcBorders>
            <w:gridSpan w:val="44"/>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Property (No. 2) Limited, GlaxoSmithKline LLC and Glaxo Group Limited (incorporated by reference to Exhibit 10.10 to the Registrant’s</w:t>
              </w:r>
            </w:hyperlink>
          </w:p>
        </w:tc>
        <w:tc>
          <w:tcPr>
            <w:tcW w:w="12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48"/>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Registration Statement on Form S-1 (File No. 333-232260) filed with the Securities and Exchange Commission on June 21, 2019).</w:t>
              </w:r>
            </w:hyperlink>
          </w:p>
        </w:tc>
      </w:tr>
      <w:tr>
        <w:trPr>
          <w:trHeight w:val="20"/>
        </w:trPr>
        <w:tc>
          <w:tcPr>
            <w:tcW w:w="10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EE"/>
            </w:tcBorders>
            <w:gridSpan w:val="10"/>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9"/>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10.25</w:t>
            </w:r>
            <w:r>
              <w:rPr>
                <w:rFonts w:ascii="Times New Roman" w:cs="Times New Roman" w:eastAsia="Times New Roman" w:hAnsi="Times New Roman"/>
                <w:sz w:val="14"/>
                <w:szCs w:val="14"/>
                <w:color w:val="auto"/>
              </w:rPr>
              <w:t>†</w:t>
            </w:r>
          </w:p>
        </w:tc>
        <w:tc>
          <w:tcPr>
            <w:tcW w:w="95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First Amendment to the Right of Reference and License Agreement, dated as of September 23, 2020, by and among the Registrant,</w:t>
              </w:r>
            </w:hyperlink>
          </w:p>
        </w:tc>
        <w:tc>
          <w:tcPr>
            <w:tcW w:w="660" w:type="dxa"/>
            <w:vAlign w:val="bottom"/>
            <w:gridSpan w:val="19"/>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982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GlaxoSmithKline Intellectual Property (No. 2) Limited, GlaxoSmithKline LLC and Glaxo Group Limited (incorporated by reference to</w:t>
              </w:r>
            </w:hyperlink>
          </w:p>
        </w:tc>
        <w:tc>
          <w:tcPr>
            <w:tcW w:w="340" w:type="dxa"/>
            <w:vAlign w:val="bottom"/>
            <w:gridSpan w:val="1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00" w:type="dxa"/>
            <w:vAlign w:val="bottom"/>
            <w:tcBorders>
              <w:bottom w:val="single" w:sz="8" w:color="0000FF"/>
            </w:tcBorders>
            <w:gridSpan w:val="42"/>
          </w:tcPr>
          <w:p>
            <w:pPr>
              <w:spacing w:after="0" w:line="19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Exhibit 10.2 to the Registrant’s Quarterly Report on Form 10-Q (File No. 001-38978) filed with the Securities and Exchange Commission</w:t>
              </w:r>
            </w:hyperlink>
          </w:p>
        </w:tc>
        <w:tc>
          <w:tcPr>
            <w:tcW w:w="16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7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on November 10, 2020).</w:t>
              </w:r>
            </w:hyperlink>
          </w:p>
        </w:tc>
        <w:tc>
          <w:tcPr>
            <w:tcW w:w="20" w:type="dxa"/>
            <w:vAlign w:val="bottom"/>
            <w:tcBorders>
              <w:bottom w:val="single" w:sz="8" w:color="0000EE"/>
            </w:tcBorders>
          </w:tcPr>
          <w:p>
            <w:pPr>
              <w:spacing w:after="0"/>
              <w:rPr>
                <w:sz w:val="17"/>
                <w:szCs w:val="17"/>
                <w:color w:val="auto"/>
              </w:rPr>
            </w:pPr>
          </w:p>
        </w:tc>
        <w:tc>
          <w:tcPr>
            <w:tcW w:w="8360" w:type="dxa"/>
            <w:vAlign w:val="bottom"/>
            <w:gridSpan w:val="42"/>
          </w:tcPr>
          <w:p>
            <w:pPr>
              <w:spacing w:after="0"/>
              <w:rPr>
                <w:sz w:val="17"/>
                <w:szCs w:val="17"/>
                <w:color w:val="auto"/>
              </w:rPr>
            </w:pPr>
          </w:p>
        </w:tc>
      </w:tr>
      <w:tr>
        <w:trPr>
          <w:trHeight w:val="210"/>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10.26</w:t>
            </w:r>
            <w:r>
              <w:rPr>
                <w:rFonts w:ascii="Times New Roman" w:cs="Times New Roman" w:eastAsia="Times New Roman" w:hAnsi="Times New Roman"/>
                <w:sz w:val="14"/>
                <w:szCs w:val="14"/>
                <w:color w:val="auto"/>
              </w:rPr>
              <w:t>†</w:t>
            </w:r>
          </w:p>
        </w:tc>
        <w:tc>
          <w:tcPr>
            <w:tcW w:w="97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Collaboration and License Agreement, dated as of July 20, 2020, by and between the Registrant and MyoKardia, Inc, a wholly-owned</w:t>
              </w:r>
            </w:hyperlink>
          </w:p>
        </w:tc>
        <w:tc>
          <w:tcPr>
            <w:tcW w:w="460" w:type="dxa"/>
            <w:vAlign w:val="bottom"/>
            <w:gridSpan w:val="14"/>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10100" w:type="dxa"/>
            <w:vAlign w:val="bottom"/>
            <w:tcBorders>
              <w:bottom w:val="single" w:sz="8" w:color="0000FF"/>
            </w:tcBorders>
            <w:gridSpan w:val="46"/>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subsidiary of Bristol Myers Squibb Company (incorporated by reference to Exhibit 10.1 to the Registrant’s Quarterly Report on Form 10-Q</w:t>
              </w:r>
            </w:hyperlink>
          </w:p>
        </w:tc>
        <w:tc>
          <w:tcPr>
            <w:tcW w:w="6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48"/>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(File No. 001-38978) filed with the Securities and Exchange Commission on November 10, 2020).</w:t>
              </w:r>
            </w:hyperlink>
          </w:p>
        </w:tc>
      </w:tr>
      <w:tr>
        <w:trPr>
          <w:trHeight w:val="20"/>
        </w:trPr>
        <w:tc>
          <w:tcPr>
            <w:tcW w:w="10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40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0"/>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10.27</w:t>
            </w:r>
            <w:r>
              <w:rPr>
                <w:rFonts w:ascii="Times New Roman" w:cs="Times New Roman" w:eastAsia="Times New Roman" w:hAnsi="Times New Roman"/>
                <w:sz w:val="14"/>
                <w:szCs w:val="14"/>
                <w:color w:val="auto"/>
              </w:rPr>
              <w:t>†</w:t>
            </w:r>
          </w:p>
        </w:tc>
        <w:tc>
          <w:tcPr>
            <w:tcW w:w="9980" w:type="dxa"/>
            <w:vAlign w:val="bottom"/>
            <w:tcBorders>
              <w:bottom w:val="single" w:sz="8" w:color="0000FF"/>
            </w:tcBorders>
            <w:gridSpan w:val="41"/>
          </w:tcPr>
          <w:p>
            <w:pPr>
              <w:spacing w:after="0"/>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First Amendment to Collaboration and License Agreement, effective as of April 20, 2023, by and between the Registrant and MyoKardia,</w:t>
              </w:r>
            </w:hyperlink>
          </w:p>
        </w:tc>
        <w:tc>
          <w:tcPr>
            <w:tcW w:w="180" w:type="dxa"/>
            <w:vAlign w:val="bottom"/>
            <w:gridSpan w:val="7"/>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10020" w:type="dxa"/>
            <w:vAlign w:val="bottom"/>
            <w:tcBorders>
              <w:bottom w:val="single" w:sz="8" w:color="0000FF"/>
            </w:tcBorders>
            <w:gridSpan w:val="43"/>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Inc, a wholly-owned subsidiary of Bristol Myers Squibb Company (incorporated by reference to Exhibit 10.1 to the Registrant’s Quarterly</w:t>
              </w:r>
            </w:hyperlink>
          </w:p>
        </w:tc>
        <w:tc>
          <w:tcPr>
            <w:tcW w:w="14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60" w:type="dxa"/>
            <w:vAlign w:val="bottom"/>
            <w:gridSpan w:val="48"/>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Report on Form 10-Q filed with the Securities and Exchange Commission on August 3, 2023).</w:t>
              </w:r>
            </w:hyperlink>
          </w:p>
        </w:tc>
      </w:tr>
      <w:tr>
        <w:trPr>
          <w:trHeight w:val="20"/>
        </w:trPr>
        <w:tc>
          <w:tcPr>
            <w:tcW w:w="10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270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0"/>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10.28</w:t>
            </w:r>
            <w:r>
              <w:rPr>
                <w:rFonts w:ascii="Times New Roman" w:cs="Times New Roman" w:eastAsia="Times New Roman" w:hAnsi="Times New Roman"/>
                <w:sz w:val="14"/>
                <w:szCs w:val="14"/>
                <w:color w:val="auto"/>
              </w:rPr>
              <w:t>†</w:t>
            </w:r>
          </w:p>
        </w:tc>
        <w:tc>
          <w:tcPr>
            <w:tcW w:w="984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License Agreement, effective as of July 5, 2023, by and between the Registrant and CAMP4 Therapeutics Corporation (incorporated by</w:t>
              </w:r>
            </w:hyperlink>
          </w:p>
        </w:tc>
        <w:tc>
          <w:tcPr>
            <w:tcW w:w="320" w:type="dxa"/>
            <w:vAlign w:val="bottom"/>
            <w:gridSpan w:val="12"/>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95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reference to Exhibit 10.1 to the Registrant’s Quarterly Report on Form 10-Q filed with the Securities and Exchange Commission on</w:t>
              </w:r>
            </w:hyperlink>
          </w:p>
        </w:tc>
        <w:tc>
          <w:tcPr>
            <w:tcW w:w="620" w:type="dxa"/>
            <w:vAlign w:val="bottom"/>
            <w:gridSpan w:val="1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4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350">
              <w:r>
                <w:rPr>
                  <w:rFonts w:ascii="Times New Roman" w:cs="Times New Roman" w:eastAsia="Times New Roman" w:hAnsi="Times New Roman"/>
                  <w:sz w:val="18"/>
                  <w:szCs w:val="18"/>
                  <w:color w:val="0000FF"/>
                  <w:w w:val="99"/>
                </w:rPr>
                <w:t>November 7, 2023).</w:t>
              </w:r>
            </w:hyperlink>
          </w:p>
        </w:tc>
        <w:tc>
          <w:tcPr>
            <w:tcW w:w="20" w:type="dxa"/>
            <w:vAlign w:val="bottom"/>
            <w:tcBorders>
              <w:bottom w:val="single" w:sz="8" w:color="0000EE"/>
            </w:tcBorders>
          </w:tcPr>
          <w:p>
            <w:pPr>
              <w:spacing w:after="0"/>
              <w:rPr>
                <w:sz w:val="17"/>
                <w:szCs w:val="17"/>
                <w:color w:val="auto"/>
              </w:rPr>
            </w:pPr>
          </w:p>
        </w:tc>
        <w:tc>
          <w:tcPr>
            <w:tcW w:w="8680" w:type="dxa"/>
            <w:vAlign w:val="bottom"/>
            <w:gridSpan w:val="44"/>
          </w:tcPr>
          <w:p>
            <w:pPr>
              <w:spacing w:after="0"/>
              <w:rPr>
                <w:sz w:val="17"/>
                <w:szCs w:val="17"/>
                <w:color w:val="auto"/>
              </w:rPr>
            </w:pPr>
          </w:p>
        </w:tc>
      </w:tr>
      <w:tr>
        <w:trPr>
          <w:trHeight w:val="210"/>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10.29</w:t>
            </w:r>
          </w:p>
        </w:tc>
        <w:tc>
          <w:tcPr>
            <w:tcW w:w="10080" w:type="dxa"/>
            <w:vAlign w:val="bottom"/>
            <w:tcBorders>
              <w:bottom w:val="single" w:sz="8" w:color="0000FF"/>
            </w:tcBorders>
            <w:gridSpan w:val="45"/>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Lease for 26 Landsdowne Street, dated November 22, 2017, by and between the UP 26 Landsdowne, LLC and the Registrant (incorporated</w:t>
              </w:r>
            </w:hyperlink>
          </w:p>
        </w:tc>
        <w:tc>
          <w:tcPr>
            <w:tcW w:w="80" w:type="dxa"/>
            <w:vAlign w:val="bottom"/>
            <w:gridSpan w:val="3"/>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988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by reference to Exhibit 10.11 to the Registrant’s Registration Statement on Form S-1 (File No. 333-232260) filed with the Securities and</w:t>
              </w:r>
            </w:hyperlink>
          </w:p>
        </w:tc>
        <w:tc>
          <w:tcPr>
            <w:tcW w:w="280" w:type="dxa"/>
            <w:vAlign w:val="bottom"/>
            <w:gridSpan w:val="1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0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Exchange Commission on June 21, 2019).</w:t>
              </w:r>
            </w:hyperlink>
          </w:p>
        </w:tc>
        <w:tc>
          <w:tcPr>
            <w:tcW w:w="7100" w:type="dxa"/>
            <w:vAlign w:val="bottom"/>
            <w:gridSpan w:val="38"/>
          </w:tcPr>
          <w:p>
            <w:pPr>
              <w:spacing w:after="0"/>
              <w:rPr>
                <w:sz w:val="17"/>
                <w:szCs w:val="17"/>
                <w:color w:val="auto"/>
              </w:rPr>
            </w:pPr>
          </w:p>
        </w:tc>
      </w:tr>
      <w:tr>
        <w:trPr>
          <w:trHeight w:val="210"/>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21.1*</w:t>
            </w:r>
          </w:p>
        </w:tc>
        <w:tc>
          <w:tcPr>
            <w:tcW w:w="10160" w:type="dxa"/>
            <w:vAlign w:val="bottom"/>
            <w:gridSpan w:val="48"/>
          </w:tcPr>
          <w:p>
            <w:pPr>
              <w:spacing w:after="0"/>
              <w:rPr>
                <w:sz w:val="20"/>
                <w:szCs w:val="20"/>
                <w:color w:val="auto"/>
              </w:rPr>
            </w:pPr>
            <w:r>
              <w:rPr>
                <w:rFonts w:ascii="Times New Roman" w:cs="Times New Roman" w:eastAsia="Times New Roman" w:hAnsi="Times New Roman"/>
                <w:sz w:val="18"/>
                <w:szCs w:val="18"/>
                <w:color w:val="0000FF"/>
              </w:rPr>
              <w:t>Subsidiary of the Registrant.</w:t>
            </w:r>
          </w:p>
        </w:tc>
      </w:tr>
      <w:tr>
        <w:trPr>
          <w:trHeight w:val="20"/>
        </w:trPr>
        <w:tc>
          <w:tcPr>
            <w:tcW w:w="10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gridSpan w:val="5"/>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1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9"/>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23.1*</w:t>
            </w:r>
          </w:p>
        </w:tc>
        <w:tc>
          <w:tcPr>
            <w:tcW w:w="57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Consent of Ernst &amp; Young LLP, independent registered public accounting firm.</w:t>
            </w:r>
          </w:p>
        </w:tc>
        <w:tc>
          <w:tcPr>
            <w:tcW w:w="20" w:type="dxa"/>
            <w:vAlign w:val="bottom"/>
            <w:tcBorders>
              <w:bottom w:val="single" w:sz="8" w:color="0000EE"/>
            </w:tcBorders>
          </w:tcPr>
          <w:p>
            <w:pPr>
              <w:spacing w:after="0"/>
              <w:rPr>
                <w:sz w:val="18"/>
                <w:szCs w:val="18"/>
                <w:color w:val="auto"/>
              </w:rPr>
            </w:pPr>
          </w:p>
        </w:tc>
        <w:tc>
          <w:tcPr>
            <w:tcW w:w="4420" w:type="dxa"/>
            <w:vAlign w:val="bottom"/>
            <w:gridSpan w:val="32"/>
          </w:tcPr>
          <w:p>
            <w:pPr>
              <w:spacing w:after="0"/>
              <w:rPr>
                <w:sz w:val="18"/>
                <w:szCs w:val="18"/>
                <w:color w:val="auto"/>
              </w:rPr>
            </w:pPr>
          </w:p>
        </w:tc>
      </w:tr>
      <w:tr>
        <w:trPr>
          <w:trHeight w:val="210"/>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500" w:type="dxa"/>
            <w:vAlign w:val="bottom"/>
            <w:gridSpan w:val="15"/>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50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34"/>
          </w:tcPr>
          <w:p>
            <w:pPr>
              <w:spacing w:after="0"/>
              <w:rPr>
                <w:sz w:val="17"/>
                <w:szCs w:val="17"/>
                <w:color w:val="auto"/>
              </w:rPr>
            </w:pPr>
          </w:p>
        </w:tc>
      </w:tr>
      <w:tr>
        <w:trPr>
          <w:trHeight w:val="209"/>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40" w:type="dxa"/>
            <w:vAlign w:val="bottom"/>
            <w:gridSpan w:val="16"/>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50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34"/>
          </w:tcPr>
          <w:p>
            <w:pPr>
              <w:spacing w:after="0"/>
              <w:rPr>
                <w:sz w:val="17"/>
                <w:szCs w:val="17"/>
                <w:color w:val="auto"/>
              </w:rPr>
            </w:pPr>
          </w:p>
        </w:tc>
      </w:tr>
      <w:tr>
        <w:trPr>
          <w:trHeight w:val="209"/>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FF"/>
            </w:tcBorders>
            <w:gridSpan w:val="4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60" w:type="dxa"/>
            <w:vAlign w:val="bottom"/>
            <w:gridSpan w:val="2"/>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20" w:type="dxa"/>
            <w:vAlign w:val="bottom"/>
            <w:gridSpan w:val="46"/>
          </w:tcPr>
          <w:p>
            <w:pPr>
              <w:spacing w:after="0"/>
              <w:rPr>
                <w:sz w:val="17"/>
                <w:szCs w:val="17"/>
                <w:color w:val="auto"/>
              </w:rPr>
            </w:pPr>
          </w:p>
        </w:tc>
      </w:tr>
      <w:tr>
        <w:trPr>
          <w:trHeight w:val="210"/>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0040" w:type="dxa"/>
            <w:vAlign w:val="bottom"/>
            <w:tcBorders>
              <w:bottom w:val="single" w:sz="8" w:color="0000FF"/>
            </w:tcBorders>
            <w:gridSpan w:val="4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20" w:type="dxa"/>
            <w:vAlign w:val="bottom"/>
            <w:gridSpan w:val="4"/>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20" w:type="dxa"/>
            <w:vAlign w:val="bottom"/>
            <w:gridSpan w:val="46"/>
          </w:tcPr>
          <w:p>
            <w:pPr>
              <w:spacing w:after="0"/>
              <w:rPr>
                <w:sz w:val="17"/>
                <w:szCs w:val="17"/>
                <w:color w:val="auto"/>
              </w:rPr>
            </w:pPr>
          </w:p>
        </w:tc>
      </w:tr>
      <w:tr>
        <w:trPr>
          <w:trHeight w:val="210"/>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97.1*#</w:t>
            </w:r>
          </w:p>
        </w:tc>
        <w:tc>
          <w:tcPr>
            <w:tcW w:w="33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Compensation Recovery Policy of Registrant.</w:t>
            </w:r>
          </w:p>
        </w:tc>
        <w:tc>
          <w:tcPr>
            <w:tcW w:w="6840" w:type="dxa"/>
            <w:vAlign w:val="bottom"/>
            <w:gridSpan w:val="36"/>
          </w:tcPr>
          <w:p>
            <w:pPr>
              <w:spacing w:after="0"/>
              <w:rPr>
                <w:sz w:val="18"/>
                <w:szCs w:val="18"/>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48"/>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1100"/>
        </w:trPr>
        <w:tc>
          <w:tcPr>
            <w:tcW w:w="10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38" w:name="page139"/>
    <w:bookmarkEnd w:id="138"/>
    <w:tbl>
      <w:tblPr>
        <w:tblLayout w:type="fixed"/>
        <w:tblInd w:w="20" w:type="dxa"/>
        <w:tblCellMar>
          <w:top w:w="0" w:type="dxa"/>
          <w:left w:w="0" w:type="dxa"/>
          <w:bottom w:w="0" w:type="dxa"/>
          <w:right w:w="0" w:type="dxa"/>
        </w:tblCellMar>
      </w:tblP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 Document</w:t>
            </w:r>
          </w:p>
        </w:tc>
      </w:tr>
    </w:tbl>
    <w:p>
      <w:pPr>
        <w:ind w:left="1080" w:hanging="1059"/>
        <w:spacing w:after="0"/>
        <w:tabs>
          <w:tab w:leader="none" w:pos="10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6"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95123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0" w:lineRule="exact"/>
        <w:rPr>
          <w:sz w:val="20"/>
          <w:szCs w:val="20"/>
          <w:color w:val="auto"/>
        </w:rPr>
      </w:pPr>
    </w:p>
    <w:p>
      <w:pPr>
        <w:ind w:left="520" w:hanging="512"/>
        <w:spacing w:after="0" w:line="266" w:lineRule="auto"/>
        <w:tabs>
          <w:tab w:leader="none" w:pos="1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the registrant has determined that they are both not material and is the type of information that the registrant treats as private or confidential.</w:t>
      </w: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41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Fulcrum Therapeutics, Inc.</w:t>
            </w:r>
          </w:p>
        </w:tc>
        <w:tc>
          <w:tcPr>
            <w:tcW w:w="3400" w:type="dxa"/>
            <w:vAlign w:val="bottom"/>
          </w:tcPr>
          <w:p>
            <w:pPr>
              <w:spacing w:after="0"/>
              <w:rPr>
                <w:sz w:val="20"/>
                <w:szCs w:val="20"/>
                <w:color w:val="auto"/>
              </w:rPr>
            </w:pPr>
          </w:p>
        </w:tc>
      </w:tr>
      <w:tr>
        <w:trPr>
          <w:trHeight w:val="37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2024</w:t>
            </w:r>
          </w:p>
        </w:tc>
        <w:tc>
          <w:tcPr>
            <w:tcW w:w="41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/s/ Alex C. Sapir</w:t>
            </w:r>
          </w:p>
        </w:tc>
      </w:tr>
      <w:tr>
        <w:trPr>
          <w:trHeight w:val="225"/>
        </w:trPr>
        <w:tc>
          <w:tcPr>
            <w:tcW w:w="37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3400" w:type="dxa"/>
            <w:vAlign w:val="bottom"/>
            <w:tcBorders>
              <w:top w:val="single" w:sz="8" w:color="auto"/>
            </w:tcBorders>
          </w:tcPr>
          <w:p>
            <w:pPr>
              <w:jc w:val="center"/>
              <w:ind w:right="1730"/>
              <w:spacing w:after="0"/>
              <w:rPr>
                <w:sz w:val="20"/>
                <w:szCs w:val="20"/>
                <w:color w:val="auto"/>
              </w:rPr>
            </w:pPr>
            <w:r>
              <w:rPr>
                <w:rFonts w:ascii="Times New Roman" w:cs="Times New Roman" w:eastAsia="Times New Roman" w:hAnsi="Times New Roman"/>
                <w:sz w:val="18"/>
                <w:szCs w:val="18"/>
                <w:color w:val="auto"/>
                <w:w w:val="99"/>
              </w:rPr>
              <w:t>Alex C. Sapir</w:t>
            </w:r>
          </w:p>
        </w:tc>
      </w:tr>
    </w:tbl>
    <w:p>
      <w:pPr>
        <w:ind w:left="7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1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89" w:right="339" w:bottom="1440" w:gutter="0" w:footer="0" w:header="0"/>
        </w:sectPr>
      </w:pPr>
    </w:p>
    <w:p>
      <w:pPr>
        <w:spacing w:after="0" w:line="19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78574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7">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9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Alex C. Sapir</w:t>
      </w:r>
    </w:p>
    <w:p>
      <w:pPr>
        <w:spacing w:after="0" w:line="16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Alan Musso</w:t>
      </w:r>
    </w:p>
    <w:p>
      <w:pPr>
        <w:spacing w:after="0" w:line="16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Gregory Tourangeau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9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Gregory Tourangeau</w:t>
      </w:r>
    </w:p>
    <w:p>
      <w:pPr>
        <w:spacing w:after="0" w:line="16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Kate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0">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9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Kate Haviland</w:t>
      </w:r>
    </w:p>
    <w:p>
      <w:pPr>
        <w:spacing w:after="0" w:line="16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Sonja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1">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Sonja Banks</w:t>
      </w:r>
    </w:p>
    <w:p>
      <w:pPr>
        <w:spacing w:after="0" w:line="16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James J.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2">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James J. Collins Ph.D.</w:t>
      </w:r>
    </w:p>
    <w:p>
      <w:pPr>
        <w:spacing w:after="0" w:line="16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3">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Katina Dorton</w:t>
      </w:r>
    </w:p>
    <w:p>
      <w:pPr>
        <w:spacing w:after="0" w:line="16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Alan Ezekowitz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Alan Ezekowitz, MBChB, D. Phil</w:t>
      </w:r>
    </w:p>
    <w:p>
      <w:pPr>
        <w:spacing w:after="0" w:line="16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James 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James Geraghty</w:t>
      </w:r>
    </w:p>
    <w:p>
      <w:pPr>
        <w:spacing w:after="0" w:line="16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Robert J. Gould, Ph.D.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18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8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40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581"/>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Finance (Principal Accounting Officer)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64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64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58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58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58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58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58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1007110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800" w:space="720"/>
            <w:col w:w="6720"/>
          </w:cols>
          <w:pgMar w:left="320" w:top="1089" w:right="339" w:bottom="1440" w:gutter="0" w:footer="0" w:header="0"/>
          <w:type w:val="continuous"/>
        </w:sectPr>
      </w:pPr>
    </w:p>
    <w:bookmarkStart w:id="140" w:name="page141"/>
    <w:bookmarkEnd w:id="140"/>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FULCRUM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2022 INDUCEMENT STOCK INCENTIVE PLAN</w:t>
      </w:r>
    </w:p>
    <w:p>
      <w:pPr>
        <w:spacing w:after="0" w:line="398" w:lineRule="exact"/>
        <w:rPr>
          <w:sz w:val="20"/>
          <w:szCs w:val="20"/>
          <w:color w:val="auto"/>
        </w:rPr>
      </w:pPr>
    </w:p>
    <w:p>
      <w:pPr>
        <w:ind w:right="580" w:firstLine="8"/>
        <w:spacing w:after="0" w:line="238" w:lineRule="auto"/>
        <w:tabs>
          <w:tab w:leader="none" w:pos="50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Fulcrum Therapeutics, Inc. 2022 Inducement Stock Incentive Plan (as amended by the First Amendment to the Fulcrum Therapeutics, Inc. 2022 Inducement Stock Incentive Plan and as amended from time to time, the “Plan”) is hereby amended by deleting the first sentence of Section 4(a) and substituting therefore the following:</w:t>
      </w:r>
    </w:p>
    <w:p>
      <w:pPr>
        <w:ind w:left="760" w:right="130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adjustment under Section 9, Awards may be made under the Plan for up to 5,150,000 shares of common stock, $0.001 par value per share, of the Company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this Second Amendment shall be May 18, 2023.</w:t>
      </w:r>
    </w:p>
    <w:p>
      <w:pPr>
        <w:spacing w:after="0" w:line="14"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amended herein, the Plan is confirmed in all other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33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Fulcrum Therapeutics Securities Corp.</w:t>
      </w:r>
      <w:r>
        <w:rPr>
          <w:sz w:val="20"/>
          <w:szCs w:val="20"/>
          <w:color w:val="auto"/>
        </w:rPr>
        <w:tab/>
      </w:r>
      <w:r>
        <w:rPr>
          <w:rFonts w:ascii="Times New Roman" w:cs="Times New Roman" w:eastAsia="Times New Roman" w:hAnsi="Times New Roman"/>
          <w:sz w:val="18"/>
          <w:szCs w:val="18"/>
          <w:color w:val="auto"/>
        </w:rPr>
        <w:t>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904875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142" w:name="page143"/>
    <w:bookmarkEnd w:id="142"/>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3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consent to the incorporation by reference in the following Registration Statements:</w:t>
      </w:r>
    </w:p>
    <w:p>
      <w:pPr>
        <w:spacing w:after="0" w:line="233" w:lineRule="exact"/>
        <w:rPr>
          <w:sz w:val="20"/>
          <w:szCs w:val="20"/>
          <w:color w:val="auto"/>
        </w:rPr>
      </w:pPr>
    </w:p>
    <w:p>
      <w:pPr>
        <w:ind w:left="760" w:hanging="378"/>
        <w:spacing w:after="0" w:line="241" w:lineRule="auto"/>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333-233452) pertaining to the 2016 Stock Incentive Plan, as amended, 2019 Stock Incentive Plan, and 2019 Employee Stock Purchase Plan of Fulcrum Therapeutics, Inc.;</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333-236910) pertaining to the 2019 Stock Incentive Plan and 2019 Employee Stock Purchase Plan of Fulcrum Therapeutics, Inc.;</w:t>
      </w:r>
    </w:p>
    <w:p>
      <w:pPr>
        <w:spacing w:after="0" w:line="1" w:lineRule="exact"/>
        <w:rPr>
          <w:rFonts w:ascii="Times New Roman" w:cs="Times New Roman" w:eastAsia="Times New Roman" w:hAnsi="Times New Roman"/>
          <w:sz w:val="22"/>
          <w:szCs w:val="22"/>
          <w:color w:val="auto"/>
        </w:rPr>
      </w:pPr>
    </w:p>
    <w:p>
      <w:pPr>
        <w:ind w:left="760" w:right="260" w:hanging="378"/>
        <w:spacing w:after="0" w:line="230" w:lineRule="auto"/>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S-1 No. 333-239353) and related Prospectus of Fulcrum Therapeutics, Inc. (as amended by Form S-3/A No. 333-239353);</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333-253862) pertaining to the 2019 Stock Incentive Plan and 2019 Employee Stock Purchase Plan of Fulcrum Therapeutics, Inc.,</w:t>
      </w:r>
    </w:p>
    <w:p>
      <w:pPr>
        <w:spacing w:after="0" w:line="1" w:lineRule="exact"/>
        <w:rPr>
          <w:rFonts w:ascii="Times New Roman" w:cs="Times New Roman" w:eastAsia="Times New Roman" w:hAnsi="Times New Roman"/>
          <w:sz w:val="22"/>
          <w:szCs w:val="22"/>
          <w:color w:val="auto"/>
        </w:rPr>
      </w:pPr>
    </w:p>
    <w:p>
      <w:pPr>
        <w:ind w:left="760" w:hanging="378"/>
        <w:spacing w:after="0" w:line="241" w:lineRule="auto"/>
        <w:tabs>
          <w:tab w:leader="none" w:pos="7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Registration Statement (Form S-8 No. 333-262356) pertaining to the 2019 Stock Incentive Plan, 2019 Employee Stock Purchase Plan, and Inducement Stock Option Awards (September 2021 – January 2022) of Fulcrum Therapeutics, Inc.;</w:t>
      </w:r>
    </w:p>
    <w:p>
      <w:pPr>
        <w:spacing w:after="0" w:line="1" w:lineRule="exact"/>
        <w:rPr>
          <w:rFonts w:ascii="Times New Roman" w:cs="Times New Roman" w:eastAsia="Times New Roman" w:hAnsi="Times New Roman"/>
          <w:sz w:val="21"/>
          <w:szCs w:val="21"/>
          <w:color w:val="auto"/>
        </w:rPr>
      </w:pPr>
    </w:p>
    <w:p>
      <w:pPr>
        <w:ind w:left="760" w:hanging="378"/>
        <w:spacing w:after="0" w:line="230" w:lineRule="auto"/>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333-263249) pertaining to 2022 Inducement Stock Incentive Plan, and Inducement Stock Option Award, as amended (February 2022) of Fulcrum Therapeutics, Inc.; and</w:t>
      </w:r>
    </w:p>
    <w:p>
      <w:pPr>
        <w:spacing w:after="0" w:line="1" w:lineRule="exact"/>
        <w:rPr>
          <w:rFonts w:ascii="Times New Roman" w:cs="Times New Roman" w:eastAsia="Times New Roman" w:hAnsi="Times New Roman"/>
          <w:sz w:val="22"/>
          <w:szCs w:val="22"/>
          <w:color w:val="auto"/>
        </w:rPr>
      </w:pPr>
    </w:p>
    <w:p>
      <w:pPr>
        <w:ind w:left="760" w:hanging="378"/>
        <w:spacing w:after="0" w:line="237" w:lineRule="auto"/>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333-270385) pertaining to the 2019 Stock Incentive Plan, 2019 Employee Stock Purchase Plan, and Inducement Stock Incentive Plan, as amended, of Fulcrum Therapeutics,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our report dated February 27, 2024, with respect to the consolidated financial statements of Fulcrum Therapeutics,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included in this Annual Report (Form 10-K) of Fulcrum Therapeutics, Inc. for the year ended December 31,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Massachusetts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60" w:right="17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C. Sapir, certify that:</w:t>
      </w:r>
    </w:p>
    <w:p>
      <w:pPr>
        <w:spacing w:after="0" w:line="117" w:lineRule="exact"/>
        <w:rPr>
          <w:sz w:val="20"/>
          <w:szCs w:val="20"/>
          <w:color w:val="auto"/>
        </w:rPr>
      </w:pPr>
    </w:p>
    <w:p>
      <w:pPr>
        <w:ind w:left="700" w:hanging="183"/>
        <w:spacing w:after="0"/>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Fulcrum Therapeutics, Inc.;</w:t>
      </w:r>
    </w:p>
    <w:p>
      <w:pPr>
        <w:spacing w:after="0" w:line="117"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40" w:firstLine="517"/>
        <w:spacing w:after="0" w:line="266" w:lineRule="auto"/>
        <w:tabs>
          <w:tab w:leader="none" w:pos="68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80" w:firstLine="506"/>
        <w:spacing w:after="0" w:line="266" w:lineRule="auto"/>
        <w:tabs>
          <w:tab w:leader="none" w:pos="127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00" w:firstLine="506"/>
        <w:spacing w:after="0" w:line="266" w:lineRule="auto"/>
        <w:tabs>
          <w:tab w:leader="none" w:pos="128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7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00" w:firstLine="506"/>
        <w:spacing w:after="0" w:line="266" w:lineRule="auto"/>
        <w:tabs>
          <w:tab w:leader="none" w:pos="128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517"/>
        <w:spacing w:after="0" w:line="282" w:lineRule="auto"/>
        <w:tabs>
          <w:tab w:leader="none" w:pos="68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40" w:firstLine="506"/>
        <w:spacing w:after="0" w:line="282" w:lineRule="auto"/>
        <w:tabs>
          <w:tab w:leader="none" w:pos="127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firstLine="506"/>
        <w:spacing w:after="0" w:line="282" w:lineRule="auto"/>
        <w:tabs>
          <w:tab w:leader="none" w:pos="128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6300" w:val="left"/>
          <w:tab w:leader="none" w:pos="676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Alex C. Sapir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Musso, certify that:</w:t>
      </w:r>
    </w:p>
    <w:p>
      <w:pPr>
        <w:spacing w:after="0" w:line="117" w:lineRule="exact"/>
        <w:rPr>
          <w:sz w:val="20"/>
          <w:szCs w:val="20"/>
          <w:color w:val="auto"/>
        </w:rPr>
      </w:pPr>
    </w:p>
    <w:p>
      <w:pPr>
        <w:ind w:left="700" w:hanging="183"/>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Fulcrum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68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40" w:firstLine="506"/>
        <w:spacing w:after="0" w:line="266" w:lineRule="auto"/>
        <w:tabs>
          <w:tab w:leader="none" w:pos="128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7"/>
        <w:spacing w:after="0" w:line="282" w:lineRule="auto"/>
        <w:tabs>
          <w:tab w:leader="none" w:pos="68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tab/>
        <w:t>/s/ 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26035</wp:posOffset>
            </wp:positionV>
            <wp:extent cx="262318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Alan Musso</w:t>
      </w:r>
    </w:p>
    <w:p>
      <w:pPr>
        <w:spacing w:after="0" w:line="3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Fulcrum Therapeutics, Inc. (the “Company”) for the year ended December 31, 2023, as filed with the Securities and Exchange Commission on the date hereof (the “Report”), the undersigned, Alex C. Sapir, President and Chief Executive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63"/>
        <w:spacing w:after="0"/>
        <w:tabs>
          <w:tab w:leader="none" w:pos="7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5560" w:val="left"/>
          <w:tab w:leader="none" w:pos="598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Alex C. Sapir</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Fulcrum Therapeutics, Inc. (the “Company”) for the year ended December 31, 2023, as filed with the Securities and Exchange Commission on the date hereof (the “Report”), the undersigned, Alan Musso, Chief Financial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780" w:hanging="263"/>
        <w:spacing w:after="0"/>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5560" w:val="left"/>
          <w:tab w:leader="none" w:pos="598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By:</w:t>
        <w:tab/>
        <w:t>/s/ 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Alan Musso</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38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FULCRUM THERAPEUTICS, INC.</w:t>
      </w:r>
    </w:p>
    <w:p>
      <w:pPr>
        <w:spacing w:after="0" w:line="17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16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Adopted as of November 16, 2023</w:t>
      </w:r>
    </w:p>
    <w:p>
      <w:pPr>
        <w:spacing w:after="0" w:line="170"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Fulcrum Therapeutics,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a Compensation Recovery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described below.</w:t>
      </w:r>
    </w:p>
    <w:p>
      <w:pPr>
        <w:spacing w:after="0" w:line="154" w:lineRule="exact"/>
        <w:rPr>
          <w:sz w:val="20"/>
          <w:szCs w:val="20"/>
          <w:color w:val="auto"/>
        </w:rPr>
      </w:pPr>
    </w:p>
    <w:p>
      <w:pPr>
        <w:ind w:left="440" w:hanging="432"/>
        <w:spacing w:after="0"/>
        <w:tabs>
          <w:tab w:leader="none" w:pos="44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2"/>
          <w:szCs w:val="22"/>
          <w:color w:val="auto"/>
        </w:rPr>
        <w:t>The Policy sets forth the circumstances and procedures under which the Company shall recover Erroneously Awarded Compensation from Covered Persons (as defined below) of the Company in accordance with rules issued by the United States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under the Securities Exchange Act of 1934, as amended (the “</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and the Nasdaq Stock Market. Capitalized terms used and not otherwise defined herein shall have the meanings given in Section 3 below.</w:t>
      </w:r>
    </w:p>
    <w:p>
      <w:pPr>
        <w:spacing w:after="0" w:line="173" w:lineRule="exact"/>
        <w:rPr>
          <w:sz w:val="20"/>
          <w:szCs w:val="20"/>
          <w:color w:val="auto"/>
        </w:rPr>
      </w:pPr>
    </w:p>
    <w:p>
      <w:pPr>
        <w:ind w:left="440" w:hanging="432"/>
        <w:spacing w:after="0"/>
        <w:tabs>
          <w:tab w:leader="none" w:pos="44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Requirement</w:t>
      </w:r>
    </w:p>
    <w:p>
      <w:pPr>
        <w:spacing w:after="0" w:line="210"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In the event the Company is required to prepare a Financial Restatement, the Company shall recover reasonably promptly all Erroneously Awarded Compensation with respect to such Financial Restatement.</w:t>
      </w:r>
    </w:p>
    <w:p>
      <w:pPr>
        <w:spacing w:after="0" w:line="154" w:lineRule="exact"/>
        <w:rPr>
          <w:sz w:val="20"/>
          <w:szCs w:val="20"/>
          <w:color w:val="auto"/>
        </w:rPr>
      </w:pPr>
    </w:p>
    <w:p>
      <w:pPr>
        <w:ind w:left="440" w:hanging="432"/>
        <w:spacing w:after="0"/>
        <w:tabs>
          <w:tab w:leader="none" w:pos="44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1140" w:right="140" w:hanging="383"/>
        <w:spacing w:after="0" w:line="238" w:lineRule="auto"/>
        <w:tabs>
          <w:tab w:leader="none" w:pos="11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Recovery Period</w:t>
      </w:r>
      <w:r>
        <w:rPr>
          <w:rFonts w:ascii="Times New Roman" w:cs="Times New Roman" w:eastAsia="Times New Roman" w:hAnsi="Times New Roman"/>
          <w:sz w:val="22"/>
          <w:szCs w:val="22"/>
          <w:color w:val="auto"/>
        </w:rPr>
        <w:t>”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76" w:lineRule="exact"/>
        <w:rPr>
          <w:rFonts w:ascii="Times New Roman" w:cs="Times New Roman" w:eastAsia="Times New Roman" w:hAnsi="Times New Roman"/>
          <w:sz w:val="22"/>
          <w:szCs w:val="22"/>
          <w:color w:val="auto"/>
        </w:rPr>
      </w:pPr>
    </w:p>
    <w:p>
      <w:pPr>
        <w:ind w:left="1140" w:right="120" w:hanging="383"/>
        <w:spacing w:after="0" w:line="244" w:lineRule="auto"/>
        <w:tabs>
          <w:tab w:leader="none" w:pos="11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Rules</w:t>
      </w:r>
      <w:r>
        <w:rPr>
          <w:rFonts w:ascii="Times New Roman" w:cs="Times New Roman" w:eastAsia="Times New Roman" w:hAnsi="Times New Roman"/>
          <w:sz w:val="22"/>
          <w:szCs w:val="22"/>
          <w:color w:val="auto"/>
        </w:rPr>
        <w:t>” means any rules or regulations adopted by the Exchange pursuant to Rule 10D-1 under the Exchange Act and any applicable rules or regulations adopted by the SEC pursuant to Section 10D of the Exchange Act.</w:t>
      </w:r>
    </w:p>
    <w:p>
      <w:pPr>
        <w:spacing w:after="0" w:line="17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ind w:left="1140" w:right="160" w:hanging="383"/>
        <w:spacing w:after="0" w:line="258" w:lineRule="auto"/>
        <w:tabs>
          <w:tab w:leader="none" w:pos="11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in the absence of such committee, a majority of independent directors serving on the Board.</w:t>
      </w:r>
    </w:p>
    <w:p>
      <w:pPr>
        <w:spacing w:after="0" w:line="158" w:lineRule="exact"/>
        <w:rPr>
          <w:rFonts w:ascii="Times New Roman" w:cs="Times New Roman" w:eastAsia="Times New Roman" w:hAnsi="Times New Roman"/>
          <w:sz w:val="22"/>
          <w:szCs w:val="22"/>
          <w:color w:val="auto"/>
        </w:rPr>
      </w:pPr>
    </w:p>
    <w:p>
      <w:pPr>
        <w:ind w:left="1140" w:right="200" w:hanging="383"/>
        <w:spacing w:after="0" w:line="239" w:lineRule="auto"/>
        <w:tabs>
          <w:tab w:leader="none" w:pos="11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 means any Executive Officer. A person’s status as a Covered Person with respect to Erroneously Awarded Compensation shall be determined as of the time of receipt of such Erroneously Awarded Compensation regardless of the person’s current role or status with the Company (e.g., if a person began service as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1319530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8" w:name="page149"/>
    <w:bookmarkEnd w:id="148"/>
    <w:p>
      <w:pPr>
        <w:spacing w:after="0" w:line="144" w:lineRule="exact"/>
        <w:rPr>
          <w:sz w:val="20"/>
          <w:szCs w:val="20"/>
          <w:color w:val="auto"/>
        </w:rPr>
      </w:pPr>
    </w:p>
    <w:p>
      <w:pPr>
        <w:ind w:left="383" w:right="80"/>
        <w:spacing w:after="0" w:line="238" w:lineRule="auto"/>
        <w:rPr>
          <w:sz w:val="20"/>
          <w:szCs w:val="20"/>
          <w:color w:val="auto"/>
        </w:rPr>
      </w:pPr>
      <w:r>
        <w:rPr>
          <w:rFonts w:ascii="Times New Roman" w:cs="Times New Roman" w:eastAsia="Times New Roman" w:hAnsi="Times New Roman"/>
          <w:sz w:val="22"/>
          <w:szCs w:val="22"/>
          <w:color w:val="auto"/>
        </w:rPr>
        <w:t>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77" w:lineRule="exact"/>
        <w:rPr>
          <w:sz w:val="20"/>
          <w:szCs w:val="20"/>
          <w:color w:val="auto"/>
        </w:rPr>
      </w:pPr>
    </w:p>
    <w:p>
      <w:pPr>
        <w:ind w:left="383" w:hanging="383"/>
        <w:spacing w:after="0"/>
        <w:tabs>
          <w:tab w:leader="none" w:pos="38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November 16, 2023.</w:t>
      </w:r>
    </w:p>
    <w:p>
      <w:pPr>
        <w:spacing w:after="0" w:line="206" w:lineRule="exact"/>
        <w:rPr>
          <w:rFonts w:ascii="Times New Roman" w:cs="Times New Roman" w:eastAsia="Times New Roman" w:hAnsi="Times New Roman"/>
          <w:sz w:val="22"/>
          <w:szCs w:val="22"/>
          <w:color w:val="auto"/>
        </w:rPr>
      </w:pPr>
    </w:p>
    <w:p>
      <w:pPr>
        <w:ind w:left="383" w:right="20" w:hanging="383"/>
        <w:spacing w:after="0" w:line="233" w:lineRule="auto"/>
        <w:tabs>
          <w:tab w:leader="none" w:pos="38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184" w:lineRule="exact"/>
        <w:rPr>
          <w:rFonts w:ascii="Times New Roman" w:cs="Times New Roman" w:eastAsia="Times New Roman" w:hAnsi="Times New Roman"/>
          <w:sz w:val="22"/>
          <w:szCs w:val="22"/>
          <w:color w:val="auto"/>
        </w:rPr>
      </w:pPr>
    </w:p>
    <w:p>
      <w:pPr>
        <w:ind w:left="383" w:hanging="383"/>
        <w:spacing w:after="0"/>
        <w:tabs>
          <w:tab w:leader="none" w:pos="38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means the Nasdaq Stock Market LLC.</w:t>
      </w:r>
    </w:p>
    <w:p>
      <w:pPr>
        <w:spacing w:after="0" w:line="206" w:lineRule="exact"/>
        <w:rPr>
          <w:rFonts w:ascii="Times New Roman" w:cs="Times New Roman" w:eastAsia="Times New Roman" w:hAnsi="Times New Roman"/>
          <w:sz w:val="22"/>
          <w:szCs w:val="22"/>
          <w:color w:val="auto"/>
        </w:rPr>
      </w:pPr>
    </w:p>
    <w:p>
      <w:pPr>
        <w:ind w:left="383" w:right="60" w:hanging="383"/>
        <w:spacing w:after="0" w:line="235" w:lineRule="auto"/>
        <w:tabs>
          <w:tab w:leader="none" w:pos="38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any person who served the Company in any of the following roles at any time during the performance period applicable to Incentive-Based Compensation such person received during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178" w:lineRule="exact"/>
        <w:rPr>
          <w:rFonts w:ascii="Times New Roman" w:cs="Times New Roman" w:eastAsia="Times New Roman" w:hAnsi="Times New Roman"/>
          <w:sz w:val="22"/>
          <w:szCs w:val="22"/>
          <w:color w:val="auto"/>
        </w:rPr>
      </w:pPr>
    </w:p>
    <w:p>
      <w:pPr>
        <w:ind w:left="383" w:hanging="383"/>
        <w:spacing w:after="0" w:line="244" w:lineRule="auto"/>
        <w:tabs>
          <w:tab w:leader="none" w:pos="38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Measures</w:t>
      </w:r>
      <w:r>
        <w:rPr>
          <w:rFonts w:ascii="Times New Roman" w:cs="Times New Roman" w:eastAsia="Times New Roman" w:hAnsi="Times New Roman"/>
          <w:sz w:val="22"/>
          <w:szCs w:val="22"/>
          <w:color w:val="auto"/>
        </w:rPr>
        <w:t>” mean measures that are determined and presented in accordance with the accounting principles used in preparing the Company’s financial statements, any measures that are derived wholly or in part from such measures</w:t>
      </w:r>
    </w:p>
    <w:p>
      <w:pPr>
        <w:spacing w:after="0" w:line="389"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1198245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49" w:name="page150"/>
    <w:bookmarkEnd w:id="149"/>
    <w:p>
      <w:pPr>
        <w:spacing w:after="0" w:line="1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(including, for example, a non-GAAP financial measure), and stock price and total shareholder return.</w:t>
      </w:r>
    </w:p>
    <w:p>
      <w:pPr>
        <w:spacing w:after="0" w:line="206" w:lineRule="exact"/>
        <w:rPr>
          <w:sz w:val="20"/>
          <w:szCs w:val="20"/>
          <w:color w:val="auto"/>
        </w:rPr>
      </w:pPr>
    </w:p>
    <w:p>
      <w:pPr>
        <w:ind w:left="1140" w:hanging="383"/>
        <w:spacing w:after="0" w:line="238" w:lineRule="auto"/>
        <w:tabs>
          <w:tab w:leader="none" w:pos="11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Financial Restatement</w:t>
      </w:r>
      <w:r>
        <w:rPr>
          <w:rFonts w:ascii="Times New Roman" w:cs="Times New Roman" w:eastAsia="Times New Roman" w:hAnsi="Times New Roman"/>
          <w:sz w:val="22"/>
          <w:szCs w:val="22"/>
          <w:color w:val="auto"/>
        </w:rPr>
        <w: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76" w:lineRule="exact"/>
        <w:rPr>
          <w:rFonts w:ascii="Times New Roman" w:cs="Times New Roman" w:eastAsia="Times New Roman" w:hAnsi="Times New Roman"/>
          <w:sz w:val="22"/>
          <w:szCs w:val="22"/>
          <w:color w:val="auto"/>
        </w:rPr>
      </w:pPr>
    </w:p>
    <w:p>
      <w:pPr>
        <w:ind w:left="1140" w:right="120" w:hanging="383"/>
        <w:spacing w:after="0" w:line="238" w:lineRule="auto"/>
        <w:tabs>
          <w:tab w:leader="none" w:pos="11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provided, directly or indirectly, by the Company or any of its subsidiaries that is granted, earned, or vested based, in whole or in part, upon the attainment of a Financial Reporting Measure and any equity-based compensation provided by the Company or any of its subsidiaries, including, without limitation, stock options, restricted stock awards, restricted stock units and stock appreciation rights.</w:t>
      </w:r>
    </w:p>
    <w:p>
      <w:pPr>
        <w:spacing w:after="0" w:line="176" w:lineRule="exact"/>
        <w:rPr>
          <w:rFonts w:ascii="Times New Roman" w:cs="Times New Roman" w:eastAsia="Times New Roman" w:hAnsi="Times New Roman"/>
          <w:sz w:val="22"/>
          <w:szCs w:val="22"/>
          <w:color w:val="auto"/>
        </w:rPr>
      </w:pPr>
    </w:p>
    <w:p>
      <w:pPr>
        <w:ind w:left="1140" w:right="40" w:hanging="383"/>
        <w:spacing w:after="0" w:line="239" w:lineRule="auto"/>
        <w:tabs>
          <w:tab w:leader="none" w:pos="11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means, with respect to a Financial Restatement, the earlier to occur of: (i) the date the Board or the Audit Committee of the Board concludes, or reasonably should have concluded, that the Company is required to prepare the Financial Restatement or (ii) the date a court, regulator or other legally authorized body directs the Company to prepare the Financial Restatement.</w:t>
      </w:r>
    </w:p>
    <w:p>
      <w:pPr>
        <w:spacing w:after="0" w:line="176" w:lineRule="exact"/>
        <w:rPr>
          <w:sz w:val="20"/>
          <w:szCs w:val="20"/>
          <w:color w:val="auto"/>
        </w:rPr>
      </w:pPr>
    </w:p>
    <w:p>
      <w:pPr>
        <w:ind w:left="440" w:hanging="432"/>
        <w:spacing w:after="0"/>
        <w:tabs>
          <w:tab w:leader="none" w:pos="44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Compensation Recovery Requirement</w:t>
      </w:r>
    </w:p>
    <w:p>
      <w:pPr>
        <w:spacing w:after="0" w:line="21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77" w:lineRule="exact"/>
        <w:rPr>
          <w:sz w:val="20"/>
          <w:szCs w:val="20"/>
          <w:color w:val="auto"/>
        </w:rPr>
      </w:pPr>
    </w:p>
    <w:p>
      <w:pPr>
        <w:ind w:left="440" w:hanging="432"/>
        <w:spacing w:after="0"/>
        <w:tabs>
          <w:tab w:leader="none" w:pos="44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Considerations</w:t>
      </w:r>
    </w:p>
    <w:p>
      <w:pPr>
        <w:spacing w:after="0" w:line="210"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69" w:lineRule="exact"/>
        <w:rPr>
          <w:sz w:val="20"/>
          <w:szCs w:val="20"/>
          <w:color w:val="auto"/>
        </w:rPr>
      </w:pPr>
    </w:p>
    <w:p>
      <w:pPr>
        <w:ind w:left="440" w:hanging="432"/>
        <w:spacing w:after="0"/>
        <w:tabs>
          <w:tab w:leader="none" w:pos="44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Recovery Where Intentional Misconduct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0" w:name="page151"/>
    <w:bookmarkEnd w:id="150"/>
    <w:p>
      <w:pPr>
        <w:spacing w:after="0" w:line="14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In addition to (and without limiting) the provisions of paragraph 2 above, in the event the Company is required to prepare a Financial Restatement after the Effective Date and the Board (or a duly established committee thereof), in its sole discretion, determines that a Covered Person’s act or omission contributed to the circumstances requiring the Financial Restatement and such act or omission involved any of the following: (i) willful, knowing or intentional misconduct or a willful, knowing or intentional violation of any of the Company’s rules or any applicable legal or regulatory requirements in the course of the Covered Person’s employment by the Company or (ii) fraud in the course of the Covered Person’s employment by the Company, the Company will use reasonable efforts to recover from such Covered Person up to 100% (as determined by the Board or a duly established committee thereof in its sole discretion) of the Incentive-Based Compensation received by such Covered Person from the Company during the three fiscal years preceding the date on which the Company determined that it is required to prepare a Financial Restatement.</w:t>
      </w:r>
    </w:p>
    <w:p>
      <w:pPr>
        <w:spacing w:after="0" w:line="175" w:lineRule="exact"/>
        <w:rPr>
          <w:sz w:val="20"/>
          <w:szCs w:val="20"/>
          <w:color w:val="auto"/>
        </w:rPr>
      </w:pPr>
    </w:p>
    <w:p>
      <w:pPr>
        <w:ind w:left="440" w:hanging="432"/>
        <w:spacing w:after="0"/>
        <w:tabs>
          <w:tab w:leader="none" w:pos="44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Compensation Recovery</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Committee shall determine, in its sole discretion, the method for recovering Erroneously Awarded Compensation hereunder, which may include, without limitation, any one or more of the following:</w:t>
      </w:r>
    </w:p>
    <w:p>
      <w:pPr>
        <w:spacing w:after="0" w:line="158" w:lineRule="exact"/>
        <w:rPr>
          <w:sz w:val="20"/>
          <w:szCs w:val="20"/>
          <w:color w:val="auto"/>
        </w:rPr>
      </w:pPr>
    </w:p>
    <w:p>
      <w:pPr>
        <w:ind w:left="1500" w:hanging="369"/>
        <w:spacing w:after="0"/>
        <w:tabs>
          <w:tab w:leader="none" w:pos="15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Incentive-Based Compensation previously paid;</w:t>
      </w:r>
    </w:p>
    <w:p>
      <w:pPr>
        <w:spacing w:after="0" w:line="206" w:lineRule="exact"/>
        <w:rPr>
          <w:rFonts w:ascii="Times New Roman" w:cs="Times New Roman" w:eastAsia="Times New Roman" w:hAnsi="Times New Roman"/>
          <w:sz w:val="22"/>
          <w:szCs w:val="22"/>
          <w:color w:val="auto"/>
        </w:rPr>
      </w:pPr>
    </w:p>
    <w:p>
      <w:pPr>
        <w:ind w:left="1500" w:right="180" w:hanging="369"/>
        <w:spacing w:after="0" w:line="258" w:lineRule="auto"/>
        <w:tabs>
          <w:tab w:leader="none" w:pos="15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equity-based awards;</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offsetting against planned future grants of equity-based awards; and/or</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by applicable law or contract.</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6" w:lineRule="exact"/>
        <w:rPr>
          <w:sz w:val="20"/>
          <w:szCs w:val="20"/>
          <w:color w:val="auto"/>
        </w:rPr>
      </w:pPr>
    </w:p>
    <w:p>
      <w:pPr>
        <w:ind w:left="440" w:hanging="432"/>
        <w:spacing w:after="0"/>
        <w:tabs>
          <w:tab w:leader="none" w:pos="44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Interpretation</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51" w:name="page152"/>
    <w:bookmarkEnd w:id="151"/>
    <w:p>
      <w:pPr>
        <w:spacing w:after="0" w:line="144" w:lineRule="exact"/>
        <w:rPr>
          <w:sz w:val="20"/>
          <w:szCs w:val="20"/>
          <w:color w:val="auto"/>
        </w:rPr>
      </w:pPr>
    </w:p>
    <w:p>
      <w:pPr>
        <w:ind w:right="360"/>
        <w:spacing w:after="0" w:line="236" w:lineRule="auto"/>
        <w:rPr>
          <w:sz w:val="20"/>
          <w:szCs w:val="20"/>
          <w:color w:val="auto"/>
        </w:rPr>
      </w:pPr>
      <w:r>
        <w:rPr>
          <w:rFonts w:ascii="Times New Roman" w:cs="Times New Roman" w:eastAsia="Times New Roman" w:hAnsi="Times New Roman"/>
          <w:sz w:val="22"/>
          <w:szCs w:val="22"/>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spacing w:after="0" w:line="177" w:lineRule="exact"/>
        <w:rPr>
          <w:sz w:val="20"/>
          <w:szCs w:val="20"/>
          <w:color w:val="auto"/>
        </w:rPr>
      </w:pPr>
    </w:p>
    <w:p>
      <w:pPr>
        <w:ind w:left="440" w:hanging="432"/>
        <w:spacing w:after="0"/>
        <w:tabs>
          <w:tab w:leader="none" w:pos="44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Administration</w:t>
      </w:r>
    </w:p>
    <w:p>
      <w:pPr>
        <w:spacing w:after="0" w:line="21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Compensation Recovery Repayments not Subject to Indemnification</w:t>
      </w:r>
    </w:p>
    <w:p>
      <w:pPr>
        <w:spacing w:after="0" w:line="210"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21"/>
          <w:szCs w:val="21"/>
          <w:color w:val="auto"/>
        </w:rPr>
        <w:t>Notwithstanding anything to the contrary set forth in any agreement with, or the organizational documents of, the Company or any of its subsidiaries, Covered Persons are not entitled to indemnification for Erroneously Awarded Compensation or for any claim or losses arising out of or in any way related to Erroneously Awarded Compensation recovered under this Policy.</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52" w:name="page153"/>
    <w:bookmarkEnd w:id="1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1)"/>
      <w:numFmt w:val="decimal"/>
      <w:start w:val="2"/>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1)"/>
      <w:numFmt w:val="lowerLetter"/>
      <w:start w:val="2"/>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lowerRoman"/>
      <w:start w:val="1"/>
    </w:lvl>
  </w:abstractNum>
  <w:abstractNum w:abstractNumId="53">
    <w:nsid w:val="5FF87E05"/>
    <w:multiLevelType w:val="hybridMultilevel"/>
    <w:lvl w:ilvl="0">
      <w:lvlJc w:val="left"/>
      <w:lvlText w:val="(%1)"/>
      <w:numFmt w:val="lowerRoman"/>
      <w:start w:val="1"/>
    </w:lvl>
  </w:abstractNum>
  <w:abstractNum w:abstractNumId="54">
    <w:nsid w:val="2F305DEF"/>
    <w:multiLevelType w:val="hybridMultilevel"/>
    <w:lvl w:ilvl="0">
      <w:lvlJc w:val="left"/>
      <w:lvlText w:val="(%1)"/>
      <w:numFmt w:val="lowerRoman"/>
      <w:start w:val="3"/>
    </w:lvl>
  </w:abstractNum>
  <w:abstractNum w:abstractNumId="55">
    <w:nsid w:val="25A70BF7"/>
    <w:multiLevelType w:val="hybridMultilevel"/>
    <w:lvl w:ilvl="0">
      <w:lvlJc w:val="left"/>
      <w:lvlText w:val="#"/>
      <w:numFmt w:val="bullet"/>
      <w:start w:val="1"/>
    </w:lvl>
    <w:lvl w:ilvl="1">
      <w:lvlJc w:val="left"/>
      <w:lvlText w:val="%2"/>
      <w:numFmt w:val="decimal"/>
      <w:start w:val="104"/>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1."/>
      <w:numFmt w:val="upperLetter"/>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1"/>
    </w:lvl>
    <w:lvl w:ilvl="1">
      <w:lvlJc w:val="left"/>
      <w:lvlText w:val="(%2)"/>
      <w:numFmt w:val="lowerLetter"/>
      <w:start w:val="1"/>
    </w:lvl>
  </w:abstractNum>
  <w:abstractNum w:abstractNumId="60">
    <w:nsid w:val="5DB70AE5"/>
    <w:multiLevelType w:val="hybridMultilevel"/>
    <w:lvl w:ilvl="0">
      <w:lvlJc w:val="left"/>
      <w:lvlText w:val="%1."/>
      <w:numFmt w:val="decimal"/>
      <w:start w:val="1"/>
    </w:lvl>
    <w:lvl w:ilvl="1">
      <w:lvlJc w:val="left"/>
      <w:lvlText w:val="(%2)"/>
      <w:numFmt w:val="lowerLetter"/>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2"/>
    </w:lvl>
  </w:abstractNum>
  <w:abstractNum w:abstractNumId="65">
    <w:nsid w:val="98A3148"/>
    <w:multiLevelType w:val="hybridMultilevel"/>
    <w:lvl w:ilvl="0">
      <w:lvlJc w:val="left"/>
      <w:lvlText w:val="%1."/>
      <w:numFmt w:val="decimal"/>
      <w:start w:val="3"/>
    </w:lvl>
    <w:lvl w:ilvl="1">
      <w:lvlJc w:val="left"/>
      <w:lvlText w:val="%2."/>
      <w:numFmt w:val="lowerLetter"/>
      <w:start w:val="1"/>
    </w:lvl>
  </w:abstractNum>
  <w:abstractNum w:abstractNumId="66">
    <w:nsid w:val="799D0247"/>
    <w:multiLevelType w:val="hybridMultilevel"/>
    <w:lvl w:ilvl="0">
      <w:lvlJc w:val="left"/>
      <w:lvlText w:val="%1."/>
      <w:numFmt w:val="lowerLetter"/>
      <w:start w:val="6"/>
    </w:lvl>
  </w:abstractNum>
  <w:abstractNum w:abstractNumId="67">
    <w:nsid w:val="6B94764"/>
    <w:multiLevelType w:val="hybridMultilevel"/>
    <w:lvl w:ilvl="0">
      <w:lvlJc w:val="left"/>
      <w:lvlText w:val="%1."/>
      <w:numFmt w:val="lowerLetter"/>
      <w:start w:val="11"/>
    </w:lvl>
  </w:abstractNum>
  <w:abstractNum w:abstractNumId="68">
    <w:nsid w:val="42C296BD"/>
    <w:multiLevelType w:val="hybridMultilevel"/>
    <w:lvl w:ilvl="0">
      <w:lvlJc w:val="left"/>
      <w:lvlText w:val="%1."/>
      <w:numFmt w:val="decimal"/>
      <w:start w:val="4"/>
    </w:lvl>
  </w:abstractNum>
  <w:abstractNum w:abstractNumId="69">
    <w:nsid w:val="168E121F"/>
    <w:multiLevelType w:val="hybridMultilevel"/>
    <w:lvl w:ilvl="0">
      <w:lvlJc w:val="left"/>
      <w:lvlText w:val="%1."/>
      <w:numFmt w:val="decimal"/>
      <w:start w:val="5"/>
    </w:lvl>
  </w:abstractNum>
  <w:abstractNum w:abstractNumId="70">
    <w:nsid w:val="1EBA5D23"/>
    <w:multiLevelType w:val="hybridMultilevel"/>
    <w:lvl w:ilvl="0">
      <w:lvlJc w:val="left"/>
      <w:lvlText w:val="%1."/>
      <w:numFmt w:val="decimal"/>
      <w:start w:val="6"/>
    </w:lvl>
  </w:abstractNum>
  <w:abstractNum w:abstractNumId="71">
    <w:nsid w:val="661E3F1E"/>
    <w:multiLevelType w:val="hybridMultilevel"/>
    <w:lvl w:ilvl="0">
      <w:lvlJc w:val="left"/>
      <w:lvlText w:val="%1."/>
      <w:numFmt w:val="decimal"/>
      <w:start w:val="7"/>
    </w:lvl>
  </w:abstractNum>
  <w:abstractNum w:abstractNumId="72">
    <w:nsid w:val="5DC79EA8"/>
    <w:multiLevelType w:val="hybridMultilevel"/>
    <w:lvl w:ilvl="0">
      <w:lvlJc w:val="left"/>
      <w:lvlText w:val="%1."/>
      <w:numFmt w:val="lowerLetter"/>
      <w:start w:val="1"/>
    </w:lvl>
  </w:abstractNum>
  <w:abstractNum w:abstractNumId="73">
    <w:nsid w:val="540A471C"/>
    <w:multiLevelType w:val="hybridMultilevel"/>
    <w:lvl w:ilvl="0">
      <w:lvlJc w:val="left"/>
      <w:lvlText w:val="%1."/>
      <w:numFmt w:val="decimal"/>
      <w:start w:val="8"/>
    </w:lvl>
  </w:abstractNum>
  <w:abstractNum w:abstractNumId="74">
    <w:nsid w:val="7BD3EE7B"/>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52" Type="http://schemas.openxmlformats.org/officeDocument/2006/relationships/image" Target="media/image312.png"/><Relationship Id="rId353" Type="http://schemas.openxmlformats.org/officeDocument/2006/relationships/image" Target="media/image313.png"/><Relationship Id="rId354" Type="http://schemas.openxmlformats.org/officeDocument/2006/relationships/image" Target="media/image314.png"/><Relationship Id="rId355" Type="http://schemas.openxmlformats.org/officeDocument/2006/relationships/image" Target="media/image315.png"/><Relationship Id="rId356" Type="http://schemas.openxmlformats.org/officeDocument/2006/relationships/image" Target="media/image316.png"/><Relationship Id="rId357" Type="http://schemas.openxmlformats.org/officeDocument/2006/relationships/image" Target="media/image317.png"/><Relationship Id="rId358" Type="http://schemas.openxmlformats.org/officeDocument/2006/relationships/image" Target="media/image318.png"/><Relationship Id="rId359" Type="http://schemas.openxmlformats.org/officeDocument/2006/relationships/image" Target="media/image319.png"/><Relationship Id="rId360" Type="http://schemas.openxmlformats.org/officeDocument/2006/relationships/image" Target="media/image320.png"/><Relationship Id="rId361" Type="http://schemas.openxmlformats.org/officeDocument/2006/relationships/image" Target="media/image321.png"/><Relationship Id="rId362" Type="http://schemas.openxmlformats.org/officeDocument/2006/relationships/image" Target="media/image322.png"/><Relationship Id="rId363" Type="http://schemas.openxmlformats.org/officeDocument/2006/relationships/image" Target="media/image323.png"/><Relationship Id="rId364" Type="http://schemas.openxmlformats.org/officeDocument/2006/relationships/image" Target="media/image324.png"/><Relationship Id="rId365" Type="http://schemas.openxmlformats.org/officeDocument/2006/relationships/image" Target="media/image325.png"/><Relationship Id="rId366" Type="http://schemas.openxmlformats.org/officeDocument/2006/relationships/image" Target="media/image326.png"/><Relationship Id="rId367" Type="http://schemas.openxmlformats.org/officeDocument/2006/relationships/image" Target="media/image327.png"/><Relationship Id="rId368" Type="http://schemas.openxmlformats.org/officeDocument/2006/relationships/image" Target="media/image328.png"/><Relationship Id="rId369" Type="http://schemas.openxmlformats.org/officeDocument/2006/relationships/image" Target="media/image329.png"/><Relationship Id="rId370" Type="http://schemas.openxmlformats.org/officeDocument/2006/relationships/image" Target="media/image330.png"/><Relationship Id="rId371" Type="http://schemas.openxmlformats.org/officeDocument/2006/relationships/image" Target="media/image331.png"/><Relationship Id="rId372" Type="http://schemas.openxmlformats.org/officeDocument/2006/relationships/image" Target="media/image332.png"/><Relationship Id="rId373" Type="http://schemas.openxmlformats.org/officeDocument/2006/relationships/image" Target="media/image333.png"/><Relationship Id="rId374" Type="http://schemas.openxmlformats.org/officeDocument/2006/relationships/image" Target="media/image334.png"/><Relationship Id="rId375" Type="http://schemas.openxmlformats.org/officeDocument/2006/relationships/image" Target="media/image335.png"/><Relationship Id="rId376" Type="http://schemas.openxmlformats.org/officeDocument/2006/relationships/image" Target="media/image336.png"/><Relationship Id="rId377" Type="http://schemas.openxmlformats.org/officeDocument/2006/relationships/image" Target="media/image337.png"/><Relationship Id="rId378" Type="http://schemas.openxmlformats.org/officeDocument/2006/relationships/image" Target="media/image338.png"/><Relationship Id="rId379" Type="http://schemas.openxmlformats.org/officeDocument/2006/relationships/image" Target="media/image339.png"/><Relationship Id="rId380" Type="http://schemas.openxmlformats.org/officeDocument/2006/relationships/image" Target="media/image340.png"/><Relationship Id="rId381" Type="http://schemas.openxmlformats.org/officeDocument/2006/relationships/image" Target="media/image341.png"/><Relationship Id="rId382" Type="http://schemas.openxmlformats.org/officeDocument/2006/relationships/image" Target="media/image342.png"/><Relationship Id="rId383" Type="http://schemas.openxmlformats.org/officeDocument/2006/relationships/image" Target="media/image343.png"/><Relationship Id="rId384" Type="http://schemas.openxmlformats.org/officeDocument/2006/relationships/image" Target="media/image344.png"/><Relationship Id="rId385" Type="http://schemas.openxmlformats.org/officeDocument/2006/relationships/image" Target="media/image345.png"/><Relationship Id="rId317" Type="http://schemas.openxmlformats.org/officeDocument/2006/relationships/hyperlink" Target="https://www.sec.gov/Archives/edgar/data/0001680581/000104746919004324/a2239321zex-3_1.htm" TargetMode="External"/><Relationship Id="rId318" Type="http://schemas.openxmlformats.org/officeDocument/2006/relationships/hyperlink" Target="https://www.sec.gov/Archives/edgar/data/1680581/000119312523164435/d463131dex31.htm" TargetMode="External"/><Relationship Id="rId319" Type="http://schemas.openxmlformats.org/officeDocument/2006/relationships/hyperlink" Target="https://www.sec.gov/Archives/edgar/data/0001680581/000104746919004324/a2239321zex-3_2.htm" TargetMode="External"/><Relationship Id="rId320" Type="http://schemas.openxmlformats.org/officeDocument/2006/relationships/hyperlink" Target="https://www.sec.gov/Archives/edgar/data/1680581/000104746919003793/a2239080zex-4_1.htm" TargetMode="External"/><Relationship Id="rId321" Type="http://schemas.openxmlformats.org/officeDocument/2006/relationships/hyperlink" Target="https://www.sec.gov/Archives/edgar/data/1680581/000156459020008951/fulc-ex42_198.htm" TargetMode="External"/><Relationship Id="rId322" Type="http://schemas.openxmlformats.org/officeDocument/2006/relationships/hyperlink" Target="https://www.sec.gov/Archives/edgar/data/1680581/000104746919003793/a2239080zex-10_2.htm" TargetMode="External"/><Relationship Id="rId323" Type="http://schemas.openxmlformats.org/officeDocument/2006/relationships/hyperlink" Target="https://www.sec.gov/Archives/edgar/data/1680581/000104746919003793/a2239080zex-10_3.htm" TargetMode="External"/><Relationship Id="rId324" Type="http://schemas.openxmlformats.org/officeDocument/2006/relationships/hyperlink" Target="https://www.sec.gov/Archives/edgar/data/1680581/000104746919003793/a2239080zex-10_4.htm" TargetMode="External"/><Relationship Id="rId325" Type="http://schemas.openxmlformats.org/officeDocument/2006/relationships/hyperlink" Target="https://www.sec.gov/Archives/edgar/data/1680581/000104746919003793/a2239080zex-10_5.htm" TargetMode="External"/><Relationship Id="rId326" Type="http://schemas.openxmlformats.org/officeDocument/2006/relationships/hyperlink" Target="https://www.sec.gov/Archives/edgar/data/0001680581/000104746919004014/a2239182zex-10_6.htm" TargetMode="External"/><Relationship Id="rId327" Type="http://schemas.openxmlformats.org/officeDocument/2006/relationships/hyperlink" Target="https://www.sec.gov/Archives/edgar/data/0001680581/000104746919004014/a2239182zex-10_7.htm" TargetMode="External"/><Relationship Id="rId328" Type="http://schemas.openxmlformats.org/officeDocument/2006/relationships/hyperlink" Target="https://www.sec.gov/Archives/edgar/data/1680581/000156459021054234/fulc-ex101_13.htm" TargetMode="External"/><Relationship Id="rId329" Type="http://schemas.openxmlformats.org/officeDocument/2006/relationships/hyperlink" Target="https://www.sec.gov/Archives/edgar/data/1680581/000095017022002727/fulc-ex10_10.htm" TargetMode="External"/><Relationship Id="rId330" Type="http://schemas.openxmlformats.org/officeDocument/2006/relationships/hyperlink" Target="https://www.sec.gov/Archives/edgar/data/0001680581/000104746919004014/a2239182zex-10_8.htm" TargetMode="External"/><Relationship Id="rId331" Type="http://schemas.openxmlformats.org/officeDocument/2006/relationships/hyperlink" Target="https://www.sec.gov/Archives/edgar/data/1680581/000095017022002727/fulc-ex10_12.htm" TargetMode="External"/><Relationship Id="rId332" Type="http://schemas.openxmlformats.org/officeDocument/2006/relationships/hyperlink" Target="https://www.sec.gov/Archives/edgar/data/1680581/000095017023006841/fulc-ex10_13.htm" TargetMode="External"/><Relationship Id="rId333" Type="http://schemas.openxmlformats.org/officeDocument/2006/relationships/hyperlink" Target="https://www.sec.gov/Archives/edgar/data/1680581/000095017022002727/fulc-ex10_13.htm" TargetMode="External"/><Relationship Id="rId334" Type="http://schemas.openxmlformats.org/officeDocument/2006/relationships/hyperlink" Target="https://www.sec.gov/Archives/edgar/data/1680581/000095017022002727/fulc-ex10_14.htm" TargetMode="External"/><Relationship Id="rId335" Type="http://schemas.openxmlformats.org/officeDocument/2006/relationships/hyperlink" Target="https://www.sec.gov/Archives/edgar/data/1680581/000095017023006841/fulc-ex10_16.htm" TargetMode="External"/><Relationship Id="rId338" Type="http://schemas.openxmlformats.org/officeDocument/2006/relationships/hyperlink" Target="https://www.sec.gov/Archives/edgar/data/0001680581/000104746919004014/a2239182zex-10_12.htm" TargetMode="External"/><Relationship Id="rId339" Type="http://schemas.openxmlformats.org/officeDocument/2006/relationships/hyperlink" Target="https://www.sec.gov/Archives/edgar/data/1680581/000095017023006841/fulc-ex10_18.htm" TargetMode="External"/><Relationship Id="rId340" Type="http://schemas.openxmlformats.org/officeDocument/2006/relationships/hyperlink" Target="https://www.sec.gov/Archives/edgar/data/1680581/000095017023006841/fulc-ex10_19.htm" TargetMode="External"/><Relationship Id="rId341" Type="http://schemas.openxmlformats.org/officeDocument/2006/relationships/hyperlink" Target="https://www.sec.gov/Archives/edgar/data/1680581/000095017023037579/fulc-ex10_2.htm" TargetMode="External"/><Relationship Id="rId342" Type="http://schemas.openxmlformats.org/officeDocument/2006/relationships/hyperlink" Target="https://www.sec.gov/Archives/edgar/data/1680581/000095017023059755/fulc-ex10_2.htm" TargetMode="External"/><Relationship Id="rId343" Type="http://schemas.openxmlformats.org/officeDocument/2006/relationships/hyperlink" Target="https://www.sec.gov/Archives/edgar/data/1680581/000156459021010715/fulc-ex1016_279.htm" TargetMode="External"/><Relationship Id="rId344" Type="http://schemas.openxmlformats.org/officeDocument/2006/relationships/hyperlink" Target="https://www.sec.gov/Archives/edgar/data/0001680581/000104746919003793/a2239080zex-10_15.htm" TargetMode="External"/><Relationship Id="rId345" Type="http://schemas.openxmlformats.org/officeDocument/2006/relationships/hyperlink" Target="https://www.sec.gov/Archives/edgar/data/1680581/000095017023021960/fulc-ex10_1.htm" TargetMode="External"/><Relationship Id="rId346" Type="http://schemas.openxmlformats.org/officeDocument/2006/relationships/hyperlink" Target="https://www.sec.gov/Archives/edgar/data/1680581/000104746919003793/a2239080zex-10_10.htm" TargetMode="External"/><Relationship Id="rId347" Type="http://schemas.openxmlformats.org/officeDocument/2006/relationships/hyperlink" Target="https://www.sec.gov/Archives/edgar/data/1680581/000156459020052732/fulc-ex102_13.htm" TargetMode="External"/><Relationship Id="rId348" Type="http://schemas.openxmlformats.org/officeDocument/2006/relationships/hyperlink" Target="https://www.sec.gov/Archives/edgar/data/1680581/000156459020052732/fulc-ex101_12.htm" TargetMode="External"/><Relationship Id="rId349" Type="http://schemas.openxmlformats.org/officeDocument/2006/relationships/hyperlink" Target="https://www.sec.gov/Archives/edgar/data/1680581/000095017023037579/fulc-ex10_1.htm" TargetMode="External"/><Relationship Id="rId350" Type="http://schemas.openxmlformats.org/officeDocument/2006/relationships/hyperlink" Target="https://www.sec.gov/Archives/edgar/data/1680581/000095017023059755/fulc-ex10_1.htm" TargetMode="External"/><Relationship Id="rId351" Type="http://schemas.openxmlformats.org/officeDocument/2006/relationships/hyperlink" Target="https://www.sec.gov/Archives/edgar/data/1680581/000104746919003793/a2239080zex-10_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2024-02-27T15:34:51Z</dcterms:created>
  <dcterms:modified xsi:type="dcterms:W3CDTF">2024-02-27T15:34:51Z</dcterms:modified>
</cp:coreProperties>
</file>