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15,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449" w:right="25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Fulcrum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 (File No. 333-232260) (the “Registration Statement”)</w:t>
      </w:r>
    </w:p>
    <w:p>
      <w:pPr>
        <w:spacing w:after="0" w:line="200" w:lineRule="exact"/>
        <w:rPr>
          <w:sz w:val="24"/>
          <w:szCs w:val="24"/>
          <w:color w:val="auto"/>
        </w:rPr>
      </w:pPr>
    </w:p>
    <w:p>
      <w:pPr>
        <w:sectPr>
          <w:pgSz w:w="11900" w:h="16838" w:orient="portrait"/>
          <w:cols w:equalWidth="0" w:num="2">
            <w:col w:w="280" w:space="380"/>
            <w:col w:w="10740"/>
          </w:cols>
          <w:pgMar w:left="240" w:top="449" w:right="25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4"/>
          <w:szCs w:val="24"/>
          <w:color w:val="auto"/>
        </w:rPr>
      </w:pPr>
    </w:p>
    <w:p>
      <w:pPr>
        <w:spacing w:after="0" w:line="270" w:lineRule="auto"/>
        <w:rPr>
          <w:sz w:val="20"/>
          <w:szCs w:val="20"/>
          <w:color w:val="auto"/>
        </w:rPr>
      </w:pPr>
      <w:r>
        <w:rPr>
          <w:rFonts w:ascii="Arial" w:cs="Arial" w:eastAsia="Arial" w:hAnsi="Arial"/>
          <w:sz w:val="18"/>
          <w:szCs w:val="18"/>
          <w:color w:val="auto"/>
        </w:rPr>
        <w:t xml:space="preserve">In connection with the above-referenced Registration Statement, and pursuant to Rule 461 under the </w:t>
      </w:r>
      <w:r>
        <w:rPr>
          <w:rFonts w:ascii="Arial" w:cs="Arial" w:eastAsia="Arial" w:hAnsi="Arial"/>
          <w:sz w:val="17"/>
          <w:szCs w:val="17"/>
          <w:color w:val="auto"/>
        </w:rPr>
        <w:t>Securities Act of 1933, as amended (the “Act”), we hereby</w:t>
      </w:r>
      <w:r>
        <w:rPr>
          <w:rFonts w:ascii="Arial" w:cs="Arial" w:eastAsia="Arial" w:hAnsi="Arial"/>
          <w:sz w:val="18"/>
          <w:szCs w:val="18"/>
          <w:color w:val="auto"/>
        </w:rPr>
        <w:t xml:space="preserve"> </w:t>
      </w:r>
      <w:r>
        <w:rPr>
          <w:rFonts w:ascii="Arial" w:cs="Arial" w:eastAsia="Arial" w:hAnsi="Arial"/>
          <w:sz w:val="17"/>
          <w:szCs w:val="17"/>
          <w:color w:val="auto"/>
        </w:rPr>
        <w:t>join in the request of Fulcrum Therapeutics, Inc. that the effective date of the Registration Statement be accelerated so that it will be declared effective at 4:00 p.m. Eastern Time on July 17, 2019, or as soon thereafter as practicable.</w:t>
      </w:r>
    </w:p>
    <w:p>
      <w:pPr>
        <w:spacing w:after="0" w:line="179"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Pursuant to Rule 460 under the Act, please be advised that we and the other prospective underwriters have distributed approximately 2,503 copies of the preliminary prospectus, dated as of July 8, 2019 (the “Preliminary Prospectus”) through the date hereof to underwriters, dealers, institutions and others, prior to the requested effective time of the Registration Statement.</w:t>
      </w:r>
    </w:p>
    <w:p>
      <w:pPr>
        <w:spacing w:after="0" w:line="181" w:lineRule="exact"/>
        <w:rPr>
          <w:sz w:val="24"/>
          <w:szCs w:val="24"/>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Preliminary Prospectus distribution for the above-referenced issue, we hereby confirm that we are, and the other prospective underwriters have confirmed that they are, complying with the 48-hour requirement as promulgated by Rule 15c2-8 under the Securities Exchange Act of 1934, as amended.</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SVB LEERINK LLC</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MORGAN STANLEY &amp; CO. LLC.</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Kalli Dircks</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Kalli Dircks</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BOFA SECURITIES, INC.</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Michele A. H. Allong</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Michele A. H. Allong</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SVB LEERINK LLC</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Dubin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Daniel Dubin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Chairman</w:t>
            </w:r>
          </w:p>
        </w:tc>
      </w:tr>
    </w:tbl>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Request for Acceleration of Effectiveness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2019-12-20T14:50:38Z</dcterms:created>
  <dcterms:modified xsi:type="dcterms:W3CDTF">2019-12-20T14:50:38Z</dcterms:modified>
</cp:coreProperties>
</file>