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As confidentially submitted to the Securities and Exchange Commission on June 5, 2019 as Amendment No. 1 to the Confidential Submission dated May 1, 2019, File No. 377-02620</w:t>
      </w:r>
    </w:p>
    <w:p>
      <w:pPr>
        <w:spacing w:after="0" w:line="227"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FULCRUM THERAPEUTICS,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47-4839948</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26 Landsdowne Street</w:t>
      </w:r>
    </w:p>
    <w:p>
      <w:pPr>
        <w:jc w:val="center"/>
        <w:ind w:right="-19"/>
        <w:spacing w:after="0" w:line="223" w:lineRule="auto"/>
        <w:rPr>
          <w:sz w:val="20"/>
          <w:szCs w:val="20"/>
          <w:color w:val="auto"/>
        </w:rPr>
      </w:pPr>
      <w:r>
        <w:rPr>
          <w:rFonts w:ascii="Arial" w:cs="Arial" w:eastAsia="Arial" w:hAnsi="Arial"/>
          <w:sz w:val="14"/>
          <w:szCs w:val="14"/>
          <w:b w:val="1"/>
          <w:bCs w:val="1"/>
          <w:color w:val="auto"/>
        </w:rPr>
        <w:t>Cambridge, Massachusetts 02139</w:t>
      </w:r>
    </w:p>
    <w:p>
      <w:pPr>
        <w:jc w:val="center"/>
        <w:ind w:right="-19"/>
        <w:spacing w:after="0" w:line="222" w:lineRule="auto"/>
        <w:rPr>
          <w:sz w:val="20"/>
          <w:szCs w:val="20"/>
          <w:color w:val="auto"/>
        </w:rPr>
      </w:pPr>
      <w:r>
        <w:rPr>
          <w:rFonts w:ascii="Arial" w:cs="Arial" w:eastAsia="Arial" w:hAnsi="Arial"/>
          <w:sz w:val="14"/>
          <w:szCs w:val="14"/>
          <w:b w:val="1"/>
          <w:bCs w:val="1"/>
          <w:color w:val="auto"/>
        </w:rPr>
        <w:t>(617) 651-8851</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Robert J. Gould, Ph.D.</w:t>
      </w:r>
    </w:p>
    <w:p>
      <w:pPr>
        <w:jc w:val="center"/>
        <w:ind w:right="-1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9"/>
        <w:spacing w:after="0" w:line="222" w:lineRule="auto"/>
        <w:rPr>
          <w:sz w:val="20"/>
          <w:szCs w:val="20"/>
          <w:color w:val="auto"/>
        </w:rPr>
      </w:pPr>
      <w:r>
        <w:rPr>
          <w:rFonts w:ascii="Arial" w:cs="Arial" w:eastAsia="Arial" w:hAnsi="Arial"/>
          <w:sz w:val="14"/>
          <w:szCs w:val="14"/>
          <w:b w:val="1"/>
          <w:bCs w:val="1"/>
          <w:color w:val="auto"/>
        </w:rPr>
        <w:t>Fulcrum Therapeutics, Inc.</w:t>
      </w:r>
    </w:p>
    <w:p>
      <w:pPr>
        <w:jc w:val="center"/>
        <w:ind w:right="-19"/>
        <w:spacing w:after="0" w:line="221" w:lineRule="auto"/>
        <w:rPr>
          <w:sz w:val="20"/>
          <w:szCs w:val="20"/>
          <w:color w:val="auto"/>
        </w:rPr>
      </w:pPr>
      <w:r>
        <w:rPr>
          <w:rFonts w:ascii="Arial" w:cs="Arial" w:eastAsia="Arial" w:hAnsi="Arial"/>
          <w:sz w:val="14"/>
          <w:szCs w:val="14"/>
          <w:b w:val="1"/>
          <w:bCs w:val="1"/>
          <w:color w:val="auto"/>
        </w:rPr>
        <w:t>26 Landsdowne Street</w:t>
      </w:r>
    </w:p>
    <w:p>
      <w:pPr>
        <w:jc w:val="center"/>
        <w:ind w:right="-19"/>
        <w:spacing w:after="0" w:line="222" w:lineRule="auto"/>
        <w:rPr>
          <w:sz w:val="20"/>
          <w:szCs w:val="20"/>
          <w:color w:val="auto"/>
        </w:rPr>
      </w:pPr>
      <w:r>
        <w:rPr>
          <w:rFonts w:ascii="Arial" w:cs="Arial" w:eastAsia="Arial" w:hAnsi="Arial"/>
          <w:sz w:val="14"/>
          <w:szCs w:val="14"/>
          <w:b w:val="1"/>
          <w:bCs w:val="1"/>
          <w:color w:val="auto"/>
        </w:rPr>
        <w:t>Cambridge, Massachusetts 02139</w:t>
      </w:r>
    </w:p>
    <w:p>
      <w:pPr>
        <w:jc w:val="center"/>
        <w:ind w:right="-19"/>
        <w:spacing w:after="0" w:line="221" w:lineRule="auto"/>
        <w:rPr>
          <w:sz w:val="20"/>
          <w:szCs w:val="20"/>
          <w:color w:val="auto"/>
        </w:rPr>
      </w:pPr>
      <w:r>
        <w:rPr>
          <w:rFonts w:ascii="Arial" w:cs="Arial" w:eastAsia="Arial" w:hAnsi="Arial"/>
          <w:sz w:val="14"/>
          <w:szCs w:val="14"/>
          <w:b w:val="1"/>
          <w:bCs w:val="1"/>
          <w:color w:val="auto"/>
        </w:rPr>
        <w:t>(617) 651-8851</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136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4"/>
              </w:rPr>
              <w:t>Copies to:</w:t>
            </w:r>
          </w:p>
        </w:tc>
        <w:tc>
          <w:tcPr>
            <w:tcW w:w="2840" w:type="dxa"/>
            <w:vAlign w:val="bottom"/>
          </w:tcPr>
          <w:p>
            <w:pPr>
              <w:spacing w:after="0"/>
              <w:rPr>
                <w:sz w:val="15"/>
                <w:szCs w:val="15"/>
                <w:color w:val="auto"/>
              </w:rPr>
            </w:pPr>
          </w:p>
        </w:tc>
      </w:tr>
      <w:tr>
        <w:trPr>
          <w:trHeight w:val="366"/>
        </w:trPr>
        <w:tc>
          <w:tcPr>
            <w:tcW w:w="3200" w:type="dxa"/>
            <w:vAlign w:val="bottom"/>
          </w:tcPr>
          <w:p>
            <w:pPr>
              <w:jc w:val="center"/>
              <w:ind w:right="1132"/>
              <w:spacing w:after="0"/>
              <w:rPr>
                <w:sz w:val="20"/>
                <w:szCs w:val="20"/>
                <w:color w:val="auto"/>
              </w:rPr>
            </w:pPr>
            <w:r>
              <w:rPr>
                <w:rFonts w:ascii="Arial" w:cs="Arial" w:eastAsia="Arial" w:hAnsi="Arial"/>
                <w:sz w:val="14"/>
                <w:szCs w:val="14"/>
                <w:b w:val="1"/>
                <w:bCs w:val="1"/>
                <w:color w:val="auto"/>
                <w:w w:val="90"/>
              </w:rPr>
              <w:t>Lia Der Marderosian, Esq.</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Bryan Stuart</w:t>
            </w:r>
          </w:p>
        </w:tc>
        <w:tc>
          <w:tcPr>
            <w:tcW w:w="2840" w:type="dxa"/>
            <w:vAlign w:val="bottom"/>
          </w:tcPr>
          <w:p>
            <w:pPr>
              <w:jc w:val="center"/>
              <w:ind w:left="1512"/>
              <w:spacing w:after="0"/>
              <w:rPr>
                <w:sz w:val="20"/>
                <w:szCs w:val="20"/>
                <w:color w:val="auto"/>
              </w:rPr>
            </w:pPr>
            <w:r>
              <w:rPr>
                <w:rFonts w:ascii="Arial" w:cs="Arial" w:eastAsia="Arial" w:hAnsi="Arial"/>
                <w:sz w:val="14"/>
                <w:szCs w:val="14"/>
                <w:b w:val="1"/>
                <w:bCs w:val="1"/>
                <w:color w:val="auto"/>
                <w:w w:val="91"/>
              </w:rPr>
              <w:t>Patrick O'Brien, Esq.</w:t>
            </w:r>
          </w:p>
        </w:tc>
      </w:tr>
      <w:tr>
        <w:trPr>
          <w:trHeight w:val="149"/>
        </w:trPr>
        <w:tc>
          <w:tcPr>
            <w:tcW w:w="3200" w:type="dxa"/>
            <w:vAlign w:val="bottom"/>
          </w:tcPr>
          <w:p>
            <w:pPr>
              <w:jc w:val="center"/>
              <w:ind w:right="1152"/>
              <w:spacing w:after="0" w:line="149" w:lineRule="exact"/>
              <w:rPr>
                <w:sz w:val="20"/>
                <w:szCs w:val="20"/>
                <w:color w:val="auto"/>
              </w:rPr>
            </w:pPr>
            <w:r>
              <w:rPr>
                <w:rFonts w:ascii="Arial" w:cs="Arial" w:eastAsia="Arial" w:hAnsi="Arial"/>
                <w:sz w:val="14"/>
                <w:szCs w:val="14"/>
                <w:b w:val="1"/>
                <w:bCs w:val="1"/>
                <w:color w:val="auto"/>
                <w:w w:val="84"/>
              </w:rPr>
              <w:t>Steven D. Singer, Esq.</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Chief Operating Officer</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7"/>
              </w:rPr>
              <w:t>Emily Oldshue, Esq.</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90"/>
              </w:rPr>
              <w:t>Wilmer Cutler Pickering Hale and</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Fulcrum Therapeutics, Inc.</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92"/>
              </w:rPr>
              <w:t>Ropes &amp; Gray LLP</w:t>
            </w:r>
          </w:p>
        </w:tc>
      </w:tr>
      <w:tr>
        <w:trPr>
          <w:trHeight w:val="149"/>
        </w:trPr>
        <w:tc>
          <w:tcPr>
            <w:tcW w:w="3200" w:type="dxa"/>
            <w:vAlign w:val="bottom"/>
          </w:tcPr>
          <w:p>
            <w:pPr>
              <w:jc w:val="center"/>
              <w:ind w:right="1152"/>
              <w:spacing w:after="0" w:line="149" w:lineRule="exact"/>
              <w:rPr>
                <w:sz w:val="20"/>
                <w:szCs w:val="20"/>
                <w:color w:val="auto"/>
              </w:rPr>
            </w:pPr>
            <w:r>
              <w:rPr>
                <w:rFonts w:ascii="Arial" w:cs="Arial" w:eastAsia="Arial" w:hAnsi="Arial"/>
                <w:sz w:val="14"/>
                <w:szCs w:val="14"/>
                <w:b w:val="1"/>
                <w:bCs w:val="1"/>
                <w:color w:val="auto"/>
                <w:w w:val="96"/>
              </w:rPr>
              <w:t>Dorr LLP</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26 Landsdowne Street</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9"/>
              </w:rPr>
              <w:t>Prudential Tower</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86"/>
              </w:rPr>
              <w:t>60 State Street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Cambridge, Massachusetts 02139</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4"/>
              </w:rPr>
              <w:t>800 Boylston Street</w:t>
            </w:r>
          </w:p>
        </w:tc>
      </w:tr>
      <w:tr>
        <w:trPr>
          <w:trHeight w:val="149"/>
        </w:trPr>
        <w:tc>
          <w:tcPr>
            <w:tcW w:w="3200" w:type="dxa"/>
            <w:vAlign w:val="bottom"/>
          </w:tcPr>
          <w:p>
            <w:pPr>
              <w:jc w:val="center"/>
              <w:ind w:right="1132"/>
              <w:spacing w:after="0" w:line="149" w:lineRule="exact"/>
              <w:rPr>
                <w:sz w:val="20"/>
                <w:szCs w:val="20"/>
                <w:color w:val="auto"/>
              </w:rPr>
            </w:pPr>
            <w:r>
              <w:rPr>
                <w:rFonts w:ascii="Arial" w:cs="Arial" w:eastAsia="Arial" w:hAnsi="Arial"/>
                <w:sz w:val="14"/>
                <w:szCs w:val="14"/>
                <w:b w:val="1"/>
                <w:bCs w:val="1"/>
                <w:color w:val="auto"/>
                <w:w w:val="84"/>
              </w:rPr>
              <w:t>Boston, Massachusetts 02109</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(617) 651-8851</w:t>
            </w:r>
          </w:p>
        </w:tc>
        <w:tc>
          <w:tcPr>
            <w:tcW w:w="2840" w:type="dxa"/>
            <w:vAlign w:val="bottom"/>
          </w:tcPr>
          <w:p>
            <w:pPr>
              <w:jc w:val="center"/>
              <w:ind w:left="1512"/>
              <w:spacing w:after="0" w:line="149" w:lineRule="exact"/>
              <w:rPr>
                <w:sz w:val="20"/>
                <w:szCs w:val="20"/>
                <w:color w:val="auto"/>
              </w:rPr>
            </w:pPr>
            <w:r>
              <w:rPr>
                <w:rFonts w:ascii="Arial" w:cs="Arial" w:eastAsia="Arial" w:hAnsi="Arial"/>
                <w:sz w:val="14"/>
                <w:szCs w:val="14"/>
                <w:b w:val="1"/>
                <w:bCs w:val="1"/>
                <w:color w:val="auto"/>
                <w:w w:val="87"/>
              </w:rPr>
              <w:t>Boston, MA 02199</w:t>
            </w:r>
          </w:p>
        </w:tc>
      </w:tr>
      <w:tr>
        <w:trPr>
          <w:trHeight w:val="174"/>
        </w:trPr>
        <w:tc>
          <w:tcPr>
            <w:tcW w:w="3200" w:type="dxa"/>
            <w:vAlign w:val="bottom"/>
          </w:tcPr>
          <w:p>
            <w:pPr>
              <w:jc w:val="center"/>
              <w:ind w:right="1132"/>
              <w:spacing w:after="0"/>
              <w:rPr>
                <w:sz w:val="20"/>
                <w:szCs w:val="20"/>
                <w:color w:val="auto"/>
              </w:rPr>
            </w:pPr>
            <w:r>
              <w:rPr>
                <w:rFonts w:ascii="Arial" w:cs="Arial" w:eastAsia="Arial" w:hAnsi="Arial"/>
                <w:sz w:val="14"/>
                <w:szCs w:val="14"/>
                <w:b w:val="1"/>
                <w:bCs w:val="1"/>
                <w:color w:val="auto"/>
                <w:w w:val="87"/>
              </w:rPr>
              <w:t>(617) 526-6000</w:t>
            </w:r>
          </w:p>
        </w:tc>
        <w:tc>
          <w:tcPr>
            <w:tcW w:w="2300" w:type="dxa"/>
            <w:vAlign w:val="bottom"/>
          </w:tcPr>
          <w:p>
            <w:pPr>
              <w:spacing w:after="0"/>
              <w:rPr>
                <w:sz w:val="15"/>
                <w:szCs w:val="15"/>
                <w:color w:val="auto"/>
              </w:rPr>
            </w:pPr>
          </w:p>
        </w:tc>
        <w:tc>
          <w:tcPr>
            <w:tcW w:w="2840" w:type="dxa"/>
            <w:vAlign w:val="bottom"/>
          </w:tcPr>
          <w:p>
            <w:pPr>
              <w:jc w:val="center"/>
              <w:ind w:left="1512"/>
              <w:spacing w:after="0"/>
              <w:rPr>
                <w:sz w:val="20"/>
                <w:szCs w:val="20"/>
                <w:color w:val="auto"/>
              </w:rPr>
            </w:pPr>
            <w:r>
              <w:rPr>
                <w:rFonts w:ascii="Arial" w:cs="Arial" w:eastAsia="Arial" w:hAnsi="Arial"/>
                <w:sz w:val="14"/>
                <w:szCs w:val="14"/>
                <w:b w:val="1"/>
                <w:bCs w:val="1"/>
                <w:color w:val="auto"/>
                <w:w w:val="89"/>
              </w:rPr>
              <w:t>(617) 951-7000</w:t>
            </w:r>
          </w:p>
        </w:tc>
      </w:tr>
      <w:tr>
        <w:trPr>
          <w:trHeight w:val="203"/>
        </w:trPr>
        <w:tc>
          <w:tcPr>
            <w:tcW w:w="3200" w:type="dxa"/>
            <w:vAlign w:val="bottom"/>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84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As soon as practicable after this Registration Statement is declared effective.</w:t>
      </w:r>
    </w:p>
    <w:p>
      <w:pPr>
        <w:spacing w:after="0" w:line="192" w:lineRule="exact"/>
        <w:rPr>
          <w:sz w:val="24"/>
          <w:szCs w:val="24"/>
          <w:color w:val="auto"/>
        </w:rPr>
      </w:pPr>
    </w:p>
    <w:p>
      <w:pPr>
        <w:ind w:left="340"/>
        <w:spacing w:after="0"/>
        <w:tabs>
          <w:tab w:leader="none" w:pos="1032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20" w:firstLine="344"/>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0" w:firstLine="377"/>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77"/>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8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98" w:right="239" w:bottom="171" w:gutter="0" w:footer="0" w:header="0"/>
        </w:sectPr>
      </w:pPr>
    </w:p>
    <w:p>
      <w:pPr>
        <w:spacing w:after="0" w:line="19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00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11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4">
            <w:col w:w="2760" w:space="720"/>
            <w:col w:w="2000" w:space="720"/>
            <w:col w:w="2420" w:space="720"/>
            <w:col w:w="2080"/>
          </w:cols>
          <w:pgMar w:left="240" w:top="698" w:right="239" w:bottom="171" w:gutter="0" w:footer="0" w:header="0"/>
          <w:type w:val="continuous"/>
        </w:sectPr>
      </w:pPr>
    </w:p>
    <w:p>
      <w:pPr>
        <w:spacing w:after="0" w:line="15"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982980</wp:posOffset>
            </wp:positionH>
            <wp:positionV relativeFrom="paragraph">
              <wp:posOffset>292100</wp:posOffset>
            </wp:positionV>
            <wp:extent cx="529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309245</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698" w:right="239" w:bottom="171" w:gutter="0" w:footer="0" w:header="0"/>
          <w:type w:val="continuous"/>
        </w:sectPr>
      </w:pPr>
    </w:p>
    <w:bookmarkStart w:id="1" w:name="page2"/>
    <w:bookmarkEnd w:id="1"/>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jc w:val="center"/>
              <w:ind w:left="692"/>
              <w:spacing w:after="0"/>
              <w:rPr>
                <w:sz w:val="20"/>
                <w:szCs w:val="20"/>
                <w:color w:val="auto"/>
              </w:rPr>
            </w:pPr>
            <w:r>
              <w:rPr>
                <w:rFonts w:ascii="Arial" w:cs="Arial" w:eastAsia="Arial" w:hAnsi="Arial"/>
                <w:sz w:val="14"/>
                <w:szCs w:val="14"/>
                <w:b w:val="1"/>
                <w:bCs w:val="1"/>
                <w:color w:val="auto"/>
                <w:w w:val="85"/>
              </w:rPr>
              <w:t>Title of Each Class of Securities</w:t>
            </w:r>
          </w:p>
        </w:tc>
        <w:tc>
          <w:tcPr>
            <w:tcW w:w="2340" w:type="dxa"/>
            <w:vAlign w:val="bottom"/>
          </w:tcPr>
          <w:p>
            <w:pPr>
              <w:jc w:val="center"/>
              <w:ind w:left="772"/>
              <w:spacing w:after="0"/>
              <w:rPr>
                <w:sz w:val="20"/>
                <w:szCs w:val="20"/>
                <w:color w:val="auto"/>
              </w:rPr>
            </w:pPr>
            <w:r>
              <w:rPr>
                <w:rFonts w:ascii="Arial" w:cs="Arial" w:eastAsia="Arial" w:hAnsi="Arial"/>
                <w:sz w:val="14"/>
                <w:szCs w:val="14"/>
                <w:b w:val="1"/>
                <w:bCs w:val="1"/>
                <w:color w:val="auto"/>
                <w:w w:val="88"/>
              </w:rPr>
              <w:t>Proposed Maximum</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166"/>
        </w:trPr>
        <w:tc>
          <w:tcPr>
            <w:tcW w:w="20" w:type="dxa"/>
            <w:vAlign w:val="bottom"/>
          </w:tcPr>
          <w:p>
            <w:pPr>
              <w:spacing w:after="0"/>
              <w:rPr>
                <w:sz w:val="14"/>
                <w:szCs w:val="14"/>
                <w:color w:val="auto"/>
              </w:rPr>
            </w:pPr>
          </w:p>
        </w:tc>
        <w:tc>
          <w:tcPr>
            <w:tcW w:w="4620" w:type="dxa"/>
            <w:vAlign w:val="bottom"/>
          </w:tcPr>
          <w:p>
            <w:pPr>
              <w:jc w:val="center"/>
              <w:ind w:left="692"/>
              <w:spacing w:after="0"/>
              <w:rPr>
                <w:sz w:val="20"/>
                <w:szCs w:val="20"/>
                <w:color w:val="auto"/>
              </w:rPr>
            </w:pPr>
            <w:r>
              <w:rPr>
                <w:rFonts w:ascii="Arial" w:cs="Arial" w:eastAsia="Arial" w:hAnsi="Arial"/>
                <w:sz w:val="14"/>
                <w:szCs w:val="14"/>
                <w:b w:val="1"/>
                <w:bCs w:val="1"/>
                <w:color w:val="auto"/>
                <w:w w:val="84"/>
              </w:rPr>
              <w:t>to Be Registered</w:t>
            </w:r>
          </w:p>
        </w:tc>
        <w:tc>
          <w:tcPr>
            <w:tcW w:w="2340" w:type="dxa"/>
            <w:vAlign w:val="bottom"/>
          </w:tcPr>
          <w:p>
            <w:pPr>
              <w:jc w:val="center"/>
              <w:ind w:left="792"/>
              <w:spacing w:after="0"/>
              <w:rPr>
                <w:sz w:val="20"/>
                <w:szCs w:val="20"/>
                <w:color w:val="auto"/>
              </w:rPr>
            </w:pPr>
            <w:r>
              <w:rPr>
                <w:rFonts w:ascii="Arial" w:cs="Arial" w:eastAsia="Arial" w:hAnsi="Arial"/>
                <w:sz w:val="14"/>
                <w:szCs w:val="14"/>
                <w:b w:val="1"/>
                <w:bCs w:val="1"/>
                <w:color w:val="auto"/>
                <w:w w:val="87"/>
              </w:rPr>
              <w:t>Aggregate Offering</w:t>
            </w:r>
          </w:p>
        </w:tc>
        <w:tc>
          <w:tcPr>
            <w:tcW w:w="1360" w:type="dxa"/>
            <w:vAlign w:val="bottom"/>
          </w:tcPr>
          <w:p>
            <w:pPr>
              <w:jc w:val="center"/>
              <w:ind w:left="15"/>
              <w:spacing w:after="0" w:line="166" w:lineRule="exact"/>
              <w:rPr>
                <w:sz w:val="20"/>
                <w:szCs w:val="20"/>
                <w:color w:val="auto"/>
              </w:rPr>
            </w:pPr>
            <w:r>
              <w:rPr>
                <w:rFonts w:ascii="Arial" w:cs="Arial" w:eastAsia="Arial" w:hAnsi="Arial"/>
                <w:sz w:val="12"/>
                <w:szCs w:val="12"/>
                <w:b w:val="1"/>
                <w:bCs w:val="1"/>
                <w:color w:val="auto"/>
                <w:w w:val="98"/>
              </w:rPr>
              <w:t>Registration Fee</w:t>
            </w:r>
            <w:r>
              <w:rPr>
                <w:rFonts w:ascii="Arial" w:cs="Arial" w:eastAsia="Arial" w:hAnsi="Arial"/>
                <w:sz w:val="19"/>
                <w:szCs w:val="19"/>
                <w:b w:val="1"/>
                <w:bCs w:val="1"/>
                <w:color w:val="auto"/>
                <w:w w:val="98"/>
                <w:vertAlign w:val="superscript"/>
              </w:rPr>
              <w:t>(2)</w:t>
            </w: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center"/>
              <w:ind w:left="772"/>
              <w:spacing w:after="0" w:line="203" w:lineRule="exact"/>
              <w:rPr>
                <w:sz w:val="20"/>
                <w:szCs w:val="20"/>
                <w:color w:val="auto"/>
              </w:rPr>
            </w:pPr>
            <w:r>
              <w:rPr>
                <w:rFonts w:ascii="Arial" w:cs="Arial" w:eastAsia="Arial" w:hAnsi="Arial"/>
                <w:sz w:val="14"/>
                <w:szCs w:val="14"/>
                <w:b w:val="1"/>
                <w:bCs w:val="1"/>
                <w:color w:val="auto"/>
                <w:w w:val="80"/>
              </w:rPr>
              <w:t>Price</w:t>
            </w:r>
            <w:r>
              <w:rPr>
                <w:rFonts w:ascii="Arial" w:cs="Arial" w:eastAsia="Arial" w:hAnsi="Arial"/>
                <w:sz w:val="22"/>
                <w:szCs w:val="22"/>
                <w:b w:val="1"/>
                <w:bCs w:val="1"/>
                <w:color w:val="auto"/>
                <w:w w:val="80"/>
                <w:vertAlign w:val="superscript"/>
              </w:rPr>
              <w:t>(1)</w:t>
            </w:r>
          </w:p>
        </w:tc>
        <w:tc>
          <w:tcPr>
            <w:tcW w:w="1360" w:type="dxa"/>
            <w:vAlign w:val="bottom"/>
            <w:tcBorders>
              <w:bottom w:val="single" w:sz="8" w:color="auto"/>
            </w:tcBorders>
          </w:tcPr>
          <w:p>
            <w:pPr>
              <w:spacing w:after="0"/>
              <w:rPr>
                <w:sz w:val="17"/>
                <w:szCs w:val="17"/>
                <w:color w:val="auto"/>
              </w:rPr>
            </w:pPr>
          </w:p>
        </w:tc>
      </w:tr>
      <w:tr>
        <w:trPr>
          <w:trHeight w:val="167"/>
        </w:trPr>
        <w:tc>
          <w:tcPr>
            <w:tcW w:w="2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par value $0.001 per share</w:t>
            </w:r>
          </w:p>
        </w:tc>
        <w:tc>
          <w:tcPr>
            <w:tcW w:w="234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or other jurisdiction where the offer or sale is not permitted.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20" w:type="dxa"/>
            <w:vAlign w:val="bottom"/>
          </w:tcPr>
          <w:p>
            <w:pPr>
              <w:spacing w:after="0"/>
              <w:rPr>
                <w:sz w:val="20"/>
                <w:szCs w:val="20"/>
                <w:color w:val="auto"/>
              </w:rPr>
            </w:pPr>
            <w:r>
              <w:rPr>
                <w:rFonts w:ascii="Arial" w:cs="Arial" w:eastAsia="Arial" w:hAnsi="Arial"/>
                <w:sz w:val="22"/>
                <w:szCs w:val="22"/>
                <w:i w:val="1"/>
                <w:iCs w:val="1"/>
                <w:color w:val="F1665F"/>
              </w:rPr>
              <w:t>SUBJECT TO COMPLETION, DATED</w:t>
            </w:r>
          </w:p>
        </w:tc>
        <w:tc>
          <w:tcPr>
            <w:tcW w:w="1320" w:type="dxa"/>
            <w:vAlign w:val="bottom"/>
          </w:tcPr>
          <w:p>
            <w:pPr>
              <w:jc w:val="right"/>
              <w:spacing w:after="0"/>
              <w:rPr>
                <w:sz w:val="20"/>
                <w:szCs w:val="20"/>
                <w:color w:val="auto"/>
              </w:rPr>
            </w:pPr>
            <w:r>
              <w:rPr>
                <w:rFonts w:ascii="Arial" w:cs="Arial" w:eastAsia="Arial" w:hAnsi="Arial"/>
                <w:sz w:val="22"/>
                <w:szCs w:val="22"/>
                <w:i w:val="1"/>
                <w:iCs w:val="1"/>
                <w:color w:val="F1665F"/>
              </w:rPr>
              <w:t>, 2019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1665F"/>
        </w:rPr>
        <w:t>PRELIMINARY PROSPECTUS</w:t>
      </w:r>
    </w:p>
    <w:p>
      <w:pPr>
        <w:spacing w:after="0" w:line="200" w:lineRule="exact"/>
        <w:rPr>
          <w:sz w:val="20"/>
          <w:szCs w:val="20"/>
          <w:color w:val="auto"/>
        </w:rPr>
      </w:pPr>
    </w:p>
    <w:p>
      <w:pPr>
        <w:ind w:left="60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This is an initial public offering of common stock by Fulcrum Therapeutics, Inc. We are selling offering price is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common stock. The estimated initial public</w:t>
      </w:r>
    </w:p>
    <w:p>
      <w:pPr>
        <w:spacing w:after="0" w:line="475" w:lineRule="exact"/>
        <w:rPr>
          <w:sz w:val="20"/>
          <w:szCs w:val="20"/>
          <w:color w:val="auto"/>
        </w:rPr>
      </w:pPr>
    </w:p>
    <w:p>
      <w:pPr>
        <w:sectPr>
          <w:pgSz w:w="11900" w:h="16838" w:orient="portrait"/>
          <w:cols w:equalWidth="0" w:num="2">
            <w:col w:w="6920" w:space="680"/>
            <w:col w:w="3820"/>
          </w:cols>
          <w:pgMar w:left="240" w:top="131" w:right="239" w:bottom="1440" w:gutter="0" w:footer="0" w:header="0"/>
          <w:type w:val="continuous"/>
        </w:sectPr>
      </w:pPr>
    </w:p>
    <w:p>
      <w:pPr>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common stock. We have applied to list our common stock on the Nasdaq Global Market under the symbol "FULC."</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2"/>
              </w:rPr>
              <w:t>Per Share</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02"/>
        </w:trPr>
        <w:tc>
          <w:tcPr>
            <w:tcW w:w="7060" w:type="dxa"/>
            <w:vAlign w:val="bottom"/>
            <w:gridSpan w:val="2"/>
            <w:vMerge w:val="continue"/>
          </w:tcPr>
          <w:p>
            <w:pPr>
              <w:spacing w:after="0"/>
              <w:rPr>
                <w:sz w:val="17"/>
                <w:szCs w:val="17"/>
                <w:color w:val="auto"/>
              </w:rPr>
            </w:pPr>
          </w:p>
        </w:tc>
        <w:tc>
          <w:tcPr>
            <w:tcW w:w="560" w:type="dxa"/>
            <w:vAlign w:val="bottom"/>
          </w:tcPr>
          <w:p>
            <w:pPr>
              <w:jc w:val="right"/>
              <w:ind w:right="357"/>
              <w:spacing w:after="0" w:line="202" w:lineRule="exact"/>
              <w:rPr>
                <w:sz w:val="20"/>
                <w:szCs w:val="20"/>
                <w:color w:val="auto"/>
              </w:rPr>
            </w:pPr>
            <w:r>
              <w:rPr>
                <w:rFonts w:ascii="Arial" w:cs="Arial" w:eastAsia="Arial" w:hAnsi="Arial"/>
                <w:sz w:val="18"/>
                <w:szCs w:val="18"/>
                <w:i w:val="1"/>
                <w:iCs w:val="1"/>
                <w:color w:val="auto"/>
                <w:w w:val="99"/>
              </w:rPr>
              <w:t>$</w:t>
            </w:r>
          </w:p>
        </w:tc>
        <w:tc>
          <w:tcPr>
            <w:tcW w:w="660" w:type="dxa"/>
            <w:vAlign w:val="bottom"/>
          </w:tcPr>
          <w:p>
            <w:pPr>
              <w:spacing w:after="0"/>
              <w:rPr>
                <w:sz w:val="17"/>
                <w:szCs w:val="17"/>
                <w:color w:val="auto"/>
              </w:rPr>
            </w:pPr>
          </w:p>
        </w:tc>
        <w:tc>
          <w:tcPr>
            <w:tcW w:w="620" w:type="dxa"/>
            <w:vAlign w:val="bottom"/>
          </w:tcPr>
          <w:p>
            <w:pPr>
              <w:jc w:val="right"/>
              <w:ind w:right="382"/>
              <w:spacing w:after="0" w:line="202"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5"/>
        </w:trPr>
        <w:tc>
          <w:tcPr>
            <w:tcW w:w="7060" w:type="dxa"/>
            <w:vAlign w:val="bottom"/>
            <w:gridSpan w:val="2"/>
          </w:tcPr>
          <w:p>
            <w:pPr>
              <w:spacing w:after="0" w:line="255" w:lineRule="exact"/>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29"/>
                <w:szCs w:val="29"/>
                <w:i w:val="1"/>
                <w:iCs w:val="1"/>
                <w:color w:val="auto"/>
                <w:vertAlign w:val="superscript"/>
              </w:rPr>
              <w:t>(1)</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2"/>
        </w:trPr>
        <w:tc>
          <w:tcPr>
            <w:tcW w:w="7060" w:type="dxa"/>
            <w:vAlign w:val="bottom"/>
            <w:gridSpan w:val="2"/>
          </w:tcPr>
          <w:p>
            <w:pPr>
              <w:spacing w:after="0"/>
              <w:rPr>
                <w:sz w:val="20"/>
                <w:szCs w:val="20"/>
                <w:color w:val="auto"/>
              </w:rPr>
            </w:pPr>
            <w:r>
              <w:rPr>
                <w:rFonts w:ascii="Arial" w:cs="Arial" w:eastAsia="Arial" w:hAnsi="Arial"/>
                <w:sz w:val="18"/>
                <w:szCs w:val="18"/>
                <w:i w:val="1"/>
                <w:iCs w:val="1"/>
                <w:color w:val="auto"/>
              </w:rPr>
              <w:t>Proceeds to Fulcrum, before expenses</w:t>
            </w:r>
          </w:p>
        </w:tc>
        <w:tc>
          <w:tcPr>
            <w:tcW w:w="560" w:type="dxa"/>
            <w:vAlign w:val="bottom"/>
          </w:tcPr>
          <w:p>
            <w:pPr>
              <w:jc w:val="right"/>
              <w:ind w:right="357"/>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38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10"/>
        </w:trPr>
        <w:tc>
          <w:tcPr>
            <w:tcW w:w="94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FINRA-related expenses. See "Underwriters" on page 195.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We have granted the underwriters the right to purchase up to an additional</w:t>
            </w:r>
          </w:p>
        </w:tc>
        <w:tc>
          <w:tcPr>
            <w:tcW w:w="448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4"/>
              </w:rPr>
              <w:t>shares of common stock. The underwriters may exercise this</w:t>
            </w: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right at any time within 30 days after the date of this prospectus.</w:t>
            </w:r>
          </w:p>
        </w:tc>
        <w:tc>
          <w:tcPr>
            <w:tcW w:w="4480" w:type="dxa"/>
            <w:vAlign w:val="bottom"/>
          </w:tcPr>
          <w:p>
            <w:pPr>
              <w:spacing w:after="0"/>
              <w:rPr>
                <w:sz w:val="19"/>
                <w:szCs w:val="19"/>
                <w:color w:val="auto"/>
              </w:rPr>
            </w:pPr>
          </w:p>
        </w:tc>
      </w:tr>
      <w:tr>
        <w:trPr>
          <w:trHeight w:val="218"/>
        </w:trPr>
        <w:tc>
          <w:tcPr>
            <w:tcW w:w="450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4480" w:type="dxa"/>
            <w:vAlign w:val="bottom"/>
          </w:tcPr>
          <w:p>
            <w:pPr>
              <w:spacing w:after="0"/>
              <w:rPr>
                <w:sz w:val="18"/>
                <w:szCs w:val="18"/>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common stock involves risks. See "Risk Factors" beginning on page 10 of this prospectus.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20" w:type="dxa"/>
            <w:vAlign w:val="bottom"/>
            <w:gridSpan w:val="2"/>
          </w:tcPr>
          <w:p>
            <w:pPr>
              <w:spacing w:after="0"/>
              <w:rPr>
                <w:sz w:val="20"/>
                <w:szCs w:val="20"/>
                <w:color w:val="auto"/>
              </w:rPr>
            </w:pPr>
            <w:r>
              <w:rPr>
                <w:rFonts w:ascii="Arial" w:cs="Arial" w:eastAsia="Arial" w:hAnsi="Arial"/>
                <w:sz w:val="18"/>
                <w:szCs w:val="18"/>
                <w:i w:val="1"/>
                <w:iCs w:val="1"/>
                <w:color w:val="auto"/>
                <w:w w:val="96"/>
              </w:rPr>
              <w:t>The underwriters expect to deliver the shares of common stock to purchasers on or about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 2019.</w:t>
            </w:r>
          </w:p>
        </w:tc>
      </w:tr>
      <w:tr>
        <w:trPr>
          <w:trHeight w:val="218"/>
        </w:trPr>
        <w:tc>
          <w:tcPr>
            <w:tcW w:w="450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bl>
    <w:p>
      <w:pPr>
        <w:spacing w:after="0" w:line="200" w:lineRule="exact"/>
        <w:rPr>
          <w:sz w:val="20"/>
          <w:szCs w:val="20"/>
          <w:color w:val="auto"/>
        </w:rPr>
      </w:pPr>
    </w:p>
    <w:p>
      <w:pPr>
        <w:spacing w:after="0" w:line="319" w:lineRule="exact"/>
        <w:rPr>
          <w:sz w:val="20"/>
          <w:szCs w:val="20"/>
          <w:color w:val="auto"/>
        </w:rPr>
      </w:pPr>
    </w:p>
    <w:p>
      <w:pPr>
        <w:ind w:left="1140"/>
        <w:spacing w:after="0"/>
        <w:tabs>
          <w:tab w:leader="none" w:pos="4800" w:val="left"/>
          <w:tab w:leader="none" w:pos="896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19"/>
          <w:szCs w:val="19"/>
          <w:i w:val="1"/>
          <w:iCs w:val="1"/>
          <w:color w:val="auto"/>
        </w:rPr>
        <w:t>SVB LEERINK</w:t>
      </w:r>
    </w:p>
    <w:p>
      <w:pPr>
        <w:spacing w:after="0" w:line="200" w:lineRule="exact"/>
        <w:rPr>
          <w:sz w:val="20"/>
          <w:szCs w:val="20"/>
          <w:color w:val="auto"/>
        </w:rPr>
      </w:pPr>
    </w:p>
    <w:p>
      <w:pPr>
        <w:spacing w:after="0" w:line="30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167005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9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2040" w:type="dxa"/>
            <w:vAlign w:val="bottom"/>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880" w:type="dxa"/>
            <w:vAlign w:val="bottom"/>
            <w:gridSpan w:val="7"/>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CAUTIONARY NOTE REGARDING FORWARD-</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LOOKING STATEMENTS AND INDUSTRY</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DATA</w:t>
              </w:r>
            </w:hyperlink>
          </w:p>
        </w:tc>
        <w:tc>
          <w:tcPr>
            <w:tcW w:w="440" w:type="dxa"/>
            <w:vAlign w:val="bottom"/>
            <w:gridSpan w:val="5"/>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USE OF PROCEEDS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DIVIDEND POLICY</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CAPITALIZATION</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DILUTION</w:t>
              </w:r>
            </w:hyperlink>
          </w:p>
        </w:tc>
        <w:tc>
          <w:tcPr>
            <w:tcW w:w="580" w:type="dxa"/>
            <w:vAlign w:val="bottom"/>
            <w:gridSpan w:val="3"/>
          </w:tcPr>
          <w:p>
            <w:pPr>
              <w:spacing w:after="0"/>
              <w:rPr>
                <w:sz w:val="17"/>
                <w:szCs w:val="17"/>
                <w:color w:val="auto"/>
              </w:rPr>
            </w:pPr>
          </w:p>
        </w:tc>
        <w:tc>
          <w:tcPr>
            <w:tcW w:w="2500" w:type="dxa"/>
            <w:vAlign w:val="bottom"/>
            <w:gridSpan w:val="9"/>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760" w:type="dxa"/>
            <w:vAlign w:val="bottom"/>
            <w:gridSpan w:val="13"/>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SELECTED CONSOLIDATED FINANCIAL DATA</w:t>
              </w:r>
            </w:hyperlink>
          </w:p>
        </w:tc>
        <w:tc>
          <w:tcPr>
            <w:tcW w:w="160" w:type="dxa"/>
            <w:vAlign w:val="bottom"/>
            <w:gridSpan w:val="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0000EE"/>
                <w:w w:val="98"/>
              </w:rPr>
            </w:pPr>
            <w:hyperlink w:anchor="page83">
              <w:r>
                <w:rPr>
                  <w:rFonts w:ascii="Arial" w:cs="Arial" w:eastAsia="Arial" w:hAnsi="Arial"/>
                  <w:sz w:val="18"/>
                  <w:szCs w:val="18"/>
                  <w:color w:val="0000EE"/>
                  <w:w w:val="98"/>
                </w:rPr>
                <w:t>MANAGEMENT'S DISCUSSION AND ANALYSIS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OF FINANCIAL CONDITION AND RESULTS</w:t>
              </w:r>
            </w:hyperlink>
          </w:p>
        </w:tc>
        <w:tc>
          <w:tcPr>
            <w:tcW w:w="160" w:type="dxa"/>
            <w:vAlign w:val="bottom"/>
            <w:tcBorders>
              <w:top w:val="single" w:sz="8" w:color="0000EE"/>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360" w:type="dxa"/>
            <w:vAlign w:val="bottom"/>
            <w:gridSpan w:val="6"/>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OF OPERATIONS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r>
      <w:tr>
        <w:trPr>
          <w:trHeight w:val="20"/>
        </w:trPr>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BUSINESS</w:t>
              </w:r>
            </w:hyperlink>
          </w:p>
        </w:tc>
        <w:tc>
          <w:tcPr>
            <w:tcW w:w="3080" w:type="dxa"/>
            <w:vAlign w:val="bottom"/>
            <w:gridSpan w:val="1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61">
              <w:r>
                <w:rPr>
                  <w:rFonts w:ascii="Arial" w:cs="Arial" w:eastAsia="Arial" w:hAnsi="Arial"/>
                  <w:sz w:val="18"/>
                  <w:szCs w:val="18"/>
                  <w:color w:val="0000EE"/>
                  <w:w w:val="97"/>
                </w:rPr>
                <w:t>MANAGEMENT</w:t>
              </w:r>
            </w:hyperlink>
          </w:p>
        </w:tc>
        <w:tc>
          <w:tcPr>
            <w:tcW w:w="264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61">
              <w:r>
                <w:rPr>
                  <w:rFonts w:ascii="Arial" w:cs="Arial" w:eastAsia="Arial" w:hAnsi="Arial"/>
                  <w:sz w:val="18"/>
                  <w:szCs w:val="18"/>
                  <w:color w:val="0000EE"/>
                  <w:w w:val="86"/>
                </w:rPr>
                <w:t>157</w:t>
              </w:r>
            </w:hyperlink>
          </w:p>
        </w:tc>
      </w:tr>
      <w:tr>
        <w:trPr>
          <w:trHeight w:val="196"/>
        </w:trPr>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EXECUTIVE COMPENSATION</w:t>
              </w:r>
            </w:hyperlink>
          </w:p>
        </w:tc>
        <w:tc>
          <w:tcPr>
            <w:tcW w:w="15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67">
              <w:r>
                <w:rPr>
                  <w:rFonts w:ascii="Arial" w:cs="Arial" w:eastAsia="Arial" w:hAnsi="Arial"/>
                  <w:sz w:val="18"/>
                  <w:szCs w:val="18"/>
                  <w:color w:val="0000EE"/>
                  <w:w w:val="86"/>
                </w:rPr>
                <w:t>163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82">
              <w:r>
                <w:rPr>
                  <w:rFonts w:ascii="Arial" w:cs="Arial" w:eastAsia="Arial" w:hAnsi="Arial"/>
                  <w:sz w:val="18"/>
                  <w:szCs w:val="18"/>
                  <w:color w:val="0000EE"/>
                  <w:w w:val="92"/>
                </w:rPr>
                <w:t>TRANSACTIONS WITH RELATED PERSONS</w:t>
              </w:r>
            </w:hyperlink>
          </w:p>
        </w:tc>
        <w:tc>
          <w:tcPr>
            <w:tcW w:w="560" w:type="dxa"/>
            <w:vAlign w:val="bottom"/>
            <w:gridSpan w:val="3"/>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73"/>
              </w:rPr>
            </w:pPr>
            <w:hyperlink w:anchor="page182">
              <w:r>
                <w:rPr>
                  <w:rFonts w:ascii="Arial" w:cs="Arial" w:eastAsia="Arial" w:hAnsi="Arial"/>
                  <w:sz w:val="18"/>
                  <w:szCs w:val="18"/>
                  <w:color w:val="0000EE"/>
                  <w:w w:val="73"/>
                </w:rPr>
                <w:t>178</w:t>
              </w:r>
            </w:hyperlink>
          </w:p>
        </w:tc>
      </w:tr>
      <w:tr>
        <w:trPr>
          <w:trHeight w:val="196"/>
        </w:trPr>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86">
              <w:r>
                <w:rPr>
                  <w:rFonts w:ascii="Arial" w:cs="Arial" w:eastAsia="Arial" w:hAnsi="Arial"/>
                  <w:sz w:val="18"/>
                  <w:szCs w:val="18"/>
                  <w:color w:val="0000EE"/>
                  <w:w w:val="92"/>
                </w:rPr>
                <w:t>PRINCIPAL STOCKHOLDERS</w:t>
              </w:r>
            </w:hyperlink>
          </w:p>
        </w:tc>
        <w:tc>
          <w:tcPr>
            <w:tcW w:w="1720" w:type="dxa"/>
            <w:vAlign w:val="bottom"/>
            <w:gridSpan w:val="9"/>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86">
              <w:r>
                <w:rPr>
                  <w:rFonts w:ascii="Arial" w:cs="Arial" w:eastAsia="Arial" w:hAnsi="Arial"/>
                  <w:sz w:val="18"/>
                  <w:szCs w:val="18"/>
                  <w:color w:val="0000EE"/>
                  <w:w w:val="73"/>
                </w:rPr>
                <w:t>182</w:t>
              </w:r>
            </w:hyperlink>
          </w:p>
        </w:tc>
      </w:tr>
      <w:tr>
        <w:trPr>
          <w:trHeight w:val="196"/>
        </w:trPr>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89">
              <w:r>
                <w:rPr>
                  <w:rFonts w:ascii="Arial" w:cs="Arial" w:eastAsia="Arial" w:hAnsi="Arial"/>
                  <w:sz w:val="18"/>
                  <w:szCs w:val="18"/>
                  <w:color w:val="0000EE"/>
                  <w:w w:val="92"/>
                </w:rPr>
                <w:t>DESCRIPTION OF CAPITAL STOCK</w:t>
              </w:r>
            </w:hyperlink>
          </w:p>
        </w:tc>
        <w:tc>
          <w:tcPr>
            <w:tcW w:w="1240" w:type="dxa"/>
            <w:vAlign w:val="bottom"/>
            <w:gridSpan w:val="8"/>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89">
              <w:r>
                <w:rPr>
                  <w:rFonts w:ascii="Arial" w:cs="Arial" w:eastAsia="Arial" w:hAnsi="Arial"/>
                  <w:sz w:val="18"/>
                  <w:szCs w:val="18"/>
                  <w:color w:val="0000EE"/>
                  <w:w w:val="73"/>
                </w:rPr>
                <w:t>185</w:t>
              </w:r>
            </w:hyperlink>
          </w:p>
        </w:tc>
      </w:tr>
      <w:tr>
        <w:trPr>
          <w:trHeight w:val="196"/>
        </w:trPr>
        <w:tc>
          <w:tcPr>
            <w:tcW w:w="31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93">
              <w:r>
                <w:rPr>
                  <w:rFonts w:ascii="Arial" w:cs="Arial" w:eastAsia="Arial" w:hAnsi="Arial"/>
                  <w:sz w:val="18"/>
                  <w:szCs w:val="18"/>
                  <w:color w:val="0000EE"/>
                  <w:w w:val="93"/>
                </w:rPr>
                <w:t>SHARES ELIGIBLE FOR FUTURE SALE</w:t>
              </w:r>
            </w:hyperlink>
          </w:p>
        </w:tc>
        <w:tc>
          <w:tcPr>
            <w:tcW w:w="940" w:type="dxa"/>
            <w:vAlign w:val="bottom"/>
            <w:gridSpan w:val="6"/>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193">
              <w:r>
                <w:rPr>
                  <w:rFonts w:ascii="Arial" w:cs="Arial" w:eastAsia="Arial" w:hAnsi="Arial"/>
                  <w:sz w:val="18"/>
                  <w:szCs w:val="18"/>
                  <w:color w:val="0000EE"/>
                  <w:w w:val="73"/>
                </w:rPr>
                <w:t>189</w:t>
              </w:r>
            </w:hyperlink>
          </w:p>
        </w:tc>
      </w:tr>
      <w:tr>
        <w:trPr>
          <w:trHeight w:val="196"/>
        </w:trPr>
        <w:tc>
          <w:tcPr>
            <w:tcW w:w="32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95">
              <w:r>
                <w:rPr>
                  <w:rFonts w:ascii="Arial" w:cs="Arial" w:eastAsia="Arial" w:hAnsi="Arial"/>
                  <w:sz w:val="18"/>
                  <w:szCs w:val="18"/>
                  <w:color w:val="0000EE"/>
                  <w:w w:val="95"/>
                </w:rPr>
                <w:t>MATERIAL U.S. FEDERAL INCOME AND</w:t>
              </w:r>
            </w:hyperlink>
          </w:p>
        </w:tc>
        <w:tc>
          <w:tcPr>
            <w:tcW w:w="8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860" w:type="dxa"/>
            <w:vAlign w:val="bottom"/>
            <w:gridSpan w:val="1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ESTATE TAX CONSIDERATIONS FOR NON-</w:t>
              </w:r>
            </w:hyperlink>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U.S. HOLDERS OF COMMON STOCK</w:t>
              </w:r>
            </w:hyperlink>
          </w:p>
        </w:tc>
        <w:tc>
          <w:tcPr>
            <w:tcW w:w="440" w:type="dxa"/>
            <w:vAlign w:val="bottom"/>
            <w:gridSpan w:val="2"/>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73"/>
              </w:rPr>
            </w:pPr>
            <w:hyperlink w:anchor="page195">
              <w:r>
                <w:rPr>
                  <w:rFonts w:ascii="Arial" w:cs="Arial" w:eastAsia="Arial" w:hAnsi="Arial"/>
                  <w:sz w:val="18"/>
                  <w:szCs w:val="18"/>
                  <w:color w:val="0000EE"/>
                  <w:w w:val="73"/>
                </w:rPr>
                <w:t>191</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UNDERWRITERS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199">
              <w:r>
                <w:rPr>
                  <w:rFonts w:ascii="Arial" w:cs="Arial" w:eastAsia="Arial" w:hAnsi="Arial"/>
                  <w:sz w:val="18"/>
                  <w:szCs w:val="18"/>
                  <w:color w:val="0000EE"/>
                  <w:w w:val="73"/>
                </w:rPr>
                <w:t>195</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09">
              <w:r>
                <w:rPr>
                  <w:rFonts w:ascii="Arial" w:cs="Arial" w:eastAsia="Arial" w:hAnsi="Arial"/>
                  <w:sz w:val="18"/>
                  <w:szCs w:val="18"/>
                  <w:color w:val="0000EE"/>
                  <w:w w:val="93"/>
                </w:rPr>
                <w:t>LEGAL MATTERS</w:t>
              </w:r>
            </w:hyperlink>
          </w:p>
        </w:tc>
        <w:tc>
          <w:tcPr>
            <w:tcW w:w="2620" w:type="dxa"/>
            <w:vAlign w:val="bottom"/>
            <w:gridSpan w:val="10"/>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09">
              <w:r>
                <w:rPr>
                  <w:rFonts w:ascii="Arial" w:cs="Arial" w:eastAsia="Arial" w:hAnsi="Arial"/>
                  <w:sz w:val="18"/>
                  <w:szCs w:val="18"/>
                  <w:color w:val="0000EE"/>
                  <w:w w:val="73"/>
                </w:rPr>
                <w:t>205</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EXPERTS</w:t>
              </w:r>
            </w:hyperlink>
          </w:p>
        </w:tc>
        <w:tc>
          <w:tcPr>
            <w:tcW w:w="240" w:type="dxa"/>
            <w:vAlign w:val="bottom"/>
          </w:tcPr>
          <w:p>
            <w:pPr>
              <w:jc w:val="right"/>
              <w:spacing w:after="0" w:line="196" w:lineRule="exact"/>
              <w:rPr>
                <w:rFonts w:ascii="Arial" w:cs="Arial" w:eastAsia="Arial" w:hAnsi="Arial"/>
                <w:sz w:val="18"/>
                <w:szCs w:val="18"/>
                <w:color w:val="0000EE"/>
                <w:w w:val="73"/>
              </w:rPr>
            </w:pPr>
            <w:hyperlink w:anchor="page209">
              <w:r>
                <w:rPr>
                  <w:rFonts w:ascii="Arial" w:cs="Arial" w:eastAsia="Arial" w:hAnsi="Arial"/>
                  <w:sz w:val="18"/>
                  <w:szCs w:val="18"/>
                  <w:color w:val="0000EE"/>
                  <w:w w:val="73"/>
                </w:rPr>
                <w:t>205</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37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09">
              <w:r>
                <w:rPr>
                  <w:rFonts w:ascii="Arial" w:cs="Arial" w:eastAsia="Arial" w:hAnsi="Arial"/>
                  <w:sz w:val="18"/>
                  <w:szCs w:val="18"/>
                  <w:color w:val="0000EE"/>
                  <w:w w:val="94"/>
                </w:rPr>
                <w:t>WHERE YOU CAN FIND MORE INFORMATION</w:t>
              </w:r>
            </w:hyperlink>
          </w:p>
        </w:tc>
        <w:tc>
          <w:tcPr>
            <w:tcW w:w="3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3"/>
              </w:rPr>
            </w:pPr>
            <w:hyperlink w:anchor="page209">
              <w:r>
                <w:rPr>
                  <w:rFonts w:ascii="Arial" w:cs="Arial" w:eastAsia="Arial" w:hAnsi="Arial"/>
                  <w:sz w:val="18"/>
                  <w:szCs w:val="18"/>
                  <w:color w:val="0000EE"/>
                  <w:w w:val="73"/>
                </w:rPr>
                <w:t>205</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INDEX TO CONSOLIDATED FINANCIAL</w:t>
              </w:r>
            </w:hyperlink>
          </w:p>
        </w:tc>
        <w:tc>
          <w:tcPr>
            <w:tcW w:w="24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STATEMENTS</w:t>
              </w:r>
            </w:hyperlink>
          </w:p>
        </w:tc>
        <w:tc>
          <w:tcPr>
            <w:tcW w:w="860" w:type="dxa"/>
            <w:vAlign w:val="bottom"/>
            <w:gridSpan w:val="5"/>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0000EE"/>
                <w:w w:val="81"/>
              </w:rPr>
            </w:pPr>
            <w:hyperlink w:anchor="page210">
              <w:r>
                <w:rPr>
                  <w:rFonts w:ascii="Arial" w:cs="Arial" w:eastAsia="Arial" w:hAnsi="Arial"/>
                  <w:sz w:val="18"/>
                  <w:szCs w:val="18"/>
                  <w:color w:val="0000EE"/>
                  <w:w w:val="81"/>
                </w:rPr>
                <w:t>F-1</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848" w:lineRule="exact"/>
        <w:rPr>
          <w:sz w:val="20"/>
          <w:szCs w:val="20"/>
          <w:color w:val="auto"/>
        </w:rPr>
      </w:pPr>
    </w:p>
    <w:p>
      <w:pPr>
        <w:sectPr>
          <w:pgSz w:w="11900" w:h="16838" w:orient="portrait"/>
          <w:cols w:equalWidth="0" w:num="2">
            <w:col w:w="5880" w:space="720"/>
            <w:col w:w="4820"/>
          </w:cols>
          <w:pgMar w:left="240" w:top="125"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other than that contained in this prospectus, any amendment or supplement to this prospectus or in any free writing prospectus we may authorize to be delivered or made available to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jc w:val="both"/>
        <w:ind w:right="20" w:firstLine="438"/>
        <w:spacing w:after="0" w:line="268" w:lineRule="auto"/>
        <w:rPr>
          <w:sz w:val="20"/>
          <w:szCs w:val="20"/>
          <w:color w:val="auto"/>
        </w:rPr>
      </w:pPr>
      <w:r>
        <w:rPr>
          <w:rFonts w:ascii="Arial" w:cs="Arial" w:eastAsia="Arial" w:hAnsi="Arial"/>
          <w:sz w:val="18"/>
          <w:szCs w:val="18"/>
          <w:color w:val="auto"/>
        </w:rPr>
        <w:t>Trademarks, service marks and trade names appearing in this prospectus are the property of their respective owners. Solely for convenience, some of the trademarks, service marks and trade names referred to in this prospectus are listed without the ® and ™ symbols.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240" w:firstLine="405"/>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 Unless the context otherwise requires, we use the terms "company," "we," "us" and "our" in this prospectus to refer to Fulcrum Therapeutics, Inc.</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left="240" w:firstLine="34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left="240" w:firstLine="431"/>
        <w:spacing w:after="0" w:line="255" w:lineRule="auto"/>
        <w:rPr>
          <w:sz w:val="20"/>
          <w:szCs w:val="20"/>
          <w:color w:val="auto"/>
        </w:rPr>
      </w:pPr>
      <w:r>
        <w:rPr>
          <w:rFonts w:ascii="Arial" w:cs="Arial" w:eastAsia="Arial" w:hAnsi="Arial"/>
          <w:sz w:val="18"/>
          <w:szCs w:val="18"/>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97" w:lineRule="exact"/>
        <w:rPr>
          <w:sz w:val="20"/>
          <w:szCs w:val="20"/>
          <w:color w:val="auto"/>
        </w:rPr>
      </w:pPr>
    </w:p>
    <w:p>
      <w:pPr>
        <w:jc w:val="both"/>
        <w:ind w:left="240" w:firstLine="456"/>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left="240" w:firstLine="574"/>
        <w:spacing w:after="0" w:line="290" w:lineRule="auto"/>
        <w:rPr>
          <w:sz w:val="20"/>
          <w:szCs w:val="20"/>
          <w:color w:val="auto"/>
        </w:rPr>
      </w:pPr>
      <w:r>
        <w:rPr>
          <w:rFonts w:ascii="Arial" w:cs="Arial" w:eastAsia="Arial" w:hAnsi="Arial"/>
          <w:sz w:val="16"/>
          <w:szCs w:val="16"/>
          <w:color w:val="auto"/>
        </w:rPr>
        <w:t xml:space="preserve">Following our discovery of the role of p38a/b inhibitors in the reduction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172" w:lineRule="exact"/>
        <w:rPr>
          <w:sz w:val="20"/>
          <w:szCs w:val="20"/>
          <w:color w:val="auto"/>
        </w:rPr>
      </w:pPr>
    </w:p>
    <w:p>
      <w:pPr>
        <w:jc w:val="both"/>
        <w:ind w:left="240" w:firstLine="406"/>
        <w:spacing w:after="0" w:line="259" w:lineRule="auto"/>
        <w:rPr>
          <w:sz w:val="20"/>
          <w:szCs w:val="20"/>
          <w:color w:val="auto"/>
        </w:rPr>
      </w:pPr>
      <w:r>
        <w:rPr>
          <w:rFonts w:ascii="Arial" w:cs="Arial" w:eastAsia="Arial" w:hAnsi="Arial"/>
          <w:sz w:val="18"/>
          <w:szCs w:val="18"/>
          <w:color w:val="auto"/>
        </w:rPr>
        <w:t>We plan to conduct a randomized, double-blind placebo-controlled Phase 2b clinical trial to investigate whether treatment with losmapimod reduces DUX4-driven gene expression in affected skeletal muscle. In this Phase 2b clinical trial, we will also evaluate the safety and tolerability of losmapimod. We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18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90" w:lineRule="auto"/>
        <w:rPr>
          <w:sz w:val="20"/>
          <w:szCs w:val="20"/>
          <w:color w:val="auto"/>
        </w:rPr>
      </w:pPr>
      <w:r>
        <w:rPr>
          <w:rFonts w:ascii="Arial" w:cs="Arial" w:eastAsia="Arial" w:hAnsi="Arial"/>
          <w:sz w:val="16"/>
          <w:szCs w:val="16"/>
          <w:color w:val="auto"/>
        </w:rPr>
        <w:t>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are completing a Phase 1 clinical trial in healthy volunteers and patients with FSHD. We utilized data from GSK's clinical trials of losmapimod to submit in May 2019 an IND, and clinical trial applications, or CTAs, in Europe and Canada, that will enable us to advance our clinical development plan for losmapimod in FSHD, including initiating a Phase 2b clinical trial in mid-2019. The FDA accepted the IND in June 2019. The timing of the initiation of the Phase 2b clinical trial is not dependent on the completion of the Phase 1 clinical trial.</w:t>
      </w:r>
    </w:p>
    <w:p>
      <w:pPr>
        <w:spacing w:after="0" w:line="172" w:lineRule="exact"/>
        <w:rPr>
          <w:sz w:val="20"/>
          <w:szCs w:val="20"/>
          <w:color w:val="auto"/>
        </w:rPr>
      </w:pPr>
    </w:p>
    <w:p>
      <w:pPr>
        <w:jc w:val="both"/>
        <w:ind w:left="240" w:firstLine="388"/>
        <w:spacing w:after="0" w:line="288" w:lineRule="auto"/>
        <w:rPr>
          <w:sz w:val="20"/>
          <w:szCs w:val="20"/>
          <w:color w:val="auto"/>
        </w:rPr>
      </w:pPr>
      <w:r>
        <w:rPr>
          <w:rFonts w:ascii="Arial" w:cs="Arial" w:eastAsia="Arial" w:hAnsi="Arial"/>
          <w:sz w:val="16"/>
          <w:szCs w:val="16"/>
          <w:color w:val="auto"/>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left="240" w:firstLine="395"/>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left="240" w:firstLine="368"/>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left="240" w:firstLine="394"/>
        <w:spacing w:after="0" w:line="253" w:lineRule="auto"/>
        <w:rPr>
          <w:sz w:val="20"/>
          <w:szCs w:val="20"/>
          <w:color w:val="auto"/>
        </w:rPr>
      </w:pPr>
      <w:r>
        <w:rPr>
          <w:rFonts w:ascii="Arial" w:cs="Arial" w:eastAsia="Arial" w:hAnsi="Arial"/>
          <w:sz w:val="18"/>
          <w:szCs w:val="18"/>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61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06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designed our proprietary product engine with potential application across a broad array of genetically defined diseases with a known root cause.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chart summarizes key information about our lead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Discovery Screening Programs</w:t>
      </w:r>
    </w:p>
    <w:p>
      <w:pPr>
        <w:spacing w:after="0" w:line="231" w:lineRule="exact"/>
        <w:rPr>
          <w:sz w:val="20"/>
          <w:szCs w:val="20"/>
          <w:color w:val="auto"/>
        </w:rPr>
      </w:pPr>
    </w:p>
    <w:p>
      <w:pPr>
        <w:jc w:val="both"/>
        <w:ind w:left="240" w:firstLine="423"/>
        <w:spacing w:after="0" w:line="256" w:lineRule="auto"/>
        <w:rPr>
          <w:sz w:val="20"/>
          <w:szCs w:val="20"/>
          <w:color w:val="auto"/>
        </w:rPr>
      </w:pPr>
      <w:r>
        <w:rPr>
          <w:rFonts w:ascii="Arial" w:cs="Arial" w:eastAsia="Arial" w:hAnsi="Arial"/>
          <w:sz w:val="18"/>
          <w:szCs w:val="18"/>
          <w:color w:val="auto"/>
        </w:rPr>
        <w:t>We are leveraging the broad applicability of our product engine to discover drug targets for other rare, genetically defined neuromuscular and CNS diseases. We plan to complete four additional screens in 2019, seeking to identify and validate drug targets that can potentially modulate gene expression to address the root causes of Duchenne muscular dystrophy (</w:t>
      </w:r>
      <w:r>
        <w:rPr>
          <w:rFonts w:ascii="Arial" w:cs="Arial" w:eastAsia="Arial" w:hAnsi="Arial"/>
          <w:sz w:val="18"/>
          <w:szCs w:val="18"/>
          <w:i w:val="1"/>
          <w:iCs w:val="1"/>
          <w:color w:val="auto"/>
        </w:rPr>
        <w:t>UTRN</w:t>
      </w:r>
      <w:r>
        <w:rPr>
          <w:rFonts w:ascii="Arial" w:cs="Arial" w:eastAsia="Arial" w:hAnsi="Arial"/>
          <w:sz w:val="18"/>
          <w:szCs w:val="18"/>
          <w:color w:val="auto"/>
        </w:rPr>
        <w:t xml:space="preserve"> gene), Friedreich ataxia (</w:t>
      </w:r>
      <w:r>
        <w:rPr>
          <w:rFonts w:ascii="Arial" w:cs="Arial" w:eastAsia="Arial" w:hAnsi="Arial"/>
          <w:sz w:val="18"/>
          <w:szCs w:val="18"/>
          <w:i w:val="1"/>
          <w:iCs w:val="1"/>
          <w:color w:val="auto"/>
        </w:rPr>
        <w:t>FXN</w:t>
      </w:r>
      <w:r>
        <w:rPr>
          <w:rFonts w:ascii="Arial" w:cs="Arial" w:eastAsia="Arial" w:hAnsi="Arial"/>
          <w:sz w:val="18"/>
          <w:szCs w:val="18"/>
          <w:color w:val="auto"/>
        </w:rPr>
        <w:t xml:space="preserve"> gene), Myotonic dystrophy 1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and a-Synucleinopathies (</w:t>
      </w:r>
      <w:r>
        <w:rPr>
          <w:rFonts w:ascii="Arial" w:cs="Arial" w:eastAsia="Arial" w:hAnsi="Arial"/>
          <w:sz w:val="18"/>
          <w:szCs w:val="18"/>
          <w:i w:val="1"/>
          <w:iCs w:val="1"/>
          <w:color w:val="auto"/>
        </w:rPr>
        <w:t>SNCA</w:t>
      </w:r>
      <w:r>
        <w:rPr>
          <w:rFonts w:ascii="Arial" w:cs="Arial" w:eastAsia="Arial" w:hAnsi="Arial"/>
          <w:sz w:val="18"/>
          <w:szCs w:val="18"/>
          <w:color w:val="auto"/>
        </w:rPr>
        <w:t xml:space="preserve"> gene).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left="240" w:firstLine="468"/>
        <w:spacing w:after="0" w:line="298" w:lineRule="auto"/>
        <w:rPr>
          <w:sz w:val="20"/>
          <w:szCs w:val="20"/>
          <w:color w:val="auto"/>
        </w:rPr>
      </w:pPr>
      <w:r>
        <w:rPr>
          <w:rFonts w:ascii="Arial" w:cs="Arial" w:eastAsia="Arial" w:hAnsi="Arial"/>
          <w:sz w:val="16"/>
          <w:szCs w:val="16"/>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194"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develop losmapimod for the treatment of FSHD.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FTX-HbF into clinical development.</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apply our proprietary product engine to grow our portfolio of product candidates for the treatment of genetically defined diseases.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expand our product engine capabilities.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Maximize the commercial potential of our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enter into strategic partnerships to maximize the value of our product engine and pipeline.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5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firstLine="354"/>
        <w:spacing w:after="0" w:line="26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213" w:lineRule="exact"/>
        <w:rPr>
          <w:sz w:val="20"/>
          <w:szCs w:val="20"/>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 As of March 31, 2019, we had an accumulated deficit of $105.0 million.</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operating history may make it difficult for you to evaluate the success of our business to date and to assess our future viability.</w:t>
      </w:r>
    </w:p>
    <w:p>
      <w:pPr>
        <w:spacing w:after="0" w:line="275"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namely our need to raise additional capital, that raise substantial doubt about our ability to continue as a going concern, and our independent registered public accounting firm's report on our consolidated financial statements appearing at the end of this prospectus includes a going concern uncertainty paragraph.</w:t>
      </w:r>
    </w:p>
    <w:p>
      <w:pPr>
        <w:spacing w:after="0" w:line="207"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product engine to build a pipeline of product candidates.</w:t>
      </w:r>
    </w:p>
    <w:p>
      <w:pPr>
        <w:spacing w:after="0" w:line="252"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207" w:lineRule="exact"/>
        <w:rPr>
          <w:rFonts w:ascii="Arial" w:cs="Arial" w:eastAsia="Arial" w:hAnsi="Arial"/>
          <w:sz w:val="18"/>
          <w:szCs w:val="18"/>
          <w:color w:val="auto"/>
        </w:rPr>
      </w:pPr>
    </w:p>
    <w:p>
      <w:pPr>
        <w:jc w:val="both"/>
        <w:ind w:left="1320" w:hanging="538"/>
        <w:spacing w:after="0" w:line="256"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FDA or other regulatory authorities may not consider the endpoints of our clinical trials to predict or provide clinically meaningful results.</w:t>
      </w:r>
    </w:p>
    <w:p>
      <w:pPr>
        <w:spacing w:after="0" w:line="210"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99"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75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57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320" w:hanging="538"/>
        <w:spacing w:after="0" w:line="290"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The composition of matter patents for losmapimod licensed from GSK are expected to expire in 2023. Although we have filed patent applications directed to new methods of using losmapimod and other p38 inhibitors to treat FSHD that, if granted, would be expected to expire in 2038, we cannot be certain that any patents will be granted in respect of these patent applications. We do not own or in-license any patented intellectual property related to our product engine.</w:t>
      </w:r>
    </w:p>
    <w:p>
      <w:pPr>
        <w:spacing w:after="0" w:line="185"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jc w:val="both"/>
        <w:ind w:left="240" w:firstLine="362"/>
        <w:spacing w:after="0" w:line="256"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jc w:val="both"/>
        <w:ind w:left="240" w:firstLine="469"/>
        <w:spacing w:after="0" w:line="289"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and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159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815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120" w:type="dxa"/>
            <w:vAlign w:val="bottom"/>
          </w:tcPr>
          <w:p>
            <w:pPr>
              <w:ind w:left="860"/>
              <w:spacing w:after="0"/>
              <w:rPr>
                <w:sz w:val="20"/>
                <w:szCs w:val="20"/>
                <w:color w:val="auto"/>
              </w:rPr>
            </w:pPr>
            <w:r>
              <w:rPr>
                <w:rFonts w:ascii="Arial" w:cs="Arial" w:eastAsia="Arial" w:hAnsi="Arial"/>
                <w:sz w:val="18"/>
                <w:szCs w:val="18"/>
                <w:b w:val="1"/>
                <w:bCs w:val="1"/>
                <w:color w:val="auto"/>
              </w:rPr>
              <w:t>THE OFFERING</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4"/>
              </w:rPr>
              <w:t>Common stock</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offered</w:t>
            </w:r>
          </w:p>
        </w:tc>
        <w:tc>
          <w:tcPr>
            <w:tcW w:w="1660" w:type="dxa"/>
            <w:vAlign w:val="bottom"/>
          </w:tcPr>
          <w:p>
            <w:pPr>
              <w:ind w:left="600"/>
              <w:spacing w:after="0"/>
              <w:rPr>
                <w:sz w:val="20"/>
                <w:szCs w:val="20"/>
                <w:color w:val="auto"/>
              </w:rPr>
            </w:pPr>
            <w:r>
              <w:rPr>
                <w:rFonts w:ascii="Arial" w:cs="Arial" w:eastAsia="Arial" w:hAnsi="Arial"/>
                <w:sz w:val="18"/>
                <w:szCs w:val="18"/>
                <w:color w:val="auto"/>
              </w:rPr>
              <w:t>shares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4"/>
              </w:rPr>
              <w:t>Common stock</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to be</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w w:val="99"/>
              </w:rPr>
              <w:t>immediately</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following</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this offering</w:t>
            </w:r>
          </w:p>
        </w:tc>
        <w:tc>
          <w:tcPr>
            <w:tcW w:w="1660" w:type="dxa"/>
            <w:vAlign w:val="bottom"/>
          </w:tcPr>
          <w:p>
            <w:pPr>
              <w:ind w:left="600"/>
              <w:spacing w:after="0"/>
              <w:rPr>
                <w:sz w:val="20"/>
                <w:szCs w:val="20"/>
                <w:color w:val="auto"/>
              </w:rPr>
            </w:pPr>
            <w:r>
              <w:rPr>
                <w:rFonts w:ascii="Arial" w:cs="Arial" w:eastAsia="Arial" w:hAnsi="Arial"/>
                <w:sz w:val="18"/>
                <w:szCs w:val="18"/>
                <w:color w:val="auto"/>
              </w:rPr>
              <w:t>shares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Option to</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purchase</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additional</w:t>
            </w:r>
          </w:p>
        </w:tc>
        <w:tc>
          <w:tcPr>
            <w:tcW w:w="6500" w:type="dxa"/>
            <w:vAlign w:val="bottom"/>
            <w:gridSpan w:val="3"/>
          </w:tcPr>
          <w:p>
            <w:pPr>
              <w:ind w:left="80"/>
              <w:spacing w:after="0"/>
              <w:rPr>
                <w:sz w:val="20"/>
                <w:szCs w:val="20"/>
                <w:color w:val="auto"/>
              </w:rPr>
            </w:pPr>
            <w:r>
              <w:rPr>
                <w:rFonts w:ascii="Arial" w:cs="Arial" w:eastAsia="Arial" w:hAnsi="Arial"/>
                <w:sz w:val="18"/>
                <w:szCs w:val="18"/>
                <w:color w:val="auto"/>
                <w:w w:val="94"/>
              </w:rPr>
              <w:t>We have granted the underwriters an option for a period of 30 days to purchase up to</w:t>
            </w:r>
          </w:p>
        </w:tc>
        <w:tc>
          <w:tcPr>
            <w:tcW w:w="1080" w:type="dxa"/>
            <w:vAlign w:val="bottom"/>
          </w:tcPr>
          <w:p>
            <w:pPr>
              <w:jc w:val="right"/>
              <w:spacing w:after="0"/>
              <w:rPr>
                <w:sz w:val="20"/>
                <w:szCs w:val="20"/>
                <w:color w:val="auto"/>
              </w:rPr>
            </w:pPr>
            <w:r>
              <w:rPr>
                <w:rFonts w:ascii="Arial" w:cs="Arial" w:eastAsia="Arial" w:hAnsi="Arial"/>
                <w:sz w:val="18"/>
                <w:szCs w:val="18"/>
                <w:color w:val="auto"/>
              </w:rPr>
              <w:t>additional</w:t>
            </w: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shares</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shares of our 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Use of</w:t>
            </w:r>
          </w:p>
        </w:tc>
        <w:tc>
          <w:tcPr>
            <w:tcW w:w="6500" w:type="dxa"/>
            <w:vAlign w:val="bottom"/>
            <w:gridSpan w:val="3"/>
          </w:tcPr>
          <w:p>
            <w:pPr>
              <w:ind w:left="80"/>
              <w:spacing w:after="0"/>
              <w:rPr>
                <w:sz w:val="20"/>
                <w:szCs w:val="20"/>
                <w:color w:val="auto"/>
              </w:rPr>
            </w:pPr>
            <w:r>
              <w:rPr>
                <w:rFonts w:ascii="Arial" w:cs="Arial" w:eastAsia="Arial" w:hAnsi="Arial"/>
                <w:sz w:val="18"/>
                <w:szCs w:val="18"/>
                <w:color w:val="auto"/>
              </w:rPr>
              <w:t>We estimate that the net proceeds from this offering will be approximately $</w:t>
            </w:r>
          </w:p>
        </w:tc>
        <w:tc>
          <w:tcPr>
            <w:tcW w:w="108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proceeds</w:t>
            </w:r>
          </w:p>
        </w:tc>
        <w:tc>
          <w:tcPr>
            <w:tcW w:w="166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5920" w:type="dxa"/>
            <w:vAlign w:val="bottom"/>
            <w:gridSpan w:val="3"/>
          </w:tcPr>
          <w:p>
            <w:pPr>
              <w:jc w:val="right"/>
              <w:spacing w:after="0"/>
              <w:rPr>
                <w:sz w:val="20"/>
                <w:szCs w:val="20"/>
                <w:color w:val="auto"/>
              </w:rPr>
            </w:pPr>
            <w:r>
              <w:rPr>
                <w:rFonts w:ascii="Arial" w:cs="Arial" w:eastAsia="Arial" w:hAnsi="Arial"/>
                <w:sz w:val="18"/>
                <w:szCs w:val="18"/>
                <w:color w:val="auto"/>
                <w:w w:val="94"/>
              </w:rPr>
              <w:t>million if the underwriters exercise their option to purchase additional shares in</w:t>
            </w:r>
          </w:p>
        </w:tc>
      </w:tr>
      <w:tr>
        <w:trPr>
          <w:trHeight w:val="216"/>
        </w:trPr>
        <w:tc>
          <w:tcPr>
            <w:tcW w:w="1160" w:type="dxa"/>
            <w:vAlign w:val="bottom"/>
          </w:tcPr>
          <w:p>
            <w:pPr>
              <w:spacing w:after="0"/>
              <w:rPr>
                <w:sz w:val="18"/>
                <w:szCs w:val="18"/>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full), based on an assumed initial public offering price of $</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w w:val="91"/>
              </w:rPr>
              <w:t>per share, which is the midpoint of the</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87"/>
              </w:rPr>
              <w:t>price range set forth on the cover page of this prospectus, after deducting estimated underwriting discounts</w:t>
            </w:r>
          </w:p>
        </w:tc>
      </w:tr>
      <w:tr>
        <w:trPr>
          <w:trHeight w:val="222"/>
        </w:trPr>
        <w:tc>
          <w:tcPr>
            <w:tcW w:w="116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w w:val="89"/>
              </w:rPr>
              <w:t>and commissions and estimated offering expenses payable by us.</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4"/>
                <w:szCs w:val="24"/>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88"/>
              </w:rPr>
              <w:t>We intend to use the net proceeds from this offering, together with our existing cash and cash equivalents,</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3"/>
              </w:rPr>
              <w:t>to advance losmapimod for FSHD, to advance our hemoglobinopathies program, to fund our ongoing</w:t>
            </w:r>
          </w:p>
        </w:tc>
      </w:tr>
      <w:tr>
        <w:trPr>
          <w:trHeight w:val="216"/>
        </w:trPr>
        <w:tc>
          <w:tcPr>
            <w:tcW w:w="1160" w:type="dxa"/>
            <w:vAlign w:val="bottom"/>
          </w:tcPr>
          <w:p>
            <w:pPr>
              <w:spacing w:after="0"/>
              <w:rPr>
                <w:sz w:val="18"/>
                <w:szCs w:val="18"/>
                <w:color w:val="auto"/>
              </w:rPr>
            </w:pP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0"/>
              </w:rPr>
              <w:t>product engine and discovery efforts and for working capital and other general corporate purposes. See</w:t>
            </w:r>
          </w:p>
        </w:tc>
      </w:tr>
      <w:tr>
        <w:trPr>
          <w:trHeight w:val="222"/>
        </w:trPr>
        <w:tc>
          <w:tcPr>
            <w:tcW w:w="116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Risk factors</w:t>
            </w:r>
          </w:p>
        </w:tc>
        <w:tc>
          <w:tcPr>
            <w:tcW w:w="7580" w:type="dxa"/>
            <w:vAlign w:val="bottom"/>
            <w:gridSpan w:val="4"/>
          </w:tcPr>
          <w:p>
            <w:pPr>
              <w:ind w:left="80"/>
              <w:spacing w:after="0"/>
              <w:rPr>
                <w:sz w:val="20"/>
                <w:szCs w:val="20"/>
                <w:color w:val="auto"/>
              </w:rPr>
            </w:pPr>
            <w:r>
              <w:rPr>
                <w:rFonts w:ascii="Arial" w:cs="Arial" w:eastAsia="Arial" w:hAnsi="Arial"/>
                <w:sz w:val="18"/>
                <w:szCs w:val="18"/>
                <w:color w:val="auto"/>
                <w:w w:val="94"/>
              </w:rPr>
              <w:t>You should read the "Risk Factors" section of this prospectus for a discussion of factors to consider</w:t>
            </w:r>
          </w:p>
        </w:tc>
      </w:tr>
      <w:tr>
        <w:trPr>
          <w:trHeight w:val="222"/>
        </w:trPr>
        <w:tc>
          <w:tcPr>
            <w:tcW w:w="1160" w:type="dxa"/>
            <w:vAlign w:val="bottom"/>
          </w:tcPr>
          <w:p>
            <w:pPr>
              <w:spacing w:after="0"/>
              <w:rPr>
                <w:sz w:val="19"/>
                <w:szCs w:val="19"/>
                <w:color w:val="auto"/>
              </w:rPr>
            </w:pPr>
          </w:p>
        </w:tc>
        <w:tc>
          <w:tcPr>
            <w:tcW w:w="4780" w:type="dxa"/>
            <w:vAlign w:val="bottom"/>
            <w:gridSpan w:val="2"/>
          </w:tcPr>
          <w:p>
            <w:pPr>
              <w:ind w:left="80"/>
              <w:spacing w:after="0"/>
              <w:rPr>
                <w:sz w:val="20"/>
                <w:szCs w:val="20"/>
                <w:color w:val="auto"/>
              </w:rPr>
            </w:pPr>
            <w:r>
              <w:rPr>
                <w:rFonts w:ascii="Arial" w:cs="Arial" w:eastAsia="Arial" w:hAnsi="Arial"/>
                <w:sz w:val="18"/>
                <w:szCs w:val="18"/>
                <w:color w:val="auto"/>
                <w:w w:val="89"/>
              </w:rPr>
              <w:t>carefully before deciding to invest in shares of our 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Proposed</w:t>
            </w: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Nasdaq</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Global</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Arial" w:cs="Arial" w:eastAsia="Arial" w:hAnsi="Arial"/>
                <w:sz w:val="18"/>
                <w:szCs w:val="18"/>
                <w:color w:val="auto"/>
              </w:rPr>
              <w:t>Market</w:t>
            </w:r>
          </w:p>
        </w:tc>
        <w:tc>
          <w:tcPr>
            <w:tcW w:w="16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ind w:left="180"/>
              <w:spacing w:after="0"/>
              <w:rPr>
                <w:sz w:val="20"/>
                <w:szCs w:val="20"/>
                <w:color w:val="auto"/>
              </w:rPr>
            </w:pPr>
            <w:r>
              <w:rPr>
                <w:rFonts w:ascii="Arial" w:cs="Arial" w:eastAsia="Arial" w:hAnsi="Arial"/>
                <w:sz w:val="18"/>
                <w:szCs w:val="18"/>
                <w:color w:val="auto"/>
              </w:rPr>
              <w:t>symbol</w:t>
            </w:r>
          </w:p>
        </w:tc>
        <w:tc>
          <w:tcPr>
            <w:tcW w:w="1660" w:type="dxa"/>
            <w:vAlign w:val="bottom"/>
          </w:tcPr>
          <w:p>
            <w:pPr>
              <w:ind w:left="80"/>
              <w:spacing w:after="0"/>
              <w:rPr>
                <w:sz w:val="20"/>
                <w:szCs w:val="20"/>
                <w:color w:val="auto"/>
              </w:rPr>
            </w:pPr>
            <w:r>
              <w:rPr>
                <w:rFonts w:ascii="Arial" w:cs="Arial" w:eastAsia="Arial" w:hAnsi="Arial"/>
                <w:sz w:val="18"/>
                <w:szCs w:val="18"/>
                <w:color w:val="auto"/>
              </w:rPr>
              <w:t>"FULC"</w:t>
            </w:r>
          </w:p>
        </w:tc>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10" w:lineRule="exact"/>
        <w:rPr>
          <w:sz w:val="20"/>
          <w:szCs w:val="20"/>
          <w:color w:val="auto"/>
        </w:rPr>
      </w:pPr>
    </w:p>
    <w:p>
      <w:pPr>
        <w:jc w:val="both"/>
        <w:ind w:left="240" w:firstLine="368"/>
        <w:spacing w:after="0" w:line="306" w:lineRule="auto"/>
        <w:rPr>
          <w:sz w:val="20"/>
          <w:szCs w:val="20"/>
          <w:color w:val="auto"/>
        </w:rPr>
      </w:pPr>
      <w:r>
        <w:rPr>
          <w:rFonts w:ascii="Arial" w:cs="Arial" w:eastAsia="Arial" w:hAnsi="Arial"/>
          <w:sz w:val="16"/>
          <w:szCs w:val="16"/>
          <w:color w:val="auto"/>
        </w:rPr>
        <w:t>The number of shares of our common stock to be outstanding after this offering is based on 19,430,506 shares of our common stock outstanding as of April 30, 2019, including 6,972,076 shares of unvested restricted stock subject to repurchase by us, and 112,500,000 shares of our common stock issuable upon the automatic conversion of all outstanding shares of our preferred stock upon the closing of this offering.</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252" w:lineRule="exact"/>
        <w:rPr>
          <w:sz w:val="20"/>
          <w:szCs w:val="20"/>
          <w:color w:val="auto"/>
        </w:rPr>
      </w:pPr>
    </w:p>
    <w:p>
      <w:pPr>
        <w:jc w:val="both"/>
        <w:ind w:left="13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10,503,582 shares of common stock issuable upon exercise of stock options outstanding as of April 30, 2019 at a weighted average exercise price of $1.09 per share, and an additional 658,000 shares of common stock issuable upon the exercise of stock options granted subsequent to April 30, 2019, at a weighted average exercise price of $1.58 per share;</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2,565,912 shares of common stock reserved for future issuance under our 2016 Stock Incentive Plan, as amended, or the 2016 Plan, as of April 30, 2019; and</w:t>
      </w:r>
    </w:p>
    <w:p>
      <w:pPr>
        <w:spacing w:after="0" w:line="186" w:lineRule="exact"/>
        <w:rPr>
          <w:sz w:val="20"/>
          <w:szCs w:val="20"/>
          <w:color w:val="auto"/>
        </w:rPr>
      </w:pPr>
    </w:p>
    <w:p>
      <w:pPr>
        <w:jc w:val="both"/>
        <w:ind w:left="1320" w:hanging="539"/>
        <w:spacing w:after="0" w:line="256" w:lineRule="auto"/>
        <w:tabs>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additional shares of our common stock that will become available for future issuance under our 2019 Stock Incentive Plan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31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3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112,500,000 shares of our common stock upon the closing of this offering; and</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57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57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jc w:val="both"/>
        <w:ind w:left="240" w:firstLine="569"/>
        <w:spacing w:after="0" w:line="288" w:lineRule="auto"/>
        <w:rPr>
          <w:sz w:val="20"/>
          <w:szCs w:val="20"/>
          <w:color w:val="auto"/>
        </w:rPr>
      </w:pPr>
      <w:r>
        <w:rPr>
          <w:rFonts w:ascii="Arial" w:cs="Arial" w:eastAsia="Arial" w:hAnsi="Arial"/>
          <w:sz w:val="16"/>
          <w:szCs w:val="16"/>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60" w:type="dxa"/>
            <w:vAlign w:val="bottom"/>
            <w:gridSpan w:val="5"/>
          </w:tcPr>
          <w:p>
            <w:pPr>
              <w:jc w:val="right"/>
              <w:ind w:right="49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60" w:type="dxa"/>
            <w:vAlign w:val="bottom"/>
            <w:gridSpan w:val="5"/>
          </w:tcPr>
          <w:p>
            <w:pPr>
              <w:jc w:val="right"/>
              <w:ind w:right="398"/>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18,494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5,573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4,499</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22,993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(22,993)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(7,310)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(22,964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(32,588</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(6,940</w:t>
            </w:r>
          </w:p>
        </w:tc>
        <w:tc>
          <w:tcPr>
            <w:tcW w:w="2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(2,407)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(6,559)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(25,371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(39,147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(7,768</w:t>
            </w:r>
          </w:p>
        </w:tc>
        <w:tc>
          <w:tcPr>
            <w:tcW w:w="20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Net loss per share attributable to common stockholders, basic and</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number of common shares used in net loss per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auto"/>
                <w:w w:val="94"/>
              </w:rPr>
              <w:t>share attributable to common stockholders, basic and diluted</w:t>
            </w:r>
            <w:r>
              <w:rPr>
                <w:rFonts w:ascii="Arial" w:cs="Arial" w:eastAsia="Arial" w:hAnsi="Arial"/>
                <w:sz w:val="29"/>
                <w:szCs w:val="29"/>
                <w:color w:val="auto"/>
                <w:w w:val="94"/>
                <w:vertAlign w:val="superscript"/>
              </w:rPr>
              <w:t>(1)</w:t>
            </w:r>
          </w:p>
        </w:tc>
        <w:tc>
          <w:tcPr>
            <w:tcW w:w="180" w:type="dxa"/>
            <w:vAlign w:val="bottom"/>
          </w:tcPr>
          <w:p>
            <w:pPr>
              <w:spacing w:after="0"/>
              <w:rPr>
                <w:sz w:val="22"/>
                <w:szCs w:val="2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4,980</w:t>
            </w: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8,799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7,134</w:t>
            </w: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Pro forma net loss per share attributable to common stockholders,</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basic and diluted</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weighted average number of common shares used in net</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loss per share attributable to common stockholders, basic and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w w:val="92"/>
              </w:rPr>
              <w:t>118,580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0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1880" w:hanging="544"/>
        <w:spacing w:after="0" w:line="259"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12 to our annual and interim consolidated financial statements appearing at the end of this prospectus for details on the calculation of basic and diluted net loss per share attributable to common stockholders and basic and diluted pro forma net loss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92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5923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As of March 31, 2019</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4"/>
        </w:trPr>
        <w:tc>
          <w:tcPr>
            <w:tcW w:w="9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2"/>
              <w:spacing w:after="0" w:line="125" w:lineRule="exact"/>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0"/>
                <w:szCs w:val="10"/>
                <w:color w:val="auto"/>
              </w:rPr>
            </w:pPr>
          </w:p>
        </w:tc>
      </w:tr>
      <w:tr>
        <w:trPr>
          <w:trHeight w:val="193"/>
        </w:trPr>
        <w:tc>
          <w:tcPr>
            <w:tcW w:w="9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1140" w:type="dxa"/>
            <w:vAlign w:val="bottom"/>
            <w:gridSpan w:val="3"/>
          </w:tcPr>
          <w:p>
            <w:pPr>
              <w:ind w:left="20"/>
              <w:spacing w:after="0" w:line="193"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perscript"/>
              </w:rPr>
              <w:t>(2)</w:t>
            </w:r>
          </w:p>
        </w:tc>
        <w:tc>
          <w:tcPr>
            <w:tcW w:w="1100" w:type="dxa"/>
            <w:vAlign w:val="bottom"/>
            <w:gridSpan w:val="2"/>
          </w:tcPr>
          <w:p>
            <w:pPr>
              <w:jc w:val="center"/>
              <w:ind w:right="260"/>
              <w:spacing w:after="0" w:line="193" w:lineRule="exact"/>
              <w:rPr>
                <w:sz w:val="20"/>
                <w:szCs w:val="20"/>
                <w:color w:val="auto"/>
              </w:rPr>
            </w:pPr>
            <w:r>
              <w:rPr>
                <w:rFonts w:ascii="Arial" w:cs="Arial" w:eastAsia="Arial" w:hAnsi="Arial"/>
                <w:sz w:val="14"/>
                <w:szCs w:val="14"/>
                <w:b w:val="1"/>
                <w:bCs w:val="1"/>
                <w:color w:val="auto"/>
                <w:w w:val="84"/>
              </w:rPr>
              <w:t>As Adjusted</w:t>
            </w:r>
            <w:r>
              <w:rPr>
                <w:rFonts w:ascii="Arial" w:cs="Arial" w:eastAsia="Arial" w:hAnsi="Arial"/>
                <w:sz w:val="22"/>
                <w:szCs w:val="22"/>
                <w:b w:val="1"/>
                <w:bCs w:val="1"/>
                <w:color w:val="auto"/>
                <w:w w:val="84"/>
                <w:vertAlign w:val="superscript"/>
              </w:rPr>
              <w:t>(3)</w:t>
            </w:r>
          </w:p>
        </w:tc>
      </w:tr>
      <w:tr>
        <w:trPr>
          <w:trHeight w:val="142"/>
        </w:trPr>
        <w:tc>
          <w:tcPr>
            <w:tcW w:w="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62,452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62,452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59,306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75,588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75,588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165,136</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65,449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8" w:lineRule="exact"/>
        <w:rPr>
          <w:rFonts w:ascii="Arial" w:cs="Arial" w:eastAsia="Arial" w:hAnsi="Arial"/>
          <w:sz w:val="18"/>
          <w:szCs w:val="18"/>
          <w:color w:val="auto"/>
        </w:rPr>
      </w:pPr>
    </w:p>
    <w:p>
      <w:pPr>
        <w:ind w:left="1880" w:hanging="544"/>
        <w:spacing w:after="0" w:line="268" w:lineRule="auto"/>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 forma balance sheet data give effect to the automatic conversion of all outstanding shares of our preferred stock into an aggregate of 112,500,000 shares of common stock upon the closing of this offering.</w:t>
      </w:r>
    </w:p>
    <w:p>
      <w:pPr>
        <w:spacing w:after="0" w:line="18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60" w:type="dxa"/>
            <w:vAlign w:val="bottom"/>
          </w:tcPr>
          <w:p>
            <w:pPr>
              <w:jc w:val="right"/>
              <w:ind w:right="72"/>
              <w:spacing w:after="0"/>
              <w:rPr>
                <w:sz w:val="20"/>
                <w:szCs w:val="20"/>
                <w:color w:val="auto"/>
              </w:rPr>
            </w:pPr>
            <w:r>
              <w:rPr>
                <w:rFonts w:ascii="Arial" w:cs="Arial" w:eastAsia="Arial" w:hAnsi="Arial"/>
                <w:sz w:val="18"/>
                <w:szCs w:val="18"/>
                <w:color w:val="auto"/>
                <w:w w:val="81"/>
              </w:rPr>
              <w:t>(3)</w:t>
            </w:r>
          </w:p>
        </w:tc>
        <w:tc>
          <w:tcPr>
            <w:tcW w:w="6980" w:type="dxa"/>
            <w:vAlign w:val="bottom"/>
            <w:gridSpan w:val="2"/>
          </w:tcPr>
          <w:p>
            <w:pPr>
              <w:ind w:left="180"/>
              <w:spacing w:after="0"/>
              <w:rPr>
                <w:sz w:val="20"/>
                <w:szCs w:val="20"/>
                <w:color w:val="auto"/>
              </w:rPr>
            </w:pPr>
            <w:r>
              <w:rPr>
                <w:rFonts w:ascii="Arial" w:cs="Arial" w:eastAsia="Arial" w:hAnsi="Arial"/>
                <w:sz w:val="18"/>
                <w:szCs w:val="18"/>
                <w:color w:val="auto"/>
                <w:w w:val="92"/>
              </w:rPr>
              <w:t>The pro forma as adjusted balance sheet data give further effect to our issuance and sale of</w:t>
            </w:r>
          </w:p>
        </w:tc>
        <w:tc>
          <w:tcPr>
            <w:tcW w:w="2500" w:type="dxa"/>
            <w:vAlign w:val="bottom"/>
          </w:tcPr>
          <w:p>
            <w:pPr>
              <w:jc w:val="right"/>
              <w:spacing w:after="0"/>
              <w:rPr>
                <w:sz w:val="20"/>
                <w:szCs w:val="20"/>
                <w:color w:val="auto"/>
              </w:rPr>
            </w:pPr>
            <w:r>
              <w:rPr>
                <w:rFonts w:ascii="Arial" w:cs="Arial" w:eastAsia="Arial" w:hAnsi="Arial"/>
                <w:sz w:val="18"/>
                <w:szCs w:val="18"/>
                <w:color w:val="auto"/>
              </w:rPr>
              <w:t>shares of our common stock in</w:t>
            </w:r>
          </w:p>
        </w:tc>
      </w:tr>
      <w:tr>
        <w:trPr>
          <w:trHeight w:val="216"/>
        </w:trPr>
        <w:tc>
          <w:tcPr>
            <w:tcW w:w="36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w w:val="95"/>
              </w:rPr>
              <w:t>this offering at an assumed initial public offering price of $</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w w:val="93"/>
              </w:rPr>
              <w:t>per share, which is the midpoint of the price range set forth on the</w:t>
            </w:r>
          </w:p>
        </w:tc>
      </w:tr>
      <w:tr>
        <w:trPr>
          <w:trHeight w:val="216"/>
        </w:trPr>
        <w:tc>
          <w:tcPr>
            <w:tcW w:w="360" w:type="dxa"/>
            <w:vAlign w:val="bottom"/>
          </w:tcPr>
          <w:p>
            <w:pPr>
              <w:spacing w:after="0"/>
              <w:rPr>
                <w:sz w:val="18"/>
                <w:szCs w:val="18"/>
                <w:color w:val="auto"/>
              </w:rPr>
            </w:pPr>
          </w:p>
        </w:tc>
        <w:tc>
          <w:tcPr>
            <w:tcW w:w="9480" w:type="dxa"/>
            <w:vAlign w:val="bottom"/>
            <w:gridSpan w:val="3"/>
          </w:tcPr>
          <w:p>
            <w:pPr>
              <w:ind w:left="180"/>
              <w:spacing w:after="0"/>
              <w:rPr>
                <w:sz w:val="20"/>
                <w:szCs w:val="20"/>
                <w:color w:val="auto"/>
              </w:rPr>
            </w:pPr>
            <w:r>
              <w:rPr>
                <w:rFonts w:ascii="Arial" w:cs="Arial" w:eastAsia="Arial" w:hAnsi="Arial"/>
                <w:sz w:val="18"/>
                <w:szCs w:val="18"/>
                <w:color w:val="auto"/>
                <w:w w:val="89"/>
              </w:rPr>
              <w:t>cover page of this prospectus, after deducting estimated underwriting discounts and commissions and estimated offering expenses</w:t>
            </w:r>
          </w:p>
        </w:tc>
      </w:tr>
      <w:tr>
        <w:trPr>
          <w:trHeight w:val="222"/>
        </w:trPr>
        <w:tc>
          <w:tcPr>
            <w:tcW w:w="36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payable by us.</w:t>
            </w:r>
          </w:p>
        </w:tc>
        <w:tc>
          <w:tcPr>
            <w:tcW w:w="24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 forma as adjusted information discussed above is illustrative only and will change based on the actual initial public offering price and other</w:t>
      </w:r>
    </w:p>
    <w:p>
      <w:pPr>
        <w:spacing w:after="0" w:line="38" w:lineRule="exact"/>
        <w:rPr>
          <w:sz w:val="20"/>
          <w:szCs w:val="20"/>
          <w:color w:val="auto"/>
        </w:rPr>
      </w:pPr>
    </w:p>
    <w:p>
      <w:pPr>
        <w:jc w:val="both"/>
        <w:ind w:left="240"/>
        <w:spacing w:after="0" w:line="281" w:lineRule="auto"/>
        <w:rPr>
          <w:sz w:val="20"/>
          <w:szCs w:val="20"/>
          <w:color w:val="auto"/>
        </w:rPr>
      </w:pPr>
      <w:r>
        <w:rPr>
          <w:rFonts w:ascii="Arial" w:cs="Arial" w:eastAsia="Arial" w:hAnsi="Arial"/>
          <w:sz w:val="16"/>
          <w:szCs w:val="16"/>
          <w:color w:val="auto"/>
        </w:rPr>
        <w:t>terms of this offering determined at pricing. A $1.00 increase (decrease) in the assumed initial public offering price of $ per share, which is the midpoint of the price range set forth on the cover page of this prospectus, would increase (decrease) the pro forma as adjusted amount of each of cash and</w:t>
      </w:r>
    </w:p>
    <w:p>
      <w:pPr>
        <w:spacing w:after="0" w:line="1" w:lineRule="exact"/>
        <w:rPr>
          <w:sz w:val="20"/>
          <w:szCs w:val="20"/>
          <w:color w:val="auto"/>
        </w:rPr>
      </w:pPr>
    </w:p>
    <w:p>
      <w:pPr>
        <w:jc w:val="both"/>
        <w:ind w:left="240"/>
        <w:spacing w:after="0" w:line="300" w:lineRule="auto"/>
        <w:rPr>
          <w:sz w:val="20"/>
          <w:szCs w:val="20"/>
          <w:color w:val="auto"/>
        </w:rPr>
      </w:pPr>
      <w:r>
        <w:rPr>
          <w:rFonts w:ascii="Arial" w:cs="Arial" w:eastAsia="Arial" w:hAnsi="Arial"/>
          <w:sz w:val="15"/>
          <w:szCs w:val="15"/>
          <w:color w:val="auto"/>
        </w:rPr>
        <w:t>cash 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working capital, total assets and total stockholders'</w:t>
      </w:r>
    </w:p>
    <w:p>
      <w:pPr>
        <w:spacing w:after="0" w:line="2" w:lineRule="exact"/>
        <w:rPr>
          <w:sz w:val="20"/>
          <w:szCs w:val="20"/>
          <w:color w:val="auto"/>
        </w:rPr>
      </w:pPr>
    </w:p>
    <w:p>
      <w:pPr>
        <w:jc w:val="both"/>
        <w:ind w:left="240"/>
        <w:spacing w:after="0" w:line="261" w:lineRule="auto"/>
        <w:rPr>
          <w:sz w:val="20"/>
          <w:szCs w:val="20"/>
          <w:color w:val="auto"/>
        </w:rPr>
      </w:pPr>
      <w:r>
        <w:rPr>
          <w:rFonts w:ascii="Arial" w:cs="Arial" w:eastAsia="Arial" w:hAnsi="Arial"/>
          <w:sz w:val="18"/>
          <w:szCs w:val="18"/>
          <w:color w:val="auto"/>
        </w:rPr>
        <w:t>equity by $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We expect to incur losses over the next several years and may never achieve or maintain profitability.</w:t>
      </w:r>
    </w:p>
    <w:p>
      <w:pPr>
        <w:spacing w:after="0" w:line="260"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6"/>
          <w:szCs w:val="16"/>
          <w:color w:val="auto"/>
        </w:rPr>
        <w:t>Since inception, we have incurred significant operating losses. Our net loss was $23.0 million for the year ended December 31, 2017, $32.6 million for the year ended December 31, 2018 and $36.8 million for the three months ended March 31, 2019. As of March 31, 2019, we had an accumulated deficit of $105.0 million. To date, we have financed our operations primarily through the issuance of convertible notes and convertible preferred stock.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86" w:lineRule="exact"/>
        <w:rPr>
          <w:sz w:val="20"/>
          <w:szCs w:val="20"/>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investigational new drug application, or IND, enabling studies and prepare for a planned Phase 1 clinical trial of FTX-HbF;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186"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are any third-party challenges to our intellectual property or we need to defend against any intellectual property-related claim.</w:t>
      </w:r>
    </w:p>
    <w:p>
      <w:pPr>
        <w:spacing w:after="0" w:line="248"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you to lose all or part of your investment.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86" w:lineRule="exact"/>
        <w:rPr>
          <w:sz w:val="20"/>
          <w:szCs w:val="20"/>
          <w:color w:val="auto"/>
        </w:rPr>
      </w:pPr>
    </w:p>
    <w:p>
      <w:pPr>
        <w:jc w:val="both"/>
        <w:ind w:firstLine="586"/>
        <w:spacing w:after="0" w:line="288" w:lineRule="auto"/>
        <w:rPr>
          <w:sz w:val="20"/>
          <w:szCs w:val="20"/>
          <w:color w:val="auto"/>
        </w:rPr>
      </w:pPr>
      <w:r>
        <w:rPr>
          <w:rFonts w:ascii="Arial" w:cs="Arial" w:eastAsia="Arial" w:hAnsi="Arial"/>
          <w:sz w:val="16"/>
          <w:szCs w:val="16"/>
          <w:color w:val="auto"/>
        </w:rPr>
        <w:t>We expect to devote substantial financial resources to our ongoing and planned activities, particularly as we continue our Phase 1 clinical trial of losmapimod and prepare for a planned Phase 2b clinical trial and Phase 2 open label clinical trial of losmapimod and planned Phase 1 clinical trial of FTX-HbF;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384"/>
        <w:spacing w:after="0" w:line="286" w:lineRule="auto"/>
        <w:rPr>
          <w:sz w:val="20"/>
          <w:szCs w:val="20"/>
          <w:color w:val="auto"/>
        </w:rPr>
      </w:pPr>
      <w:r>
        <w:rPr>
          <w:rFonts w:ascii="Arial" w:cs="Arial" w:eastAsia="Arial" w:hAnsi="Arial"/>
          <w:sz w:val="16"/>
          <w:szCs w:val="16"/>
          <w:color w:val="auto"/>
        </w:rPr>
        <w:t>As of March 31, 2019, we had cash and cash equivalents of approximately $62.5 million. We believe that the net proceeds from this offering, together with our existing cash and cash equivalents as of March 31, 2019, will enable us to fund our operating expenses and capital expenditure requirements</w:t>
      </w:r>
    </w:p>
    <w:p>
      <w:pPr>
        <w:jc w:val="both"/>
        <w:ind w:right="20"/>
        <w:spacing w:after="0" w:line="261" w:lineRule="auto"/>
        <w:rPr>
          <w:sz w:val="20"/>
          <w:szCs w:val="20"/>
          <w:color w:val="auto"/>
        </w:rPr>
      </w:pPr>
      <w:r>
        <w:rPr>
          <w:rFonts w:ascii="Arial" w:cs="Arial" w:eastAsia="Arial" w:hAnsi="Arial"/>
          <w:sz w:val="18"/>
          <w:szCs w:val="18"/>
          <w:color w:val="auto"/>
        </w:rPr>
        <w:t>through .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92"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186"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7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94" w:lineRule="exact"/>
        <w:rPr>
          <w:sz w:val="20"/>
          <w:szCs w:val="20"/>
          <w:color w:val="auto"/>
        </w:rPr>
      </w:pPr>
    </w:p>
    <w:p>
      <w:pPr>
        <w:jc w:val="both"/>
        <w:ind w:firstLine="359"/>
        <w:spacing w:after="0" w:line="332" w:lineRule="auto"/>
        <w:rPr>
          <w:sz w:val="20"/>
          <w:szCs w:val="20"/>
          <w:color w:val="auto"/>
        </w:rPr>
      </w:pPr>
      <w:r>
        <w:rPr>
          <w:rFonts w:ascii="Arial" w:cs="Arial" w:eastAsia="Arial" w:hAnsi="Arial"/>
          <w:sz w:val="16"/>
          <w:szCs w:val="16"/>
          <w:color w:val="auto"/>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225" w:lineRule="exact"/>
        <w:rPr>
          <w:sz w:val="20"/>
          <w:szCs w:val="20"/>
          <w:color w:val="auto"/>
        </w:rPr>
      </w:pPr>
    </w:p>
    <w:p>
      <w:pPr>
        <w:jc w:val="both"/>
        <w:ind w:firstLine="472"/>
        <w:spacing w:after="0" w:line="286" w:lineRule="auto"/>
        <w:rPr>
          <w:sz w:val="20"/>
          <w:szCs w:val="20"/>
          <w:color w:val="auto"/>
        </w:rPr>
      </w:pPr>
      <w:r>
        <w:rPr>
          <w:rFonts w:ascii="Arial" w:cs="Arial" w:eastAsia="Arial" w:hAnsi="Arial"/>
          <w:sz w:val="16"/>
          <w:szCs w:val="16"/>
          <w:color w:val="auto"/>
        </w:rPr>
        <w:t>We may be forced to delay or reduce the scope of our development programs and/or limit or cease our operations if we are unable to obtain additional funding to support our current operating plan. We have identified conditions and events that raise substantial doubt about our ability to continue as a going concern. As of March 31, 2019, we had approximately $62.5 million in cash and cash equivalents. Based on our available cash resources, we believe we do not have sufficient cash on hand to support current operations for at least one year from the date that the consolidated financial statements for the year ended December 31, 2018 and the consolidated financial statements for the three months ended March 31, 2019 appearing at the end of this prospectus were issued. This condition raises substantial doubt about our ability to continue as a going concern for at least one year from the date of issuance of the financial statements appearing at the end of this prospectus, and our independent registered public accounting firm's report on our consolidated financial statements appearing at the end of this prospectus includes a going concern uncertainty paragraph. We will need to raise additional capital in this offering and/or otherwise to fund our future operations and remain as a going concern. However, we cannot guarantee that we will be able to obtain sufficient additional funding in this offering or otherwise or that such funding, if available, will be obtainable on terms satisfactory to us. In the event that we are unable to obtain sufficient additional funding, there can be no assurance that we will be able to continue as a going concern.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passed in 2017 could adversely affect our business and financial condition.</w:t>
      </w:r>
    </w:p>
    <w:p>
      <w:pPr>
        <w:spacing w:after="0" w:line="225"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color w:val="auto"/>
        </w:rPr>
        <w:t>On December 22, 2017, the U.S. government enacted legislation commonly referred to as the Tax Cuts and Jobs Act, or the TCJA, which significantly reformed the Internal Revenue Code of 1986, as amended, or the Code. The TCJA,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remains uncertain and our business and financial condition could be adversely affected. In addition, how various states will respond to the TCJA continues to be uncertain. The impact of this tax reform on holders of our common stock is also uncertain and could be adverse. We urge prospective investors in our common stock to consult with their legal and tax advisors with respect to TCJA and the potential tax consequences of investing in or holding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NOLs and research and development tax credit carryforwards to offset future taxable income may be subject to certain limitations.</w:t>
      </w:r>
    </w:p>
    <w:p>
      <w:pPr>
        <w:spacing w:after="0" w:line="260"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auto"/>
        </w:rPr>
        <w:t>As of December 31, 2018, we had federal and state net operating loss carryforwards of $60.7 million and $60.5 million, respectively, which begin to expire in 2035. Approximately $29.7 million of the federal net operating losses can be carried forward indefinitely. As of December 31, 2018, we also had federal and state research and development tax credit carryforwards of $1.5 million and $1.3 million, respectively, which begin to expire in 2035. These net operating loss and tax credit carryforwards could expire unused and be unavailable to offset future income tax liabilities.</w:t>
      </w:r>
    </w:p>
    <w:p>
      <w:pPr>
        <w:spacing w:after="0" w:line="167" w:lineRule="exact"/>
        <w:rPr>
          <w:sz w:val="20"/>
          <w:szCs w:val="20"/>
          <w:color w:val="auto"/>
        </w:rPr>
      </w:pPr>
    </w:p>
    <w:p>
      <w:pPr>
        <w:jc w:val="both"/>
        <w:ind w:right="20" w:firstLine="492"/>
        <w:spacing w:after="0" w:line="33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39"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auto"/>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as a result of this offering and/or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 Our NOLs or credits may also be impaired under state law.</w:t>
      </w:r>
    </w:p>
    <w:p>
      <w:pPr>
        <w:spacing w:after="0" w:line="174"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In addition, as described above in "Comprehensive tax reform legislation passed in 2017 could adversely affect our business and financial condition," the TCJA includes changes to U.S. federal tax rates and the rules governing NOL carryforwards that may significantly impact our ability to utilize our NOLs to offset taxable income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116" w:lineRule="exact"/>
        <w:rPr>
          <w:sz w:val="20"/>
          <w:szCs w:val="20"/>
          <w:color w:val="auto"/>
        </w:rPr>
      </w:pPr>
    </w:p>
    <w:p>
      <w:pPr>
        <w:jc w:val="both"/>
        <w:ind w:firstLine="370"/>
        <w:spacing w:after="0" w:line="254" w:lineRule="auto"/>
        <w:rPr>
          <w:sz w:val="20"/>
          <w:szCs w:val="20"/>
          <w:color w:val="auto"/>
        </w:rPr>
      </w:pPr>
      <w:r>
        <w:rPr>
          <w:rFonts w:ascii="Arial" w:cs="Arial" w:eastAsia="Arial" w:hAnsi="Arial"/>
          <w:sz w:val="18"/>
          <w:szCs w:val="18"/>
          <w:color w:val="auto"/>
        </w:rPr>
        <w:t>We are early in our development efforts, and we have advanced only one candidate into clinical trials, losmapimod for the treatment of facioscapulohumeral muscular dystrophy, or FSHD. FTX-HbF, our other product candidate, is in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21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the FDA or other regulatory agencies of the INDs, clinical trial applications, or CTAs, or other regulatory filings for losmapimod, FTX-HbF and future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applying for and receiving marketing approvals from applicable regulatory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ind w:right="20" w:firstLine="487"/>
        <w:spacing w:after="0" w:line="332"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you any assurance that we will be able to successfully identify additional product candidates with our product engine,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94"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9"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2"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74"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9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61"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8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94"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5"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86"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238" w:lineRule="exact"/>
        <w:rPr>
          <w:rFonts w:ascii="Arial" w:cs="Arial" w:eastAsia="Arial" w:hAnsi="Arial"/>
          <w:sz w:val="18"/>
          <w:szCs w:val="18"/>
          <w:color w:val="auto"/>
        </w:rPr>
      </w:pPr>
    </w:p>
    <w:p>
      <w:pPr>
        <w:ind w:left="5620" w:right="3720" w:hanging="5072"/>
        <w:spacing w:after="0" w:line="519" w:lineRule="auto"/>
        <w:tabs>
          <w:tab w:leader="none" w:pos="10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86"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97"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39"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cause undesirable side effects, a number of potentially significant negative consequences could result,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requirement that we implement a REMS or create a medication guide outlining the risks of such side effects for distribution to patients;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jc w:val="both"/>
        <w:ind w:firstLine="531"/>
        <w:spacing w:after="0" w:line="289"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are conducting a Phase 1 clinical trial of losmapimod in patients with FSHD in Europe and currently plan to conduct additional clinical trials for our product candidates at sites outside the United States, and the FDA may not accept data from trials conducted in such locations.</w:t>
      </w:r>
    </w:p>
    <w:p>
      <w:pPr>
        <w:spacing w:after="0" w:line="139"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We are currently conducting a Phase 1 clinical trial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94"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1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efficacy and potential advantages of our product candidates compared to the advantages and relative risks of alternative treatments;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jc w:val="both"/>
        <w:ind w:firstLine="549"/>
        <w:spacing w:after="0" w:line="294"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94" w:lineRule="exact"/>
        <w:rPr>
          <w:sz w:val="20"/>
          <w:szCs w:val="20"/>
          <w:color w:val="auto"/>
        </w:rPr>
      </w:pPr>
    </w:p>
    <w:p>
      <w:pPr>
        <w:jc w:val="both"/>
        <w:ind w:firstLine="370"/>
        <w:spacing w:after="0" w:line="294" w:lineRule="auto"/>
        <w:rPr>
          <w:sz w:val="20"/>
          <w:szCs w:val="20"/>
          <w:color w:val="auto"/>
        </w:rPr>
      </w:pPr>
      <w:r>
        <w:rPr>
          <w:rFonts w:ascii="Arial" w:cs="Arial" w:eastAsia="Arial" w:hAnsi="Arial"/>
          <w:sz w:val="16"/>
          <w:szCs w:val="16"/>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39" w:lineRule="exact"/>
        <w:rPr>
          <w:sz w:val="20"/>
          <w:szCs w:val="20"/>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5"/>
        <w:spacing w:after="0" w:line="268" w:lineRule="auto"/>
        <w:rPr>
          <w:sz w:val="20"/>
          <w:szCs w:val="20"/>
          <w:color w:val="auto"/>
        </w:rPr>
      </w:pPr>
      <w:r>
        <w:rPr>
          <w:rFonts w:ascii="Arial" w:cs="Arial" w:eastAsia="Arial" w:hAnsi="Arial"/>
          <w:sz w:val="18"/>
          <w:szCs w:val="18"/>
          <w:color w:val="auto"/>
        </w:rPr>
        <w:t>If we are unable to establish our own sales, marketing and distribution capabilities and we enter into arrangements with third parties to perform these services, our product revenues and our profitability, if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jc w:val="both"/>
        <w:ind w:firstLine="429"/>
        <w:spacing w:after="0" w:line="28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2"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For example, we are aware of several product candidates in clinical development that could be competitive with product candidates that we may successfully develop and commercialize. Acceleron Pharma, Inc., or Acceleron, has a product candidate currently in Phase 2a clinical development for FSHD. Novartis AG, Global Blood Therapeutics, Inc., GlycoMimetics Inc., Pfizer, Inc.,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b-thalassemia.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"Business—Competition" for additional information regarding competing products and product candidates.</w:t>
      </w:r>
    </w:p>
    <w:p>
      <w:pPr>
        <w:spacing w:after="0" w:line="22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61"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1" w:lineRule="exact"/>
        <w:rPr>
          <w:sz w:val="20"/>
          <w:szCs w:val="20"/>
          <w:color w:val="auto"/>
        </w:rPr>
      </w:pPr>
    </w:p>
    <w:p>
      <w:pPr>
        <w:jc w:val="both"/>
        <w:ind w:firstLine="446"/>
        <w:spacing w:after="0" w:line="335" w:lineRule="auto"/>
        <w:rPr>
          <w:sz w:val="20"/>
          <w:szCs w:val="20"/>
          <w:color w:val="auto"/>
        </w:rPr>
      </w:pPr>
      <w:r>
        <w:rPr>
          <w:rFonts w:ascii="Arial" w:cs="Arial" w:eastAsia="Arial" w:hAnsi="Arial"/>
          <w:sz w:val="15"/>
          <w:szCs w:val="15"/>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142"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16" w:lineRule="exact"/>
        <w:rPr>
          <w:sz w:val="20"/>
          <w:szCs w:val="20"/>
          <w:color w:val="auto"/>
        </w:rPr>
      </w:pPr>
    </w:p>
    <w:p>
      <w:pPr>
        <w:jc w:val="both"/>
        <w:ind w:firstLine="368"/>
        <w:spacing w:after="0" w:line="288" w:lineRule="auto"/>
        <w:rPr>
          <w:sz w:val="20"/>
          <w:szCs w:val="20"/>
          <w:color w:val="auto"/>
        </w:rPr>
      </w:pPr>
      <w:r>
        <w:rPr>
          <w:rFonts w:ascii="Arial" w:cs="Arial" w:eastAsia="Arial" w:hAnsi="Arial"/>
          <w:sz w:val="16"/>
          <w:szCs w:val="16"/>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or such facilities could face manufacturing issues, such as contamination or regulatory concerns following a regulatory inspection of such facility. In such instances, we may need to locate an appropriate replacement third-party facility and establish a contractual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86"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67"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86" w:lineRule="exact"/>
        <w:rPr>
          <w:sz w:val="20"/>
          <w:szCs w:val="20"/>
          <w:color w:val="auto"/>
        </w:rPr>
      </w:pPr>
    </w:p>
    <w:p>
      <w:pPr>
        <w:jc w:val="both"/>
        <w:ind w:firstLine="383"/>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2"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available only to limited levels, we may not be able to successfully commercialize any product candidate for which we obtain marketing approval.</w:t>
      </w:r>
    </w:p>
    <w:p>
      <w:pPr>
        <w:spacing w:after="0" w:line="248"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jc w:val="both"/>
        <w:ind w:firstLine="478"/>
        <w:spacing w:after="0" w:line="306" w:lineRule="auto"/>
        <w:rPr>
          <w:sz w:val="20"/>
          <w:szCs w:val="20"/>
          <w:color w:val="auto"/>
        </w:rPr>
      </w:pPr>
      <w:r>
        <w:rPr>
          <w:rFonts w:ascii="Arial" w:cs="Arial" w:eastAsia="Arial" w:hAnsi="Arial"/>
          <w:sz w:val="16"/>
          <w:szCs w:val="16"/>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86"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 European Union. If we commercialize our product candidates in foreign markets, we will be subject to additional risks and uncertainties, including:</w:t>
      </w:r>
    </w:p>
    <w:p>
      <w:pPr>
        <w:spacing w:after="0" w:line="15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trade protection measures, import or export licensing requirements or other restrictive actions by U.S. or foreign governments;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 and related prevalence of generic alternatives to therapeutics;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238" w:lineRule="exact"/>
        <w:rPr>
          <w:rFonts w:ascii="Arial" w:cs="Arial" w:eastAsia="Arial" w:hAnsi="Arial"/>
          <w:sz w:val="18"/>
          <w:szCs w:val="18"/>
          <w:color w:val="auto"/>
        </w:rPr>
      </w:pPr>
    </w:p>
    <w:p>
      <w:pPr>
        <w:ind w:left="360" w:right="3120" w:firstLine="188"/>
        <w:spacing w:after="0" w:line="601" w:lineRule="auto"/>
        <w:tabs>
          <w:tab w:leader="none" w:pos="1089"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interpretation of contractual provisions governed by foreign laws in the event of a contract dispute. If risks related to any of these uncertainties materializes, it could have a material adverse effect on our business.</w:t>
      </w: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86"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20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firstLine="482"/>
        <w:spacing w:after="0" w:line="294" w:lineRule="auto"/>
        <w:rPr>
          <w:sz w:val="20"/>
          <w:szCs w:val="20"/>
          <w:color w:val="auto"/>
        </w:rPr>
      </w:pPr>
      <w:r>
        <w:rPr>
          <w:rFonts w:ascii="Arial" w:cs="Arial" w:eastAsia="Arial" w:hAnsi="Arial"/>
          <w:sz w:val="16"/>
          <w:szCs w:val="16"/>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86" w:lineRule="exact"/>
        <w:rPr>
          <w:sz w:val="20"/>
          <w:szCs w:val="20"/>
          <w:color w:val="auto"/>
        </w:rPr>
      </w:pPr>
    </w:p>
    <w:p>
      <w:pPr>
        <w:jc w:val="both"/>
        <w:ind w:firstLine="411"/>
        <w:spacing w:after="0" w:line="332" w:lineRule="auto"/>
        <w:rPr>
          <w:sz w:val="20"/>
          <w:szCs w:val="20"/>
          <w:color w:val="auto"/>
        </w:rPr>
      </w:pPr>
      <w:r>
        <w:rPr>
          <w:rFonts w:ascii="Arial" w:cs="Arial" w:eastAsia="Arial" w:hAnsi="Arial"/>
          <w:sz w:val="16"/>
          <w:szCs w:val="16"/>
          <w:color w:val="auto"/>
        </w:rPr>
        <w:t>We currently rely on third-party clinical research organizations to conduct our ongoing Phase 1 clinical trial of losmapimod and plan to rely on third-party clinical research organizations or third-party research collaboratives to conduct our planned clinical trials. We do not plan to independently conduct clinical trials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61" w:lineRule="exact"/>
        <w:rPr>
          <w:sz w:val="20"/>
          <w:szCs w:val="20"/>
          <w:color w:val="auto"/>
        </w:rPr>
      </w:pPr>
    </w:p>
    <w:p>
      <w:pPr>
        <w:jc w:val="both"/>
        <w:ind w:firstLine="537"/>
        <w:spacing w:after="0" w:line="253"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2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97"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61" w:lineRule="exact"/>
        <w:rPr>
          <w:sz w:val="20"/>
          <w:szCs w:val="20"/>
          <w:color w:val="auto"/>
        </w:rPr>
      </w:pPr>
    </w:p>
    <w:p>
      <w:pPr>
        <w:jc w:val="both"/>
        <w:ind w:firstLine="482"/>
        <w:spacing w:after="0" w:line="289" w:lineRule="auto"/>
        <w:rPr>
          <w:sz w:val="20"/>
          <w:szCs w:val="20"/>
          <w:color w:val="auto"/>
        </w:rPr>
      </w:pPr>
      <w:r>
        <w:rPr>
          <w:rFonts w:ascii="Arial" w:cs="Arial" w:eastAsia="Arial" w:hAnsi="Arial"/>
          <w:sz w:val="16"/>
          <w:szCs w:val="16"/>
          <w:color w:val="auto"/>
        </w:rPr>
        <w:t>We do not have any manufacturing facilities. Although we believe we have obtained sufficient losmapimod tablets from GSK to complete our planned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intend to identify and engage a contract manufacturing organization to prepare our own API and to manufacture losmapimod tablets, but we may not be successful in entering into such arrangement or may be unable to do so on terms that are acceptable to us. Even if we have sufficient API to complete further clinical trials in FSHD, we would need to contract with a third-party manufacturer to convert the API into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72"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67" w:lineRule="exact"/>
        <w:rPr>
          <w:sz w:val="20"/>
          <w:szCs w:val="20"/>
          <w:color w:val="auto"/>
        </w:rPr>
      </w:pPr>
    </w:p>
    <w:p>
      <w:pPr>
        <w:jc w:val="both"/>
        <w:ind w:right="20" w:firstLine="523"/>
        <w:spacing w:after="0" w:line="33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9" w:lineRule="exact"/>
        <w:rPr>
          <w:sz w:val="20"/>
          <w:szCs w:val="20"/>
          <w:color w:val="auto"/>
        </w:rPr>
      </w:pPr>
    </w:p>
    <w:p>
      <w:pPr>
        <w:jc w:val="both"/>
        <w:ind w:firstLine="424"/>
        <w:spacing w:after="0" w:line="29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67"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13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While we have retained all rights to and are developing on our own our current product candidates, we may in the future enter into development, distribution or marketing arrangements with third parties with respect to our existing or future product candidates.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Collaborations that we enter into may not be successful, and any success will depend heavily on the efforts and activities of such collaborators.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pose a number of risks, including the following:</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21"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6" w:lineRule="exact"/>
        <w:rPr>
          <w:sz w:val="20"/>
          <w:szCs w:val="20"/>
          <w:color w:val="auto"/>
        </w:rPr>
      </w:pPr>
    </w:p>
    <w:p>
      <w:pPr>
        <w:jc w:val="both"/>
        <w:ind w:firstLine="608"/>
        <w:spacing w:after="0" w:line="25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98"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86" w:lineRule="exact"/>
        <w:rPr>
          <w:sz w:val="20"/>
          <w:szCs w:val="20"/>
          <w:color w:val="auto"/>
        </w:rPr>
      </w:pPr>
    </w:p>
    <w:p>
      <w:pPr>
        <w:jc w:val="both"/>
        <w:ind w:firstLine="494"/>
        <w:spacing w:after="0" w:line="285"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are also restricted by GSK's right of first negotiation under our current license agreement with them and may in the future be restricted under other license agreements from entering into agreements on certain terms with potential collaborators.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80"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61"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8"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8" w:lineRule="exact"/>
        <w:rPr>
          <w:sz w:val="20"/>
          <w:szCs w:val="20"/>
          <w:color w:val="auto"/>
        </w:rPr>
      </w:pPr>
    </w:p>
    <w:p>
      <w:pPr>
        <w:jc w:val="both"/>
        <w:ind w:firstLine="410"/>
        <w:spacing w:after="0" w:line="286"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94"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color w:val="auto"/>
        </w:rPr>
        <w:t>Currently, our patent portfolio related to FTX-HbF is in its earliest stages, including only provisional patent applications which do not themselves issue as patents. We have no issued patents related to FTX-HbF or our SCD or b-thalassemia programs. In order to continue to pursue protection based on provisional patent applications, we will need to file Patent Cooperation Treaty applications, foreign applications and/or U.S. non-provisional patent applications prior to applicable deadlines.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Our owned patent applications are not to the composition but, rather, are directed to certain methods of treating FSHD. We cannot be certain that any patents will be granted in respect of these patent applications. Even if such patent applications issue as patents, they will not prevent third parties from commercializing losmapimod for other indications.</w:t>
      </w:r>
    </w:p>
    <w:p>
      <w:pPr>
        <w:spacing w:after="0" w:line="17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2" w:lineRule="exact"/>
        <w:rPr>
          <w:sz w:val="20"/>
          <w:szCs w:val="20"/>
          <w:color w:val="auto"/>
        </w:rPr>
      </w:pPr>
    </w:p>
    <w:p>
      <w:pPr>
        <w:jc w:val="both"/>
        <w:ind w:firstLine="425"/>
        <w:spacing w:after="0" w:line="286"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3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97"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39" w:lineRule="exact"/>
        <w:rPr>
          <w:sz w:val="20"/>
          <w:szCs w:val="20"/>
          <w:color w:val="auto"/>
        </w:rPr>
      </w:pPr>
    </w:p>
    <w:p>
      <w:pPr>
        <w:jc w:val="both"/>
        <w:ind w:firstLine="404"/>
        <w:spacing w:after="0" w:line="285"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0"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0"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86"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7"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86"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81"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86"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4" w:lineRule="exact"/>
        <w:rPr>
          <w:sz w:val="20"/>
          <w:szCs w:val="20"/>
          <w:color w:val="auto"/>
        </w:rPr>
      </w:pPr>
    </w:p>
    <w:p>
      <w:pPr>
        <w:jc w:val="both"/>
        <w:ind w:right="20" w:firstLine="417"/>
        <w:spacing w:after="0" w:line="268"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materials, formulations or methods,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2" w:lineRule="exact"/>
        <w:rPr>
          <w:sz w:val="20"/>
          <w:szCs w:val="20"/>
          <w:color w:val="auto"/>
        </w:rPr>
      </w:pPr>
    </w:p>
    <w:p>
      <w:pPr>
        <w:jc w:val="both"/>
        <w:ind w:firstLine="612"/>
        <w:spacing w:after="0" w:line="294"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0" w:lineRule="exact"/>
        <w:rPr>
          <w:sz w:val="20"/>
          <w:szCs w:val="20"/>
          <w:color w:val="auto"/>
        </w:rPr>
      </w:pPr>
    </w:p>
    <w:p>
      <w:pPr>
        <w:jc w:val="both"/>
        <w:ind w:firstLine="377"/>
        <w:spacing w:after="0" w:line="286"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86" w:lineRule="exact"/>
        <w:rPr>
          <w:sz w:val="20"/>
          <w:szCs w:val="20"/>
          <w:color w:val="auto"/>
        </w:rPr>
      </w:pPr>
    </w:p>
    <w:p>
      <w:pPr>
        <w:jc w:val="both"/>
        <w:ind w:firstLine="442"/>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initiation and continuation of intellectual property litigation or other proceedings could compromise our ability to compete in the marketplace.</w:t>
      </w:r>
    </w:p>
    <w:p>
      <w:pPr>
        <w:spacing w:after="0" w:line="24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7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39" w:lineRule="exact"/>
        <w:rPr>
          <w:sz w:val="20"/>
          <w:szCs w:val="20"/>
          <w:color w:val="auto"/>
        </w:rPr>
      </w:pPr>
    </w:p>
    <w:p>
      <w:pPr>
        <w:jc w:val="both"/>
        <w:ind w:firstLine="550"/>
        <w:spacing w:after="0" w:line="286" w:lineRule="auto"/>
        <w:rPr>
          <w:sz w:val="20"/>
          <w:szCs w:val="20"/>
          <w:color w:val="auto"/>
        </w:rPr>
      </w:pPr>
      <w:r>
        <w:rPr>
          <w:rFonts w:ascii="Arial" w:cs="Arial" w:eastAsia="Arial" w:hAnsi="Arial"/>
          <w:sz w:val="16"/>
          <w:szCs w:val="16"/>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2"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7"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enforcement is not as strong as that in the United States.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97"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ind w:firstLine="371"/>
        <w:spacing w:after="0" w:line="289"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61" w:lineRule="exact"/>
        <w:rPr>
          <w:sz w:val="20"/>
          <w:szCs w:val="20"/>
          <w:color w:val="auto"/>
        </w:rPr>
      </w:pPr>
    </w:p>
    <w:p>
      <w:pPr>
        <w:jc w:val="both"/>
        <w:ind w:firstLine="563"/>
        <w:spacing w:after="0" w:line="306" w:lineRule="auto"/>
        <w:rPr>
          <w:sz w:val="20"/>
          <w:szCs w:val="20"/>
          <w:color w:val="auto"/>
        </w:rPr>
      </w:pPr>
      <w:r>
        <w:rPr>
          <w:rFonts w:ascii="Arial" w:cs="Arial" w:eastAsia="Arial" w:hAnsi="Arial"/>
          <w:sz w:val="16"/>
          <w:szCs w:val="16"/>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or disclosed intellectual property, including trade secrets or other proprietary information, of any such individual's current or former employer. Litigation may be necessary to defend against these claims.</w:t>
      </w:r>
    </w:p>
    <w:p>
      <w:pPr>
        <w:spacing w:after="0" w:line="186"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70"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others may be able to make product candidates that are similar to ours but that are not covered by the claims of the patents that we own;</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97"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97"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86"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We plan to apply for orphan drug designation for FSHD in the United States and Europe, and we may seek orphan drug designation for our other current or future product candidates.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67"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request for designation was materially defective or if the manufacturer is unable to assure sufficient quantity of the drug to meet the needs of patients with the rare disease or condition.</w:t>
      </w:r>
    </w:p>
    <w:p>
      <w:pPr>
        <w:spacing w:after="0" w:line="186"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7"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74"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 candidates qualify as breakthrough therapies, the FDA may later decide that the products no longer meet the conditions for qualification or decide that the time period for FDA review or approval will not be shortened.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Accelerated approval by the FDA, even if granted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biomarker efficacy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biomarker efficacy endpoint is reasonably likely to predict long-term clinical benefit.</w:t>
      </w:r>
    </w:p>
    <w:p>
      <w:pPr>
        <w:spacing w:after="0" w:line="170"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70"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74"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Even if we do receive accelerated approval, we may not experience a faster development or regulatory review or approval process, and receiving accelerated approval does not provide assurance of ultimate FDA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jc w:val="both"/>
        <w:ind w:firstLine="473"/>
        <w:spacing w:after="0" w:line="287"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7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9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2"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4" w:lineRule="exact"/>
        <w:rPr>
          <w:sz w:val="20"/>
          <w:szCs w:val="20"/>
          <w:color w:val="auto"/>
        </w:rPr>
      </w:pPr>
    </w:p>
    <w:p>
      <w:pPr>
        <w:jc w:val="both"/>
        <w:ind w:firstLine="480"/>
        <w:spacing w:after="0" w:line="290"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186" w:lineRule="exact"/>
        <w:rPr>
          <w:sz w:val="20"/>
          <w:szCs w:val="20"/>
          <w:color w:val="auto"/>
        </w:rPr>
      </w:pPr>
    </w:p>
    <w:p>
      <w:pPr>
        <w:jc w:val="both"/>
        <w:ind w:firstLine="363"/>
        <w:spacing w:after="0" w:line="286"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42" w:lineRule="exact"/>
        <w:rPr>
          <w:sz w:val="20"/>
          <w:szCs w:val="20"/>
          <w:color w:val="auto"/>
        </w:rPr>
      </w:pPr>
    </w:p>
    <w:p>
      <w:pPr>
        <w:jc w:val="both"/>
        <w:ind w:firstLine="455"/>
        <w:spacing w:after="0" w:line="291" w:lineRule="auto"/>
        <w:rPr>
          <w:sz w:val="20"/>
          <w:szCs w:val="20"/>
          <w:color w:val="auto"/>
        </w:rPr>
      </w:pPr>
      <w:r>
        <w:rPr>
          <w:rFonts w:ascii="Arial" w:cs="Arial" w:eastAsia="Arial" w:hAnsi="Arial"/>
          <w:sz w:val="16"/>
          <w:szCs w:val="16"/>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188" w:lineRule="exact"/>
        <w:rPr>
          <w:sz w:val="20"/>
          <w:szCs w:val="20"/>
          <w:color w:val="auto"/>
        </w:rPr>
      </w:pPr>
    </w:p>
    <w:p>
      <w:pPr>
        <w:jc w:val="both"/>
        <w:ind w:left="108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4" w:lineRule="exact"/>
        <w:rPr>
          <w:sz w:val="20"/>
          <w:szCs w:val="20"/>
          <w:color w:val="auto"/>
        </w:rPr>
      </w:pPr>
    </w:p>
    <w:p>
      <w:pPr>
        <w:jc w:val="both"/>
        <w:ind w:firstLine="366"/>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94" w:lineRule="exact"/>
        <w:rPr>
          <w:sz w:val="20"/>
          <w:szCs w:val="20"/>
          <w:color w:val="auto"/>
        </w:rPr>
      </w:pPr>
    </w:p>
    <w:p>
      <w:pPr>
        <w:jc w:val="both"/>
        <w:ind w:firstLine="417"/>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5" w:lineRule="exact"/>
        <w:rPr>
          <w:sz w:val="20"/>
          <w:szCs w:val="20"/>
          <w:color w:val="auto"/>
        </w:rPr>
      </w:pPr>
    </w:p>
    <w:p>
      <w:pPr>
        <w:jc w:val="both"/>
        <w:ind w:right="20" w:firstLine="466"/>
        <w:spacing w:after="0" w:line="332"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39"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70"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201"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Medicare Part D coverage gap discount program, in which manufacturers must agree to offer 70% point-of-sale discounts off negotiated prices;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With enactment of the TCJA, which was signed by the President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an estimated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2"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81"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7" w:lineRule="exact"/>
        <w:rPr>
          <w:sz w:val="20"/>
          <w:szCs w:val="20"/>
          <w:color w:val="auto"/>
        </w:rPr>
      </w:pPr>
    </w:p>
    <w:p>
      <w:pPr>
        <w:jc w:val="both"/>
        <w:ind w:firstLine="370"/>
        <w:spacing w:after="0" w:line="285" w:lineRule="auto"/>
        <w:rPr>
          <w:sz w:val="20"/>
          <w:szCs w:val="20"/>
          <w:color w:val="auto"/>
        </w:rPr>
      </w:pPr>
      <w:r>
        <w:rPr>
          <w:rFonts w:ascii="Arial" w:cs="Arial" w:eastAsia="Arial" w:hAnsi="Arial"/>
          <w:sz w:val="16"/>
          <w:szCs w:val="16"/>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78"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86"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72"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67"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9"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0"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2"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39"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86" w:lineRule="exact"/>
        <w:rPr>
          <w:sz w:val="20"/>
          <w:szCs w:val="20"/>
          <w:color w:val="auto"/>
        </w:rPr>
      </w:pPr>
    </w:p>
    <w:p>
      <w:pPr>
        <w:jc w:val="both"/>
        <w:ind w:firstLine="467"/>
        <w:spacing w:after="0" w:line="286"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81"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409"/>
        <w:spacing w:after="0" w:line="255"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86"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all matters submitted to stockholders for approval.</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closing of this offering, our executive officers and directors and our stockholders who owned more than 5% of our outstanding common stock</w:t>
      </w:r>
    </w:p>
    <w:p>
      <w:pPr>
        <w:spacing w:after="0" w:line="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before this offering will, in the aggregate, beneficially own shares representing approximately % of our capital stock. As a result, if these stockholders were to choose to act together, they would be able to control all matters submitted to our stockholders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approval, as well as our management and affairs. For example, these persons, if they choose to act together, would control the election of directors and approval of any merger, consolidation or sale of all or substantially all of our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concentration of ownership control may:</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39"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 that will become effective upon the closing of this offering.</w:t>
      </w:r>
    </w:p>
    <w:p>
      <w:pPr>
        <w:spacing w:after="0" w:line="186"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jc w:val="both"/>
        <w:ind w:firstLine="431"/>
        <w:spacing w:after="0" w:line="303" w:lineRule="auto"/>
        <w:rPr>
          <w:sz w:val="20"/>
          <w:szCs w:val="20"/>
          <w:color w:val="auto"/>
        </w:rPr>
      </w:pPr>
      <w:r>
        <w:rPr>
          <w:rFonts w:ascii="Arial" w:cs="Arial" w:eastAsia="Arial" w:hAnsi="Arial"/>
          <w:sz w:val="15"/>
          <w:szCs w:val="15"/>
          <w:color w:val="auto"/>
        </w:rPr>
        <w:t>The initial public offering price of our common stock will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To the extent outstanding options are exercised, you will incur further dilution. Based on an assumed</w:t>
      </w:r>
    </w:p>
    <w:p>
      <w:pPr>
        <w:spacing w:after="0" w:line="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which is the midpoint of the estimated price range set forth on the cover page of this prospectus, you will</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experience immediate dilution of $ per share, representing the difference between our pro forma as adjusted net tangible book value per share, after giving effect to this offering, and the assumed initial public offering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we have applied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jc w:val="both"/>
        <w:ind w:firstLine="393"/>
        <w:spacing w:after="0" w:line="306" w:lineRule="auto"/>
        <w:rPr>
          <w:sz w:val="20"/>
          <w:szCs w:val="20"/>
          <w:color w:val="auto"/>
        </w:rPr>
      </w:pPr>
      <w:r>
        <w:rPr>
          <w:rFonts w:ascii="Arial" w:cs="Arial" w:eastAsia="Arial" w:hAnsi="Arial"/>
          <w:sz w:val="16"/>
          <w:szCs w:val="16"/>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results of or developments in preclinical studies and clinical trials of our product candidates or those of our competitors or potential collaborators;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Sales of a substantial number of shares of our common stock in the public market, or the perception in the market that the holders of a large number of shares</w:t>
      </w:r>
    </w:p>
    <w:p>
      <w:pPr>
        <w:spacing w:after="0" w:line="5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intend to sell shares, could reduce the market price of our common stock. After this offering, we will have shares of common stock outstanding based on the number of shares outstanding as of , 2019. This includes the shares that we are selling in this offering, which may be resold in the public</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market immediately without restriction, unless purchased by our affiliates or existing stockholders. The remaining shares are currently restricted as a result of securities laws or lock-up agreements but will become eligible to be sold at various times after the offering. Moreover, beginning 180 days after the completion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offering, holders of an aggregate of shares of our common stock will have rights, along with holders of an additional shares of our common stock issuable upon exercise of outstanding options, subject to specified conditions, to require us to file registration statements covering their shares or to include their shares in registration statements that we may file for ourselves or other stockholders. We also intend to register all shares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188" w:lineRule="exact"/>
        <w:rPr>
          <w:sz w:val="20"/>
          <w:szCs w:val="20"/>
          <w:color w:val="auto"/>
        </w:rPr>
      </w:pPr>
    </w:p>
    <w:p>
      <w:pPr>
        <w:ind w:left="1080" w:right="2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86" w:lineRule="exact"/>
        <w:rPr>
          <w:sz w:val="20"/>
          <w:szCs w:val="20"/>
          <w:color w:val="auto"/>
        </w:rPr>
      </w:pPr>
    </w:p>
    <w:p>
      <w:pPr>
        <w:jc w:val="both"/>
        <w:ind w:right="20" w:firstLine="418"/>
        <w:spacing w:after="0" w:line="332" w:lineRule="auto"/>
        <w:rPr>
          <w:sz w:val="20"/>
          <w:szCs w:val="20"/>
          <w:color w:val="auto"/>
        </w:rPr>
      </w:pPr>
      <w:r>
        <w:rPr>
          <w:rFonts w:ascii="Arial" w:cs="Arial" w:eastAsia="Arial" w:hAnsi="Arial"/>
          <w:sz w:val="16"/>
          <w:szCs w:val="16"/>
          <w:color w:val="auto"/>
        </w:rPr>
        <w:t>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w:t>
      </w:r>
    </w:p>
    <w:p>
      <w:pPr>
        <w:spacing w:after="0" w:line="139"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9"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86"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The Sarbanes-Oxley Act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72"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7" w:lineRule="exact"/>
        <w:rPr>
          <w:sz w:val="20"/>
          <w:szCs w:val="20"/>
          <w:color w:val="auto"/>
        </w:rPr>
      </w:pPr>
    </w:p>
    <w:p>
      <w:pPr>
        <w:jc w:val="both"/>
        <w:ind w:firstLine="469"/>
        <w:spacing w:after="0" w:line="287"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86"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that will become effective upon the closing of this offering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94"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Securities Exchange Act of 1934, as amended.</w:t>
      </w:r>
    </w:p>
    <w:p>
      <w:pPr>
        <w:spacing w:after="0" w:line="167"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ongoing Phase 1 clinical trial and planned Phase 2b clinical trial and Phase 2 open label clinical trial of losmapimod;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IND-enabling studies and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proceeds of this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402"/>
        <w:spacing w:after="0" w:line="268"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67"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67" w:lineRule="exact"/>
        <w:rPr>
          <w:sz w:val="20"/>
          <w:szCs w:val="20"/>
          <w:color w:val="auto"/>
        </w:rPr>
      </w:pPr>
    </w:p>
    <w:p>
      <w:pPr>
        <w:jc w:val="both"/>
        <w:ind w:firstLine="529"/>
        <w:spacing w:after="0" w:line="290" w:lineRule="auto"/>
        <w:rPr>
          <w:sz w:val="20"/>
          <w:szCs w:val="20"/>
          <w:color w:val="auto"/>
        </w:rPr>
      </w:pPr>
      <w:r>
        <w:rPr>
          <w:rFonts w:ascii="Arial" w:cs="Arial" w:eastAsia="Arial" w:hAnsi="Arial"/>
          <w:sz w:val="16"/>
          <w:szCs w:val="16"/>
          <w:color w:val="auto"/>
        </w:rPr>
        <w:t>This prospectus includes statistical and other industry and market data that we obtained from industry publications and research, surveys and studies conducted by third parties as well as our own estimates of potential market opportunities. All of the market data used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52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200" w:type="dxa"/>
            <w:vAlign w:val="bottom"/>
          </w:tcPr>
          <w:p>
            <w:pPr>
              <w:spacing w:after="0"/>
              <w:rPr>
                <w:sz w:val="17"/>
                <w:szCs w:val="17"/>
                <w:color w:val="auto"/>
              </w:rPr>
            </w:pPr>
          </w:p>
        </w:tc>
      </w:tr>
      <w:tr>
        <w:trPr>
          <w:trHeight w:val="667"/>
        </w:trPr>
        <w:tc>
          <w:tcPr>
            <w:tcW w:w="3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160" w:type="dxa"/>
            <w:vAlign w:val="bottom"/>
            <w:gridSpan w:val="2"/>
          </w:tcPr>
          <w:p>
            <w:pPr>
              <w:jc w:val="right"/>
              <w:ind w:right="4832"/>
              <w:spacing w:after="0"/>
              <w:rPr>
                <w:sz w:val="20"/>
                <w:szCs w:val="20"/>
                <w:color w:val="auto"/>
              </w:rPr>
            </w:pPr>
            <w:r>
              <w:rPr>
                <w:rFonts w:ascii="Arial" w:cs="Arial" w:eastAsia="Arial" w:hAnsi="Arial"/>
                <w:sz w:val="18"/>
                <w:szCs w:val="18"/>
                <w:b w:val="1"/>
                <w:bCs w:val="1"/>
                <w:color w:val="auto"/>
              </w:rPr>
              <w:t>USE OF PROCEEDS</w:t>
            </w:r>
          </w:p>
        </w:tc>
      </w:tr>
      <w:tr>
        <w:trPr>
          <w:trHeight w:val="426"/>
        </w:trPr>
        <w:tc>
          <w:tcPr>
            <w:tcW w:w="300" w:type="dxa"/>
            <w:vAlign w:val="bottom"/>
          </w:tcPr>
          <w:p>
            <w:pPr>
              <w:spacing w:after="0"/>
              <w:rPr>
                <w:sz w:val="24"/>
                <w:szCs w:val="24"/>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w w:val="91"/>
              </w:rPr>
              <w:t>We estimate that the net proceeds from our issuance and sale of</w:t>
            </w:r>
          </w:p>
        </w:tc>
        <w:tc>
          <w:tcPr>
            <w:tcW w:w="6200" w:type="dxa"/>
            <w:vAlign w:val="bottom"/>
          </w:tcPr>
          <w:p>
            <w:pPr>
              <w:jc w:val="right"/>
              <w:spacing w:after="0"/>
              <w:rPr>
                <w:sz w:val="20"/>
                <w:szCs w:val="20"/>
                <w:color w:val="auto"/>
              </w:rPr>
            </w:pPr>
            <w:r>
              <w:rPr>
                <w:rFonts w:ascii="Arial" w:cs="Arial" w:eastAsia="Arial" w:hAnsi="Arial"/>
                <w:sz w:val="18"/>
                <w:szCs w:val="18"/>
                <w:color w:val="auto"/>
              </w:rPr>
              <w:t>shares of our common stock in this offering will be approximately</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gridSpan w:val="2"/>
          </w:tcPr>
          <w:p>
            <w:pPr>
              <w:ind w:left="520"/>
              <w:spacing w:after="0"/>
              <w:rPr>
                <w:sz w:val="20"/>
                <w:szCs w:val="20"/>
                <w:color w:val="auto"/>
              </w:rPr>
            </w:pPr>
            <w:r>
              <w:rPr>
                <w:rFonts w:ascii="Arial" w:cs="Arial" w:eastAsia="Arial" w:hAnsi="Arial"/>
                <w:sz w:val="18"/>
                <w:szCs w:val="18"/>
                <w:color w:val="auto"/>
              </w:rPr>
              <w:t>million, assuming an initial public offering price of $</w:t>
            </w:r>
          </w:p>
        </w:tc>
        <w:tc>
          <w:tcPr>
            <w:tcW w:w="6200" w:type="dxa"/>
            <w:vAlign w:val="bottom"/>
          </w:tcPr>
          <w:p>
            <w:pPr>
              <w:jc w:val="right"/>
              <w:spacing w:after="0"/>
              <w:rPr>
                <w:sz w:val="20"/>
                <w:szCs w:val="20"/>
                <w:color w:val="auto"/>
              </w:rPr>
            </w:pPr>
            <w:r>
              <w:rPr>
                <w:rFonts w:ascii="Arial" w:cs="Arial" w:eastAsia="Arial" w:hAnsi="Arial"/>
                <w:sz w:val="18"/>
                <w:szCs w:val="18"/>
                <w:color w:val="auto"/>
                <w:w w:val="92"/>
              </w:rPr>
              <w:t>per share, which is the midpoint of the price range set forth on the cover page of this</w:t>
            </w:r>
          </w:p>
        </w:tc>
      </w:tr>
    </w:tbl>
    <w:p>
      <w:pPr>
        <w:spacing w:after="0"/>
        <w:rPr>
          <w:sz w:val="20"/>
          <w:szCs w:val="20"/>
          <w:color w:val="auto"/>
        </w:rPr>
      </w:pPr>
      <w:r>
        <w:rPr>
          <w:rFonts w:ascii="Arial" w:cs="Arial" w:eastAsia="Arial" w:hAnsi="Arial"/>
          <w:sz w:val="16"/>
          <w:szCs w:val="16"/>
          <w:color w:val="auto"/>
        </w:rPr>
        <w:t>prospectus, after deducting estimated underwriting discounts and commissions and estimated offering expenses payable by us. If the underwriters exercise their</w:t>
      </w:r>
    </w:p>
    <w:p>
      <w:pPr>
        <w:spacing w:after="0" w:line="394" w:lineRule="exact"/>
        <w:rPr>
          <w:sz w:val="20"/>
          <w:szCs w:val="20"/>
          <w:color w:val="auto"/>
        </w:rPr>
      </w:pPr>
    </w:p>
    <w:p>
      <w:pPr>
        <w:spacing w:after="0"/>
        <w:tabs>
          <w:tab w:leader="none" w:pos="10520" w:val="left"/>
        </w:tabs>
        <w:rPr>
          <w:sz w:val="20"/>
          <w:szCs w:val="20"/>
          <w:color w:val="auto"/>
        </w:rPr>
      </w:pPr>
      <w:r>
        <w:rPr>
          <w:rFonts w:ascii="Arial" w:cs="Arial" w:eastAsia="Arial" w:hAnsi="Arial"/>
          <w:sz w:val="16"/>
          <w:szCs w:val="16"/>
          <w:color w:val="auto"/>
        </w:rPr>
        <w:t>option to purchase additional shares of our common stock in full, we estimate that the net proceeds from this offering will be approximately $</w:t>
      </w:r>
      <w:r>
        <w:rPr>
          <w:sz w:val="20"/>
          <w:szCs w:val="20"/>
          <w:color w:val="auto"/>
        </w:rPr>
        <w:tab/>
      </w:r>
      <w:r>
        <w:rPr>
          <w:rFonts w:ascii="Arial" w:cs="Arial" w:eastAsia="Arial" w:hAnsi="Arial"/>
          <w:sz w:val="16"/>
          <w:szCs w:val="16"/>
          <w:color w:val="auto"/>
        </w:rPr>
        <w:t>million.</w:t>
      </w:r>
    </w:p>
    <w:p>
      <w:pPr>
        <w:spacing w:after="0" w:line="248" w:lineRule="exact"/>
        <w:rPr>
          <w:sz w:val="20"/>
          <w:szCs w:val="20"/>
          <w:color w:val="auto"/>
        </w:rPr>
      </w:pPr>
    </w:p>
    <w:p>
      <w:pPr>
        <w:ind w:firstLine="372"/>
        <w:spacing w:after="0" w:line="286" w:lineRule="auto"/>
        <w:rPr>
          <w:sz w:val="20"/>
          <w:szCs w:val="20"/>
          <w:color w:val="auto"/>
        </w:rPr>
      </w:pPr>
      <w:r>
        <w:rPr>
          <w:rFonts w:ascii="Arial" w:cs="Arial" w:eastAsia="Arial" w:hAnsi="Arial"/>
          <w:sz w:val="16"/>
          <w:szCs w:val="16"/>
          <w:color w:val="auto"/>
        </w:rPr>
        <w:t>A $1.00 increase (decrease) in the assumed initial public offering price of $ per share, which is the midpoint of the price range set forth on the cover page of this prospectus, would increase (decrease) the net proceeds to us from this offering by approximately $ million, assuming the number of shares</w:t>
      </w:r>
    </w:p>
    <w:p>
      <w:pPr>
        <w:spacing w:after="0" w:line="300"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prospectus, would increase (decrease) the net proceeds to us from this offering by approximately $ million, assuming no change in the assumed initial public offering price per share and after deducting estimated underwriting discounts and commissions and estimated offering expenses payable by us.</w:t>
      </w:r>
    </w:p>
    <w:p>
      <w:pPr>
        <w:spacing w:after="0" w:line="147" w:lineRule="exact"/>
        <w:rPr>
          <w:sz w:val="20"/>
          <w:szCs w:val="20"/>
          <w:color w:val="auto"/>
        </w:rPr>
      </w:pPr>
    </w:p>
    <w:p>
      <w:pPr>
        <w:ind w:firstLine="484"/>
        <w:spacing w:after="0" w:line="268" w:lineRule="auto"/>
        <w:rPr>
          <w:sz w:val="20"/>
          <w:szCs w:val="20"/>
          <w:color w:val="auto"/>
        </w:rPr>
      </w:pPr>
      <w:r>
        <w:rPr>
          <w:rFonts w:ascii="Arial" w:cs="Arial" w:eastAsia="Arial" w:hAnsi="Arial"/>
          <w:sz w:val="18"/>
          <w:szCs w:val="18"/>
          <w:color w:val="auto"/>
        </w:rPr>
        <w:t>As of March 31, 2019, we had cash and cash equivalents of $62.5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losmapimod for FSHD;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our hemoglobinopathies program;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ongoing product engine and discovery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programs,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Based on our planned use of the net proceeds from this offering, together with our existing cash and cash equivalents, we estimate that such funds will be</w:t>
      </w:r>
    </w:p>
    <w:p>
      <w:pPr>
        <w:spacing w:after="0" w:line="3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sufficient to fund our operating expenses and capital expenditure requirements into . We anticipate that the net proceeds from this offering together with our existing cash and cash equivalents will be sufficient to allow us to . We will require additional capital to advance losmapimod through</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 clinical trials, if required, to advance FTX-HbF through necessary clinical trials and to commercialize any of our product candidates, if we receive regulatory approval. We have based these estimates on assumptions that may prove to be wrong, including assumptions regarding the clinical trials necessary for FDA approval of our product candidates, and we could use our capital resources sooner than we currently expect. Due to the numerous risks and uncertainties associated with product development, including the risks and uncertainties with respect to successful enrollment and completion of clinical trials, at this time, we cannot reasonably estimate the amount of additional funding that will be necessary to complete the clinical development of losmapimod or any future product candidates. If we receive regulatory approval for losmapimod or other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candidates, we expect to incur significant commercialization expenses related to product manufacturing, sales, marketing and distribution.</w:t>
      </w:r>
    </w:p>
    <w:p>
      <w:pPr>
        <w:spacing w:after="0" w:line="225" w:lineRule="exact"/>
        <w:rPr>
          <w:sz w:val="20"/>
          <w:szCs w:val="20"/>
          <w:color w:val="auto"/>
        </w:rPr>
      </w:pPr>
    </w:p>
    <w:p>
      <w:pPr>
        <w:ind w:firstLine="381"/>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408"/>
        <w:spacing w:after="0" w:line="298"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2019:</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all outstanding shares of our preferred stock into an aggregate of 112,500,000 shares of common stock upon the closing of this offering and (ii) the filing and effectiveness of our certificate of incorporation; and</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 pro forma as adjusted basis to give further effect to our issuance and sale of 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94" w:lineRule="exact"/>
        <w:rPr>
          <w:sz w:val="20"/>
          <w:szCs w:val="20"/>
          <w:color w:val="auto"/>
        </w:rPr>
      </w:pPr>
    </w:p>
    <w:p>
      <w:pPr>
        <w:sectPr>
          <w:pgSz w:w="11900" w:h="16838" w:orient="portrait"/>
          <w:cols w:equalWidth="0" w:num="2">
            <w:col w:w="600" w:space="480"/>
            <w:col w:w="10340"/>
          </w:cols>
          <w:pgMar w:left="240" w:top="131" w:right="239" w:bottom="1440" w:gutter="0" w:footer="0" w:header="0"/>
          <w:type w:val="continuous"/>
        </w:sectPr>
      </w:pPr>
    </w:p>
    <w:p>
      <w:pPr>
        <w:jc w:val="both"/>
        <w:ind w:firstLine="473"/>
        <w:spacing w:after="0" w:line="298"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gridSpan w:val="10"/>
          </w:tcPr>
          <w:p>
            <w:pPr>
              <w:ind w:left="760"/>
              <w:spacing w:after="0"/>
              <w:rPr>
                <w:sz w:val="20"/>
                <w:szCs w:val="20"/>
                <w:color w:val="auto"/>
              </w:rPr>
            </w:pPr>
            <w:r>
              <w:rPr>
                <w:rFonts w:ascii="Arial" w:cs="Arial" w:eastAsia="Arial" w:hAnsi="Arial"/>
                <w:sz w:val="14"/>
                <w:szCs w:val="14"/>
                <w:b w:val="1"/>
                <w:bCs w:val="1"/>
                <w:color w:val="auto"/>
              </w:rPr>
              <w:t>As of March 31, 2019</w:t>
            </w:r>
          </w:p>
        </w:tc>
      </w:tr>
      <w:tr>
        <w:trPr>
          <w:trHeight w:val="129"/>
        </w:trPr>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Pro Forma</w:t>
            </w:r>
          </w:p>
        </w:tc>
        <w:tc>
          <w:tcPr>
            <w:tcW w:w="1280" w:type="dxa"/>
            <w:vAlign w:val="bottom"/>
            <w:gridSpan w:val="2"/>
          </w:tcPr>
          <w:p>
            <w:pPr>
              <w:spacing w:after="0"/>
              <w:rPr>
                <w:sz w:val="11"/>
                <w:szCs w:val="11"/>
                <w:color w:val="auto"/>
              </w:rPr>
            </w:pPr>
          </w:p>
        </w:tc>
      </w:tr>
      <w:tr>
        <w:trPr>
          <w:trHeight w:val="161"/>
        </w:trPr>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As Adjusted</w:t>
            </w:r>
          </w:p>
        </w:tc>
        <w:tc>
          <w:tcPr>
            <w:tcW w:w="1280" w:type="dxa"/>
            <w:vAlign w:val="bottom"/>
            <w:gridSpan w:val="2"/>
          </w:tcPr>
          <w:p>
            <w:pPr>
              <w:spacing w:after="0"/>
              <w:rPr>
                <w:sz w:val="14"/>
                <w:szCs w:val="14"/>
                <w:color w:val="auto"/>
              </w:rPr>
            </w:pPr>
          </w:p>
        </w:tc>
      </w:tr>
      <w:tr>
        <w:trPr>
          <w:trHeight w:val="142"/>
        </w:trPr>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 thousands,</w:t>
            </w:r>
          </w:p>
        </w:tc>
        <w:tc>
          <w:tcPr>
            <w:tcW w:w="160" w:type="dxa"/>
            <w:vAlign w:val="bottom"/>
            <w:gridSpan w:val="2"/>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1"/>
              </w:rPr>
              <w:t>except share and</w:t>
            </w:r>
          </w:p>
        </w:tc>
        <w:tc>
          <w:tcPr>
            <w:tcW w:w="104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w w:val="91"/>
              </w:rPr>
              <w:t>per share data)</w:t>
            </w:r>
          </w:p>
        </w:tc>
        <w:tc>
          <w:tcPr>
            <w:tcW w:w="1280" w:type="dxa"/>
            <w:vAlign w:val="bottom"/>
            <w:gridSpan w:val="2"/>
          </w:tcPr>
          <w:p>
            <w:pPr>
              <w:spacing w:after="0"/>
              <w:rPr>
                <w:sz w:val="12"/>
                <w:szCs w:val="12"/>
                <w:color w:val="auto"/>
              </w:rPr>
            </w:pPr>
          </w:p>
        </w:tc>
      </w:tr>
      <w:tr>
        <w:trPr>
          <w:trHeight w:val="216"/>
        </w:trPr>
        <w:tc>
          <w:tcPr>
            <w:tcW w:w="7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6840" w:type="dxa"/>
            <w:vAlign w:val="bottom"/>
            <w:gridSpan w:val="5"/>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8"/>
        </w:trPr>
        <w:tc>
          <w:tcPr>
            <w:tcW w:w="6840" w:type="dxa"/>
            <w:vAlign w:val="bottom"/>
            <w:gridSpan w:val="5"/>
          </w:tcPr>
          <w:p>
            <w:pPr>
              <w:ind w:left="760"/>
              <w:spacing w:after="0" w:line="189" w:lineRule="exact"/>
              <w:rPr>
                <w:sz w:val="20"/>
                <w:szCs w:val="20"/>
                <w:color w:val="auto"/>
              </w:rPr>
            </w:pPr>
            <w:r>
              <w:rPr>
                <w:rFonts w:ascii="Arial" w:cs="Arial" w:eastAsia="Arial" w:hAnsi="Arial"/>
                <w:sz w:val="18"/>
                <w:szCs w:val="18"/>
                <w:color w:val="auto"/>
                <w:w w:val="90"/>
              </w:rPr>
              <w:t>Convertible preferred stock (Series A and B), $0.001 par value; 112,500,000 shares</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6140" w:type="dxa"/>
            <w:vAlign w:val="bottom"/>
            <w:gridSpan w:val="5"/>
          </w:tcPr>
          <w:p>
            <w:pPr>
              <w:ind w:left="160"/>
              <w:spacing w:after="0"/>
              <w:rPr>
                <w:sz w:val="20"/>
                <w:szCs w:val="20"/>
                <w:color w:val="auto"/>
              </w:rPr>
            </w:pPr>
            <w:r>
              <w:rPr>
                <w:rFonts w:ascii="Arial" w:cs="Arial" w:eastAsia="Arial" w:hAnsi="Arial"/>
                <w:sz w:val="18"/>
                <w:szCs w:val="18"/>
                <w:color w:val="auto"/>
                <w:w w:val="99"/>
              </w:rPr>
              <w:t>authorized, issued and outstanding, actual; no shares authorized, issued or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w w:val="89"/>
              </w:rPr>
              <w:t>outstanding, pro forma and pro forma as adjusted</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1"/>
        </w:trPr>
        <w:tc>
          <w:tcPr>
            <w:tcW w:w="7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780" w:type="dxa"/>
            <w:vAlign w:val="bottom"/>
          </w:tcPr>
          <w:p>
            <w:pPr>
              <w:spacing w:after="0"/>
              <w:rPr>
                <w:sz w:val="18"/>
                <w:szCs w:val="18"/>
                <w:color w:val="auto"/>
              </w:rPr>
            </w:pPr>
          </w:p>
        </w:tc>
        <w:tc>
          <w:tcPr>
            <w:tcW w:w="6140" w:type="dxa"/>
            <w:vAlign w:val="bottom"/>
            <w:gridSpan w:val="5"/>
          </w:tcPr>
          <w:p>
            <w:pPr>
              <w:ind w:left="160"/>
              <w:spacing w:after="0"/>
              <w:rPr>
                <w:sz w:val="20"/>
                <w:szCs w:val="20"/>
                <w:color w:val="auto"/>
              </w:rPr>
            </w:pPr>
            <w:r>
              <w:rPr>
                <w:rFonts w:ascii="Arial" w:cs="Arial" w:eastAsia="Arial" w:hAnsi="Arial"/>
                <w:sz w:val="18"/>
                <w:szCs w:val="18"/>
                <w:color w:val="auto"/>
                <w:w w:val="94"/>
              </w:rPr>
              <w:t>Preferred stock, $0.001 par value; no shares authorized, issued or outstanding,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actual;</w:t>
            </w:r>
          </w:p>
        </w:tc>
        <w:tc>
          <w:tcPr>
            <w:tcW w:w="5020" w:type="dxa"/>
            <w:vAlign w:val="bottom"/>
            <w:gridSpan w:val="4"/>
          </w:tcPr>
          <w:p>
            <w:pPr>
              <w:jc w:val="right"/>
              <w:ind w:right="500"/>
              <w:spacing w:after="0"/>
              <w:rPr>
                <w:sz w:val="20"/>
                <w:szCs w:val="20"/>
                <w:color w:val="auto"/>
              </w:rPr>
            </w:pPr>
            <w:r>
              <w:rPr>
                <w:rFonts w:ascii="Arial" w:cs="Arial" w:eastAsia="Arial" w:hAnsi="Arial"/>
                <w:sz w:val="18"/>
                <w:szCs w:val="18"/>
                <w:color w:val="auto"/>
                <w:w w:val="90"/>
              </w:rPr>
              <w:t>shares authorized, no shares issued or outstanding, pro forma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and pro forma as adjusted</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780" w:type="dxa"/>
            <w:vAlign w:val="bottom"/>
          </w:tcPr>
          <w:p>
            <w:pPr>
              <w:spacing w:after="0"/>
              <w:rPr>
                <w:sz w:val="18"/>
                <w:szCs w:val="18"/>
                <w:color w:val="auto"/>
              </w:rPr>
            </w:pPr>
          </w:p>
        </w:tc>
        <w:tc>
          <w:tcPr>
            <w:tcW w:w="61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5"/>
              </w:rPr>
              <w:t>Common stock, $0.001 par value; 147,500,000 shares authorized, 19,235,125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1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2"/>
              </w:rPr>
              <w:t>shares issued and 12,054,235 shares outstanding, actual; 147,500,000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1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4"/>
              </w:rPr>
              <w:t>authorized, 131,735,125 shares issued and 124,554,235 shares outstanding,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 forma;</w:t>
            </w:r>
          </w:p>
        </w:tc>
        <w:tc>
          <w:tcPr>
            <w:tcW w:w="2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authorized,</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shares issued</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780" w:type="dxa"/>
            <w:vAlign w:val="bottom"/>
          </w:tcPr>
          <w:p>
            <w:pPr>
              <w:spacing w:after="0"/>
              <w:rPr>
                <w:sz w:val="19"/>
                <w:szCs w:val="19"/>
                <w:color w:val="auto"/>
              </w:rPr>
            </w:pP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pro forma as adjusted</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(104,967)</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780" w:type="dxa"/>
            <w:vAlign w:val="bottom"/>
          </w:tcPr>
          <w:p>
            <w:pPr>
              <w:spacing w:after="0"/>
              <w:rPr>
                <w:sz w:val="18"/>
                <w:szCs w:val="18"/>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 equity</w:t>
            </w: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7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57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411"/>
        </w:trPr>
        <w:tc>
          <w:tcPr>
            <w:tcW w:w="5700" w:type="dxa"/>
            <w:vAlign w:val="bottom"/>
            <w:gridSpan w:val="4"/>
          </w:tcPr>
          <w:p>
            <w:pPr>
              <w:spacing w:after="0"/>
              <w:rPr>
                <w:sz w:val="20"/>
                <w:szCs w:val="20"/>
                <w:color w:val="auto"/>
              </w:rPr>
            </w:pPr>
            <w:r>
              <w:rPr>
                <w:rFonts w:ascii="Arial" w:cs="Arial" w:eastAsia="Arial" w:hAnsi="Arial"/>
                <w:sz w:val="18"/>
                <w:szCs w:val="18"/>
                <w:color w:val="auto"/>
                <w:w w:val="95"/>
              </w:rPr>
              <w:t>A $1.00 increase (decrease) in the assumed initial public offering price of $</w:t>
            </w:r>
          </w:p>
        </w:tc>
        <w:tc>
          <w:tcPr>
            <w:tcW w:w="5320" w:type="dxa"/>
            <w:vAlign w:val="bottom"/>
            <w:gridSpan w:val="12"/>
          </w:tcPr>
          <w:p>
            <w:pPr>
              <w:ind w:left="200"/>
              <w:spacing w:after="0"/>
              <w:rPr>
                <w:sz w:val="20"/>
                <w:szCs w:val="20"/>
                <w:color w:val="auto"/>
              </w:rPr>
            </w:pPr>
            <w:r>
              <w:rPr>
                <w:rFonts w:ascii="Arial" w:cs="Arial" w:eastAsia="Arial" w:hAnsi="Arial"/>
                <w:sz w:val="18"/>
                <w:szCs w:val="18"/>
                <w:color w:val="auto"/>
                <w:w w:val="89"/>
              </w:rPr>
              <w:t>per share, which is the midpoint of the price range set forth on the cover</w:t>
            </w:r>
          </w:p>
        </w:tc>
      </w:tr>
    </w:tbl>
    <w:p>
      <w:pPr>
        <w:spacing w:after="0"/>
        <w:rPr>
          <w:sz w:val="20"/>
          <w:szCs w:val="20"/>
          <w:color w:val="auto"/>
        </w:rPr>
      </w:pPr>
      <w:r>
        <w:rPr>
          <w:rFonts w:ascii="Arial" w:cs="Arial" w:eastAsia="Arial" w:hAnsi="Arial"/>
          <w:sz w:val="16"/>
          <w:szCs w:val="16"/>
          <w:color w:val="auto"/>
        </w:rPr>
        <w:t>page of this prospectus, would increase (decrease) the pro forma as adjusted amount of each of cash and cash equivalents, additional paid-in capital, total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w w:val="96"/>
              </w:rPr>
              <w:t>stockholders' equity and total capitalization by $</w:t>
            </w:r>
          </w:p>
        </w:tc>
        <w:tc>
          <w:tcPr>
            <w:tcW w:w="7740" w:type="dxa"/>
            <w:vAlign w:val="bottom"/>
          </w:tcPr>
          <w:p>
            <w:pPr>
              <w:jc w:val="right"/>
              <w:ind w:right="4272"/>
              <w:spacing w:after="0"/>
              <w:rPr>
                <w:sz w:val="20"/>
                <w:szCs w:val="20"/>
                <w:color w:val="auto"/>
              </w:rPr>
            </w:pPr>
            <w:r>
              <w:rPr>
                <w:rFonts w:ascii="Arial" w:cs="Arial" w:eastAsia="Arial" w:hAnsi="Arial"/>
                <w:sz w:val="18"/>
                <w:szCs w:val="18"/>
                <w:color w:val="auto"/>
                <w:w w:val="96"/>
              </w:rPr>
              <w:t>million, assuming that the number of shares</w:t>
            </w:r>
          </w:p>
        </w:tc>
      </w:tr>
      <w:tr>
        <w:trPr>
          <w:trHeight w:val="426"/>
        </w:trPr>
        <w:tc>
          <w:tcPr>
            <w:tcW w:w="3680" w:type="dxa"/>
            <w:vAlign w:val="bottom"/>
          </w:tcPr>
          <w:p>
            <w:pPr>
              <w:spacing w:after="0"/>
              <w:rPr>
                <w:sz w:val="24"/>
                <w:szCs w:val="24"/>
                <w:color w:val="auto"/>
              </w:rPr>
            </w:pPr>
          </w:p>
        </w:tc>
        <w:tc>
          <w:tcPr>
            <w:tcW w:w="7740" w:type="dxa"/>
            <w:vAlign w:val="bottom"/>
          </w:tcPr>
          <w:p>
            <w:pPr>
              <w:jc w:val="right"/>
              <w:ind w:right="5532"/>
              <w:spacing w:after="0"/>
              <w:rPr>
                <w:sz w:val="20"/>
                <w:szCs w:val="20"/>
                <w:color w:val="auto"/>
              </w:rPr>
            </w:pPr>
            <w:r>
              <w:rPr>
                <w:rFonts w:ascii="Arial" w:cs="Arial" w:eastAsia="Arial" w:hAnsi="Arial"/>
                <w:sz w:val="18"/>
                <w:szCs w:val="18"/>
                <w:color w:val="auto"/>
              </w:rPr>
              <w:t>72</w:t>
            </w:r>
          </w:p>
        </w:tc>
      </w:tr>
      <w:tr>
        <w:trPr>
          <w:trHeight w:val="228"/>
        </w:trPr>
        <w:tc>
          <w:tcPr>
            <w:tcW w:w="3680" w:type="dxa"/>
            <w:vAlign w:val="bottom"/>
            <w:tcBorders>
              <w:bottom w:val="single" w:sz="8" w:color="808080"/>
            </w:tcBorders>
          </w:tcPr>
          <w:p>
            <w:pPr>
              <w:spacing w:after="0"/>
              <w:rPr>
                <w:sz w:val="19"/>
                <w:szCs w:val="19"/>
                <w:color w:val="auto"/>
              </w:rPr>
            </w:pPr>
          </w:p>
        </w:tc>
        <w:tc>
          <w:tcPr>
            <w:tcW w:w="7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common stock, additional paid-in capital, total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stockholders' equity and total capitalization by $ million, assuming no change in the assumed initial public offering price per share and after deducting estimated underwriting discounts and commissions and estimated offering expenses payable by us.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above does not include: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10,698,963 shares of common stock issuable upon the exercise of stock options outstanding as of March 31, 2019, at a weighted average exercise price of $1.09 per share, and an additional 658,000 shares of common stock issuable upon the exercise of stock options granted subsquent to March 31, 2019, at a weighted average exercise price of $1.58 per share;</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2,565,912 shares of common stock available for future issuance as of March 31, 2019 under our 2016 Stock Incentive Plan, as amended, or the 2016 Plan; and</w:t>
      </w:r>
    </w:p>
    <w:p>
      <w:pPr>
        <w:spacing w:after="0" w:line="186" w:lineRule="exact"/>
        <w:rPr>
          <w:sz w:val="20"/>
          <w:szCs w:val="20"/>
          <w:color w:val="auto"/>
        </w:rPr>
      </w:pPr>
    </w:p>
    <w:p>
      <w:pPr>
        <w:jc w:val="both"/>
        <w:ind w:left="1080" w:hanging="539"/>
        <w:spacing w:after="0" w:line="256"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additional shares of our common stock that will become available for future issuance under our 2019 Stock Incentive Plan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Our historical net tangible book value (deficit) as of March 31, 2019 was $(99.9) million, or $(5.19) per share of common stock. Our historical net tangible book value (deficit) is the amount of our total tangible assets less our total liabilities and the carrying value of our preferred stock, which is not included within stockholders' (deficit) equity. Historical net tangible book value (deficit) per share represents historical net tangible book value (deficit) divided by the 19,235,125 shares of common stock outstanding as of March 31, 2019, including 7,180,890 shares of unvested restricted stock subject to repurchase by us.</w:t>
      </w:r>
    </w:p>
    <w:p>
      <w:pPr>
        <w:spacing w:after="0" w:line="167"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Our pro forma net tangible book value as of March 31, 2019 was $65.3 million, or $0.50 per share of common stock. Pro forma net tangible book value represents the amount of our total tangible assets less our total liabilities, after giving effect to the automatic conversion of all outstanding shares of our preferred stock into an aggregate of 112,500,000 shares of common stock upon the closing of this offering. Pro forma net tangible book value per share represents pro forma net tangible book value divided by the total number of shares outstanding as of March 31, 2019, after giving effect to the pro forma adjustments described above.</w:t>
      </w:r>
    </w:p>
    <w:p>
      <w:pPr>
        <w:spacing w:after="0" w:line="197"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After giving further effect to our issuance and sale of</w:t>
      </w:r>
      <w:r>
        <w:rPr>
          <w:sz w:val="20"/>
          <w:szCs w:val="20"/>
          <w:color w:val="auto"/>
        </w:rPr>
        <w:tab/>
      </w:r>
      <w:r>
        <w:rPr>
          <w:rFonts w:ascii="Arial" w:cs="Arial" w:eastAsia="Arial" w:hAnsi="Arial"/>
          <w:sz w:val="16"/>
          <w:szCs w:val="16"/>
          <w:color w:val="auto"/>
        </w:rPr>
        <w:t>shares of our common stock in this offering at an assumed initial public offering price of</w:t>
      </w:r>
    </w:p>
    <w:p>
      <w:pPr>
        <w:spacing w:after="0" w:line="15" w:lineRule="exact"/>
        <w:rPr>
          <w:sz w:val="20"/>
          <w:szCs w:val="20"/>
          <w:color w:val="auto"/>
        </w:rPr>
      </w:pPr>
    </w:p>
    <w:p>
      <w:pPr>
        <w:ind w:left="700" w:hanging="692"/>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and after deducting estimated underwriting discounts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our pro forma as adjusted net tangible book value as of March 31, 2019 would have been</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million, or $ per share. This represents an immediate increase in pro forma as adjusted net tangible book value per share of $ to existing stockholders and immediate dilution of $ in pro forma as adjusted net tangible book value per share to new investors purchasing shares of common stock in</w:t>
      </w:r>
    </w:p>
    <w:p>
      <w:pPr>
        <w:spacing w:after="0" w:line="323" w:lineRule="auto"/>
        <w:rPr>
          <w:sz w:val="20"/>
          <w:szCs w:val="20"/>
          <w:color w:val="auto"/>
        </w:rPr>
      </w:pPr>
      <w:r>
        <w:rPr>
          <w:rFonts w:ascii="Arial" w:cs="Arial" w:eastAsia="Arial" w:hAnsi="Arial"/>
          <w:sz w:val="16"/>
          <w:szCs w:val="16"/>
          <w:color w:val="auto"/>
        </w:rPr>
        <w:t>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Historical net tangible book value (deficit) per share as of March 31, 2019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March 31, 2019</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Increase in pro forma as adjusted net tangible book value per share attributable to new investors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purchasing shares of common stock in this offering</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7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of common stock in this offering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and other terms of this offering</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determined at pricing. A $1.00 increase (decrease) in the assumed initial public offering price of $ per share, which is the midpoint of the price range set forth on the cover page of this prospectus, would increase (decrease) our pro forma as adjusted net tangible book value per share after this offering by</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and dilution per share to new investors purchasing shares of common stock in this offering by $ , assuming that the number of shares offered by us, as set forth on the cover page of this prospectus, remains the same and after deducting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estimated underwriting discounts and commissions and estimated offering expenses payable by us. An increase of 1,000,000 shares in the number of shares offered by us, as set forth on the cover page of this prospectus, would increase our pro forma as adjusted net tangible book value per share after this offering by</w:t>
      </w:r>
    </w:p>
    <w:p>
      <w:pPr>
        <w:jc w:val="both"/>
        <w:spacing w:after="0" w:line="300" w:lineRule="auto"/>
        <w:rPr>
          <w:sz w:val="20"/>
          <w:szCs w:val="20"/>
          <w:color w:val="auto"/>
        </w:rPr>
      </w:pPr>
      <w:r>
        <w:rPr>
          <w:rFonts w:ascii="Arial" w:cs="Arial" w:eastAsia="Arial" w:hAnsi="Arial"/>
          <w:sz w:val="15"/>
          <w:szCs w:val="15"/>
          <w:color w:val="auto"/>
        </w:rPr>
        <w:t>$ and decrease the dilution per share to new investors purchasing shares of common stock in this offering by $ , assuming no change in the assumed initial public offering price per share and after deducting estimated underwriting discounts and commissions and estimated offering expenses payable by us. A decrease of 1,000,000 shares in the number of shares offered by us, as set forth on the cover page of this prospectus, would decrease our pro forma as adjusted net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tangible book value per share after this offering by $ and increase the dilution per share to new investors purchasing shares of common stock in this offering by $ , assuming no change in the assumed initial public offering price and after deducting estimated underwriting discounts and commissions and estimated offering expenses payable by us.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the underwriters exercise their option to purchase additional shares in full, our pro forma as adjusted net tangible book value per share after this offering</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would be $ , representing an immediate increase in pro forma as adjusted net tangible book value per share of $ to existing stockholders and immediate dilution in pro forma as adjusted net tangible book value per share of $ to new investors purchasing shares of common stock in this offering,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98"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The following table summarizes, as of March 31, 2019, on the pro forma as adjusted basis described above, the total number of shares of common stock purchased from us on an as converted to common stock basis, the total consideration paid or to be paid and the average price per share paid or to be paid by</w:t>
      </w:r>
    </w:p>
    <w:p>
      <w:pPr>
        <w:jc w:val="both"/>
        <w:spacing w:after="0" w:line="254" w:lineRule="auto"/>
        <w:rPr>
          <w:sz w:val="20"/>
          <w:szCs w:val="20"/>
          <w:color w:val="auto"/>
        </w:rPr>
      </w:pPr>
      <w:r>
        <w:rPr>
          <w:rFonts w:ascii="Arial" w:cs="Arial" w:eastAsia="Arial" w:hAnsi="Arial"/>
          <w:sz w:val="18"/>
          <w:szCs w:val="18"/>
          <w:color w:val="auto"/>
        </w:rPr>
        <w:t>existing stockholders and by new investors in this offering at an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shares of common stock in this offering will pay an average price per share substantially higher than our existing stockholders paid.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Shares Purchased</w:t>
            </w:r>
          </w:p>
        </w:tc>
        <w:tc>
          <w:tcPr>
            <w:tcW w:w="156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226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w w:val="92"/>
              </w:rPr>
              <w:t>Average Price</w:t>
            </w: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Per Share</w:t>
            </w:r>
          </w:p>
        </w:tc>
        <w:tc>
          <w:tcPr>
            <w:tcW w:w="1300" w:type="dxa"/>
            <w:vAlign w:val="bottom"/>
            <w:gridSpan w:val="2"/>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7"/>
              </w:rPr>
              <w:t>Investors purchasing shares of common stock in this offering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gridSpan w:val="2"/>
          </w:tcPr>
          <w:p>
            <w:pPr>
              <w:jc w:val="right"/>
              <w:ind w:right="812"/>
              <w:spacing w:after="0"/>
              <w:rPr>
                <w:sz w:val="20"/>
                <w:szCs w:val="20"/>
                <w:color w:val="auto"/>
              </w:rPr>
            </w:pPr>
            <w:r>
              <w:rPr>
                <w:rFonts w:ascii="Arial" w:cs="Arial" w:eastAsia="Arial" w:hAnsi="Arial"/>
                <w:sz w:val="18"/>
                <w:szCs w:val="18"/>
                <w:color w:val="auto"/>
                <w:w w:val="84"/>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88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04"/>
        </w:trPr>
        <w:tc>
          <w:tcPr>
            <w:tcW w:w="5880" w:type="dxa"/>
            <w:vAlign w:val="bottom"/>
            <w:gridSpan w:val="3"/>
          </w:tcPr>
          <w:p>
            <w:pPr>
              <w:ind w:left="38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5540" w:type="dxa"/>
            <w:vAlign w:val="bottom"/>
            <w:gridSpan w:val="11"/>
          </w:tcPr>
          <w:p>
            <w:pPr>
              <w:jc w:val="right"/>
              <w:ind w:right="20"/>
              <w:spacing w:after="0"/>
              <w:rPr>
                <w:sz w:val="20"/>
                <w:szCs w:val="20"/>
                <w:color w:val="auto"/>
              </w:rPr>
            </w:pPr>
            <w:r>
              <w:rPr>
                <w:rFonts w:ascii="Arial" w:cs="Arial" w:eastAsia="Arial" w:hAnsi="Arial"/>
                <w:sz w:val="18"/>
                <w:szCs w:val="18"/>
                <w:color w:val="auto"/>
                <w:w w:val="96"/>
              </w:rPr>
              <w:t>per share, which is the midpoint of the price range set forth on the cover</w:t>
            </w:r>
          </w:p>
        </w:tc>
      </w:tr>
      <w:tr>
        <w:trPr>
          <w:trHeight w:val="216"/>
        </w:trPr>
        <w:tc>
          <w:tcPr>
            <w:tcW w:w="7440" w:type="dxa"/>
            <w:vAlign w:val="bottom"/>
            <w:gridSpan w:val="7"/>
          </w:tcPr>
          <w:p>
            <w:pPr>
              <w:spacing w:after="0"/>
              <w:rPr>
                <w:sz w:val="20"/>
                <w:szCs w:val="20"/>
                <w:color w:val="auto"/>
              </w:rPr>
            </w:pPr>
            <w:r>
              <w:rPr>
                <w:rFonts w:ascii="Arial" w:cs="Arial" w:eastAsia="Arial" w:hAnsi="Arial"/>
                <w:sz w:val="18"/>
                <w:szCs w:val="18"/>
                <w:color w:val="auto"/>
                <w:w w:val="92"/>
              </w:rPr>
              <w:t>page of this prospectus, would increase (decrease) the total consideration paid by new investors by $</w:t>
            </w:r>
          </w:p>
        </w:tc>
        <w:tc>
          <w:tcPr>
            <w:tcW w:w="620" w:type="dxa"/>
            <w:vAlign w:val="bottom"/>
          </w:tcPr>
          <w:p>
            <w:pPr>
              <w:spacing w:after="0"/>
              <w:rPr>
                <w:sz w:val="18"/>
                <w:szCs w:val="18"/>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color w:val="auto"/>
                <w:w w:val="93"/>
              </w:rPr>
              <w:t>million and, in the case of an increase, would</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w w:val="91"/>
              </w:rPr>
              <w:t>increase the percentage of total consideration paid by new investors by</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gridSpan w:val="10"/>
          </w:tcPr>
          <w:p>
            <w:pPr>
              <w:jc w:val="right"/>
              <w:spacing w:after="0"/>
              <w:rPr>
                <w:sz w:val="20"/>
                <w:szCs w:val="20"/>
                <w:color w:val="auto"/>
              </w:rPr>
            </w:pPr>
            <w:r>
              <w:rPr>
                <w:rFonts w:ascii="Arial" w:cs="Arial" w:eastAsia="Arial" w:hAnsi="Arial"/>
                <w:sz w:val="18"/>
                <w:szCs w:val="18"/>
                <w:color w:val="auto"/>
                <w:w w:val="87"/>
              </w:rPr>
              <w:t>percentage points and, in the case of a decrease, would decrease the</w:t>
            </w: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percentage of total consideration paid by new investors by</w:t>
            </w:r>
          </w:p>
        </w:tc>
        <w:tc>
          <w:tcPr>
            <w:tcW w:w="6220" w:type="dxa"/>
            <w:vAlign w:val="bottom"/>
            <w:gridSpan w:val="12"/>
          </w:tcPr>
          <w:p>
            <w:pPr>
              <w:jc w:val="right"/>
              <w:spacing w:after="0"/>
              <w:rPr>
                <w:sz w:val="20"/>
                <w:szCs w:val="20"/>
                <w:color w:val="auto"/>
              </w:rPr>
            </w:pPr>
            <w:r>
              <w:rPr>
                <w:rFonts w:ascii="Arial" w:cs="Arial" w:eastAsia="Arial" w:hAnsi="Arial"/>
                <w:sz w:val="18"/>
                <w:szCs w:val="18"/>
                <w:color w:val="auto"/>
                <w:w w:val="88"/>
              </w:rPr>
              <w:t>percentage points, assuming that the number of shares offered by us, as set forth on the</w:t>
            </w:r>
          </w:p>
        </w:tc>
      </w:tr>
    </w:tbl>
    <w:p>
      <w:pPr>
        <w:spacing w:after="0"/>
        <w:rPr>
          <w:sz w:val="20"/>
          <w:szCs w:val="20"/>
          <w:color w:val="auto"/>
        </w:rPr>
      </w:pPr>
      <w:r>
        <w:rPr>
          <w:rFonts w:ascii="Arial" w:cs="Arial" w:eastAsia="Arial" w:hAnsi="Arial"/>
          <w:sz w:val="15"/>
          <w:szCs w:val="15"/>
          <w:color w:val="auto"/>
        </w:rPr>
        <w:t>cover page of this prospectus, remains the same. An increase (decrease) of 1,000,000 shares in the number of shares offered by us, as set forth on the cover page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gridSpan w:val="3"/>
          </w:tcPr>
          <w:p>
            <w:pPr>
              <w:spacing w:after="0"/>
              <w:rPr>
                <w:sz w:val="20"/>
                <w:szCs w:val="20"/>
                <w:color w:val="auto"/>
              </w:rPr>
            </w:pPr>
            <w:r>
              <w:rPr>
                <w:rFonts w:ascii="Arial" w:cs="Arial" w:eastAsia="Arial" w:hAnsi="Arial"/>
                <w:sz w:val="18"/>
                <w:szCs w:val="18"/>
                <w:color w:val="auto"/>
                <w:w w:val="92"/>
              </w:rPr>
              <w:t>of this prospectus, would increase (decrease) the total consideration paid by new investors by $</w:t>
            </w:r>
          </w:p>
        </w:tc>
        <w:tc>
          <w:tcPr>
            <w:tcW w:w="4400" w:type="dxa"/>
            <w:vAlign w:val="bottom"/>
          </w:tcPr>
          <w:p>
            <w:pPr>
              <w:jc w:val="right"/>
              <w:spacing w:after="0"/>
              <w:rPr>
                <w:sz w:val="20"/>
                <w:szCs w:val="20"/>
                <w:color w:val="auto"/>
              </w:rPr>
            </w:pPr>
            <w:r>
              <w:rPr>
                <w:rFonts w:ascii="Arial" w:cs="Arial" w:eastAsia="Arial" w:hAnsi="Arial"/>
                <w:sz w:val="18"/>
                <w:szCs w:val="18"/>
                <w:color w:val="auto"/>
                <w:w w:val="94"/>
              </w:rPr>
              <w:t>million and, in the case of an increase, would increase the</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percentage of total consideration paid by new investors by</w:t>
            </w:r>
          </w:p>
        </w:tc>
        <w:tc>
          <w:tcPr>
            <w:tcW w:w="6720" w:type="dxa"/>
            <w:vAlign w:val="bottom"/>
            <w:gridSpan w:val="2"/>
          </w:tcPr>
          <w:p>
            <w:pPr>
              <w:jc w:val="right"/>
              <w:spacing w:after="0"/>
              <w:rPr>
                <w:sz w:val="20"/>
                <w:szCs w:val="20"/>
                <w:color w:val="auto"/>
              </w:rPr>
            </w:pPr>
            <w:r>
              <w:rPr>
                <w:rFonts w:ascii="Arial" w:cs="Arial" w:eastAsia="Arial" w:hAnsi="Arial"/>
                <w:sz w:val="18"/>
                <w:szCs w:val="18"/>
                <w:color w:val="auto"/>
                <w:w w:val="94"/>
              </w:rPr>
              <w:t>percentage points and, in the case of a decrease, would decrease the percentage of total</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consideration paid by new investors by</w:t>
            </w:r>
          </w:p>
        </w:tc>
        <w:tc>
          <w:tcPr>
            <w:tcW w:w="8120" w:type="dxa"/>
            <w:vAlign w:val="bottom"/>
            <w:gridSpan w:val="3"/>
          </w:tcPr>
          <w:p>
            <w:pPr>
              <w:jc w:val="right"/>
              <w:ind w:right="1672"/>
              <w:spacing w:after="0"/>
              <w:rPr>
                <w:sz w:val="20"/>
                <w:szCs w:val="20"/>
                <w:color w:val="auto"/>
              </w:rPr>
            </w:pPr>
            <w:r>
              <w:rPr>
                <w:rFonts w:ascii="Arial" w:cs="Arial" w:eastAsia="Arial" w:hAnsi="Arial"/>
                <w:sz w:val="18"/>
                <w:szCs w:val="18"/>
                <w:color w:val="auto"/>
                <w:w w:val="96"/>
              </w:rPr>
              <w:t>percentage points, assuming no change in the assumed initial public offering price.</w:t>
            </w:r>
          </w:p>
        </w:tc>
      </w:tr>
      <w:tr>
        <w:trPr>
          <w:trHeight w:val="432"/>
        </w:trPr>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20" w:type="dxa"/>
            <w:vAlign w:val="bottom"/>
          </w:tcPr>
          <w:p>
            <w:pPr>
              <w:jc w:val="right"/>
              <w:ind w:right="1132"/>
              <w:spacing w:after="0"/>
              <w:rPr>
                <w:sz w:val="20"/>
                <w:szCs w:val="20"/>
                <w:color w:val="auto"/>
              </w:rPr>
            </w:pPr>
            <w:r>
              <w:rPr>
                <w:rFonts w:ascii="Arial" w:cs="Arial" w:eastAsia="Arial" w:hAnsi="Arial"/>
                <w:sz w:val="18"/>
                <w:szCs w:val="18"/>
                <w:color w:val="auto"/>
              </w:rPr>
              <w:t>75</w:t>
            </w:r>
          </w:p>
        </w:tc>
        <w:tc>
          <w:tcPr>
            <w:tcW w:w="4400" w:type="dxa"/>
            <w:vAlign w:val="bottom"/>
          </w:tcPr>
          <w:p>
            <w:pPr>
              <w:spacing w:after="0"/>
              <w:rPr>
                <w:sz w:val="24"/>
                <w:szCs w:val="24"/>
                <w:color w:val="auto"/>
              </w:rPr>
            </w:pPr>
          </w:p>
        </w:tc>
      </w:tr>
      <w:tr>
        <w:trPr>
          <w:trHeight w:val="228"/>
        </w:trPr>
        <w:tc>
          <w:tcPr>
            <w:tcW w:w="33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exercise their option to</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purchase additional shares in full, the number of shares of our common stock held by existing stockholders would be reduced to % of the total number of shares of our common stock outstanding after this offering, and the number of shares of common stock held by new investors purchasing shares of common stock in this offering would be increased to % of the total number of shares of our common stock outstanding after this offering.</w:t>
      </w:r>
    </w:p>
    <w:p>
      <w:pPr>
        <w:spacing w:after="0" w:line="163"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The tables and discussion above are based on 19,235,125 shares of our common stock outstanding as of March 31, 2019, including 7,180,890 shares of unvested restricted stock subject to repurchase by us, and exclude: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10,698,963 shares of common stock issuable upon the exercise of stock options outstanding as of March 31, 2019, at a weighted average exercise price of $1.09 per share, and an additional 658,000 shares of common stock issuable upon the exercise of stock options granted subsequent to March 31, 2019, at a weighted average exercise price of $1.58 per share;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2,565,912 shares of common stock available for future issuance as of March 31, 2019 under our 2016 Plan; and</w:t>
      </w:r>
    </w:p>
    <w:p>
      <w:pPr>
        <w:spacing w:after="0" w:line="225" w:lineRule="exact"/>
        <w:rPr>
          <w:sz w:val="20"/>
          <w:szCs w:val="20"/>
          <w:color w:val="auto"/>
        </w:rPr>
      </w:pPr>
    </w:p>
    <w:p>
      <w:pPr>
        <w:jc w:val="both"/>
        <w:ind w:left="1080" w:hanging="539"/>
        <w:spacing w:after="0" w:line="256"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a dditional shares of our common stock that will become available for future issuance under our 2019 Stock Incentive Plan and our 2019 Employee Stock Purchase Plan, respectively, each of which will become effective immediately prior to the effectiveness of the registration statement of which this prospectus is a part, as well as any automatic increases in the number of shares of common stock reserved for future issuance under these plans.</w:t>
      </w:r>
    </w:p>
    <w:p>
      <w:pPr>
        <w:spacing w:after="0" w:line="211"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auto"/>
        </w:rPr>
        <w:t>To the extent that outstanding stock options are exercised, new stock options are issued, or we issue additional shares of common stock in the future, there will be further dilution to investors purchasing shares of common stock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2017 and 2018 and the consolidated balance sheet data as of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478"/>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438"/>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12"/>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(22,964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Cumulative convertible preferred stock dividends</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(2,407)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(6,559)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12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Net loss per share attributable to common stockholders, basic and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 average number of common shares used in net loss per share</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 common stockholders, basic</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and diluted</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w w:val="90"/>
              </w:rPr>
              <w:t>Pro forma weighted average number of common shares used in net loss</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gridSpan w:val="2"/>
          </w:tcPr>
          <w:p>
            <w:pPr>
              <w:ind w:left="160"/>
              <w:spacing w:after="0" w:line="263" w:lineRule="exact"/>
              <w:rPr>
                <w:sz w:val="20"/>
                <w:szCs w:val="20"/>
                <w:color w:val="auto"/>
              </w:rPr>
            </w:pPr>
            <w:r>
              <w:rPr>
                <w:rFonts w:ascii="Arial" w:cs="Arial" w:eastAsia="Arial" w:hAnsi="Arial"/>
                <w:sz w:val="18"/>
                <w:szCs w:val="18"/>
                <w:color w:val="auto"/>
                <w:w w:val="93"/>
              </w:rPr>
              <w:t>per share attributable to common stockholders, basic and diluted</w:t>
            </w:r>
            <w:r>
              <w:rPr>
                <w:rFonts w:ascii="Arial" w:cs="Arial" w:eastAsia="Arial" w:hAnsi="Arial"/>
                <w:sz w:val="29"/>
                <w:szCs w:val="29"/>
                <w:color w:val="auto"/>
                <w:w w:val="93"/>
                <w:vertAlign w:val="superscript"/>
              </w:rPr>
              <w:t>(1)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118,580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 12 to our annual and interim consolidated financial statements appearing at the end of this prospectus for details on the calculation of basic and diluted net loss per share attributable to common stockholders and unaudited basic and diluted pro forma net loss per share attributable to common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5"/>
              </w:rPr>
              <w:t>As of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restart"/>
          </w:tcPr>
          <w:p>
            <w:pPr>
              <w:jc w:val="center"/>
              <w:ind w:right="13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62"/>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72,797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(deficit) capital</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69,866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(33,265)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(63,670)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(99,687)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520" w:type="dxa"/>
            <w:vAlign w:val="bottom"/>
            <w:gridSpan w:val="3"/>
          </w:tcPr>
          <w:p>
            <w:pPr>
              <w:ind w:left="1140"/>
              <w:spacing w:after="0"/>
              <w:rPr>
                <w:sz w:val="20"/>
                <w:szCs w:val="20"/>
                <w:color w:val="auto"/>
              </w:rPr>
            </w:pPr>
            <w:r>
              <w:rPr>
                <w:rFonts w:ascii="Arial" w:cs="Arial" w:eastAsia="Arial" w:hAnsi="Arial"/>
                <w:sz w:val="18"/>
                <w:szCs w:val="18"/>
                <w:color w:val="auto"/>
              </w:rPr>
              <w:t>(1)</w:t>
            </w:r>
          </w:p>
        </w:tc>
        <w:tc>
          <w:tcPr>
            <w:tcW w:w="56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We define working (deficit) capital as current assets less current liabilities.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2"/>
          </w:tcPr>
          <w:p>
            <w:pPr>
              <w:jc w:val="right"/>
              <w:ind w:right="140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4"/>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at the end of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542"/>
        <w:spacing w:after="0" w:line="294"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in-licensings, producing drug substance and drug product material for use in clinical trials and conducting pre-clinical studies and early clinical trials. To date, we have funded our operations primarily through the issuance of convertible notes and convertible preferred stock. Since inception, we have raised an aggregate of $140.0 million of gross proceeds to fund our operations through the issuance of convertible notes and convertible preferred stock.</w:t>
      </w:r>
    </w:p>
    <w:p>
      <w:pPr>
        <w:spacing w:after="0" w:line="170"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$23.0 million and $32.6 million for the years ended December 31, 2017 and 2018, respectively, and $36.8 million for the three months ended March 31, 2019. As of March 31, 2019, we had an accumulated deficit of $105.0 million. We expect our expenses and operating losses will increase substantially over the next several years in connection with our ongoing activities, as we:</w:t>
      </w:r>
    </w:p>
    <w:p>
      <w:pPr>
        <w:spacing w:after="0" w:line="183" w:lineRule="exact"/>
        <w:rPr>
          <w:sz w:val="20"/>
          <w:szCs w:val="20"/>
          <w:color w:val="auto"/>
        </w:rPr>
      </w:pPr>
    </w:p>
    <w:p>
      <w:pPr>
        <w:ind w:left="1080" w:right="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IND-enabling studies and prepare for a planned Phase 1 clinical trial of FTX-HbF;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regulatory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74"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2019, we had $62.5 million in cash and cash equivalents. We believe that the anticipated net proceeds from this offering, together with our</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existing cash and cash equivalents, will enable us to fund our operating expenses and capital expenditure requirements through . We have based this estimate on assumptions that may prove to be wrong, and we could exhaust our available capital resources sooner than we expect. See "—Liquidity and Capital Resources."</w:t>
      </w:r>
    </w:p>
    <w:p>
      <w:pPr>
        <w:spacing w:after="0" w:line="198"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Without giving effect to the anticipated net proceeds from this offering, based on our current operating plan, we expect that our existing cash and cash equivalents will be sufficient to fund our operating expenses and capital expenditure requirements into the first quarter of 2020. To finance our operations beyond that point we will need to raise additional capital, which cannot be assured. We have concluded that this circumstance raises substantial doubt about our ability to continue as a going concern for at least one year from the date that our consolidated financial statements for the year ended December 31, 2018 and our consolidated financial statements for the three months ended March 31, 2019 were issued. See Note 1 to our annual and interim consolidated financial statements appearing at the end of this prospectus for additional information on our assessment.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We have not generated any revenue from product sales and do not expect to generate any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We may also in the future enter into license or collaboration agreements for our product candidates or intellectual property, and we may generate revenue in the future from payments as a result of such license or collaboration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Research and development expenses represent costs incurred by us for the discovery, development, and manufacture of our product candidates and include:</w:t>
      </w:r>
    </w:p>
    <w:p>
      <w:pPr>
        <w:spacing w:after="0" w:line="273"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8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97"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years ended December 31, 2017 and 2018, and for the three months ended March 31, 2018 and 2019. Pre-development candidate expenses, unallocated expenses and internal research and development expenses are classified separately. We nominated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losmapimod as a development candidate in December 2017. FSHD external expenses include IPR&amp;D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FSHD external expenses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Pre-development candidate expenses and unallocated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4,029</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60" w:type="dxa"/>
            <w:vAlign w:val="bottom"/>
            <w:shd w:val="clear" w:color="auto" w:fill="CCEEFF"/>
          </w:tcPr>
          <w:p>
            <w:pPr>
              <w:spacing w:after="0"/>
              <w:rPr>
                <w:sz w:val="18"/>
                <w:szCs w:val="18"/>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21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establish and operate a manufacturing facility, or secure manufacturing supply through relationships with third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86" w:lineRule="exact"/>
        <w:rPr>
          <w:sz w:val="20"/>
          <w:szCs w:val="20"/>
          <w:color w:val="auto"/>
        </w:rPr>
      </w:pPr>
    </w:p>
    <w:p>
      <w:pPr>
        <w:jc w:val="both"/>
        <w:ind w:firstLine="494"/>
        <w:spacing w:after="0" w:line="288"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FTX-HbF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9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auto"/>
        </w:rPr>
        <w:t>Other income, net consists primarily of interest income related to our investments in cash equivalents and proceeds from the sale of drug material to a third party during February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our results of operations for the three months ended March 31, 2018 and 2019,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68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(37,227)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(36,843)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98"/>
        <w:spacing w:after="0" w:line="332" w:lineRule="auto"/>
        <w:rPr>
          <w:sz w:val="20"/>
          <w:szCs w:val="20"/>
          <w:color w:val="auto"/>
        </w:rPr>
      </w:pPr>
      <w:r>
        <w:rPr>
          <w:rFonts w:ascii="Arial" w:cs="Arial" w:eastAsia="Arial" w:hAnsi="Arial"/>
          <w:sz w:val="16"/>
          <w:szCs w:val="16"/>
          <w:color w:val="auto"/>
        </w:rPr>
        <w:t>Research and development expense increased by $29.0 million from $5.6 million for the three months ended March 31, 2018 to $34.6 million for the three months ended March 31, 2019. The increase in research and development expense was primarily attributable to the following:</w:t>
      </w:r>
    </w:p>
    <w:p>
      <w:pPr>
        <w:spacing w:after="0" w:line="153" w:lineRule="exact"/>
        <w:rPr>
          <w:sz w:val="20"/>
          <w:szCs w:val="20"/>
          <w:color w:val="auto"/>
        </w:rPr>
      </w:pPr>
    </w:p>
    <w:p>
      <w:pPr>
        <w:ind w:left="1080" w:right="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$25.6 million in increased IPR&amp;D expenses associated with the recognition of the fair value attributable to the right of reference and license agreement with GSK during the three months ended March 31, 2019;</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$1.8 million in increased costs for external clinical activities as we advanced losmapimod into a Phase 1 clinical trial and conducted preparatory studies in anticipation of initiating Phase 2 clinical trials in mid-2019;</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$0.8 million in increased personnel-related costs due to increased headcount, including $0.2 million of increased stock-based compensation expense;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$0.3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422"/>
        <w:spacing w:after="0" w:line="332" w:lineRule="auto"/>
        <w:rPr>
          <w:sz w:val="20"/>
          <w:szCs w:val="20"/>
          <w:color w:val="auto"/>
        </w:rPr>
      </w:pPr>
      <w:r>
        <w:rPr>
          <w:rFonts w:ascii="Arial" w:cs="Arial" w:eastAsia="Arial" w:hAnsi="Arial"/>
          <w:sz w:val="16"/>
          <w:szCs w:val="16"/>
          <w:color w:val="auto"/>
        </w:rPr>
        <w:t>General and administrative expenses increased by $0.9 million from $1.7 million for the three months ended March 31, 2018 to $2.6 million for the three months ended March 31, 2019. The increase in general and administrative expenses was primarily attributable to the following:</w:t>
      </w:r>
    </w:p>
    <w:p>
      <w:pPr>
        <w:spacing w:after="0" w:line="166" w:lineRule="exact"/>
        <w:rPr>
          <w:sz w:val="20"/>
          <w:szCs w:val="20"/>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$0.6 million in increased personnel-related costs, primarily due to increased general and administrative headcount to support the growth of our research and development organization, including $0.2 million of increased stock-based compensation expense;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$0.2 million in increased consulting and professional fees, including for legal services, market research, recruiting, accounting, and tax.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Other income, net increased by less than $0.1 million from $0.4 million for the three months ended March 31, 2018 to $0.4 million for the three months ended March 31, 2019. Other income, net during the three months ended March 31, 2019 was primarily attributable to investment income of $0.4 million from cash equivalents. During the three months ended March 31, 2018, other income, net related primarily to the sale of drug material to a third party for $0.4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our results of operations for the years ended December 31, 2017 and 2018,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6,690</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3,815</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10,505</w:t>
            </w:r>
          </w:p>
        </w:tc>
        <w:tc>
          <w:tcPr>
            <w:tcW w:w="160" w:type="dxa"/>
            <w:vAlign w:val="bottom"/>
          </w:tcPr>
          <w:p>
            <w:pPr>
              <w:spacing w:after="0"/>
              <w:rPr>
                <w:sz w:val="18"/>
                <w:szCs w:val="18"/>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(33,498)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 income,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881</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(22,964)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(32,588)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 increased by $6.7 million from $18.5 million for the year ended December 31, 2017 to $25.2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research and development expense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$2.4 million in increased facility-related costs, including rent and other costs related to our new facility lease that commenced in December 2017, depreciation and other utility and maintenance costs;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$1.6 million in increased external manufacturing costs related to losmapimod and increased chemistry efforts for our hemoglobinopathies program;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$1.3 million in increased personnel-related costs due to increased headcount, including $0.3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$0.9 million in increased costs for preparatory studies in anticipation of initiating losmapimod clinical trials in 2019;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$0.4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General and administrative expenses increased by $3.8 million from $4.5 million for the year ended December 31, 2017 to $8.3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in general and administrative expenses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$1.9 million in increased personnel-related costs, primarily due to increased general and administrative headcount to support the growth of our research and development organization, including $0.5 million of increased stock-based compensation expense;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$1.1 million in increased consulting and professional fees, including for legal services, market research, recruiting, accounting and tax; and</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$0.4 million in increased facility-related costs, including rent and other costs related to our new facility lease that commenced in December 2017, depreciation and other utility and maintenance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564"/>
        <w:spacing w:after="0" w:line="332" w:lineRule="auto"/>
        <w:rPr>
          <w:sz w:val="20"/>
          <w:szCs w:val="20"/>
          <w:color w:val="auto"/>
        </w:rPr>
      </w:pPr>
      <w:r>
        <w:rPr>
          <w:rFonts w:ascii="Arial" w:cs="Arial" w:eastAsia="Arial" w:hAnsi="Arial"/>
          <w:sz w:val="16"/>
          <w:szCs w:val="16"/>
          <w:color w:val="auto"/>
        </w:rPr>
        <w:t>Other income, net increased by $0.9 million from less than $0.1 million for the year ended December 31, 2017 to $0.9 million for the year ended December 31, 2018. The increase in other income, net was primarily attributable to an increase in investment income of $0.5 million during the year 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due to higher cash equivalents in 2018 and the sale of drug material to a third party in February 2018 for $0.4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We have primarily funded our operations through March 31, 2019 with aggregate gross proceeds of $140.0 million from the issuance of convertible notes and convertible preferred stock. As of March 31, 2019, we had cash and cash equivalents of $62.5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information regarding our cash flows for the years ended December 31, 2017 and 2018, and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2019:</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01"/>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Net (decrease) increase in cash, cash equivalents, and</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73,482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(10,345)</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Net cash used in operating activities was $9.9 million during the three months ended March 31, 2019 compared to net cash used in operating activities of $6.6 million during the three months ended March 31, 2018. The increase in net cash used in operating activities of $3.3 million was due to an increase in net loss of $29.9 million for the three months ended March 31, 2019 as compared to the three months ended March 31, 2018, partially offset by a net increase in non-cash expenses of $26.3 million primarily due to an increase in IPR&amp;D expenses of $25.6 million and an increase in stock-based compensation expense of $0.4 million, and a net increase in cash provided by changes in our operating assets and liabilities of $0.3 million.</w:t>
      </w:r>
    </w:p>
    <w:p>
      <w:pPr>
        <w:spacing w:after="0" w:line="170"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Net cash used in operating activities was $22.6 million during the year ended December 31, 2018 compared to net cash used in operating activities of $20.1 million during the year ended December 31, 2017. The increase in net cash used in operating activities of $2.5 million was due to an increase in net loss of $9.6 million for the year ended December 31, 2018 as compared to the year ended December 31, 2017, partially offset by a net increase in cash provided by changes in our operating assets and liabilities of $5.7 million, primarily due to the receipt of $4.6 million during the year ended December 31, 2018 associated with the leasehold improvement allowance related to our new facility lease that commenced in December 2017, and a net increase in non-cash expenses of $1.4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Net cash used in investing activities was $0.4 million during the three months ended March 31, 2019 compared to net cash used in investing activities of $0.8 million during the three months ended March 31, 2018. Net cash used in investing activities for the three months ended March 31, 2019 and 2018 primarily consisted of purchases of property and equipment.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auto"/>
        </w:rPr>
        <w:t>Net cash used in investing activities was $9.0 million during the year ended December 31, 2018 compared to net cash used in investing activities of $1.9 million during the year ended December 31, 2017. Net cash used in investing activities for the years ended December 31, 2018 and 2017 consisted of purchases of property and equipment. The increase in net cash used in investing activities of $7.1 million was primarily due to an increase in purchases of property and equipment associated with our new facility lease that commenced in December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Net cash used in financing activities was less than $0.1 million during the three months ended March 31, 2019 compared to net cash provided by financing activities of $12.6 million during the three months ended March 31, 2018. The cash provided by financing activities during the three months ended March 31, 2018 was primarily the result of $12.7 million of net proceeds received from private placements of our Series A preferred stock. The net cash used in financing activities for the three months ended March 31, 2019 was primarily the result of the payment of costs associated with the issuance of Series B preferred stock.</w:t>
      </w:r>
    </w:p>
    <w:p>
      <w:pPr>
        <w:spacing w:after="0" w:line="167" w:lineRule="exact"/>
        <w:rPr>
          <w:sz w:val="20"/>
          <w:szCs w:val="20"/>
          <w:color w:val="auto"/>
        </w:rPr>
      </w:pPr>
    </w:p>
    <w:p>
      <w:pPr>
        <w:jc w:val="both"/>
        <w:ind w:firstLine="431"/>
        <w:spacing w:after="0" w:line="298" w:lineRule="auto"/>
        <w:rPr>
          <w:sz w:val="20"/>
          <w:szCs w:val="20"/>
          <w:color w:val="auto"/>
        </w:rPr>
      </w:pPr>
      <w:r>
        <w:rPr>
          <w:rFonts w:ascii="Arial" w:cs="Arial" w:eastAsia="Arial" w:hAnsi="Arial"/>
          <w:sz w:val="16"/>
          <w:szCs w:val="16"/>
          <w:color w:val="auto"/>
        </w:rPr>
        <w:t>Net cash provided by financing activities was $105.0 million during the year ended December 31, 2018 compared to $17.7 million during the year ended December 31, 2017. The cash provided by financing activities during the year ended December 31, 2018 was primarily the result of $105.1 million of net proceeds received from private placements of our Series A and Series B preferred stock. The cash provided by financing activities for the year ended December 31, 2017 was primarily the result of $17.6 million of net proceeds received from private placements of our Series A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upon the closing of this offering, we expect to incur additional costs associated with operating as a public company. As a result, we expect to incur substantial operating losses and negative operating cash flows for the foreseeable future.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Based on our current operating plan, we expect that the anticipated net proceeds from this offering, together with our existing cash and cash equivalents, will</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enable us to fund our operating expenses and capital expenditure requirements through . However, we have based this estimate on assumptions that may prove to be wrong and we could exhaust our capital resources sooner than we expect.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1 clinical trial of losmapimod;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94"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94"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these obligations are expected to have on our liquidity and cash flows in future periods: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8"/>
                <w:szCs w:val="28"/>
                <w:color w:val="auto"/>
                <w:vertAlign w:val="superscript"/>
              </w:rPr>
              <w:t>(1)</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 which expires in June 2028. The minimum lease payments above do not include any related common area maintenance charges or real estate taxes.</w:t>
      </w:r>
    </w:p>
    <w:p>
      <w:pPr>
        <w:spacing w:after="0" w:line="186" w:lineRule="exact"/>
        <w:rPr>
          <w:sz w:val="20"/>
          <w:szCs w:val="20"/>
          <w:color w:val="auto"/>
        </w:rPr>
      </w:pPr>
    </w:p>
    <w:p>
      <w:pPr>
        <w:ind w:firstLine="473"/>
        <w:spacing w:after="0" w:line="268" w:lineRule="auto"/>
        <w:rPr>
          <w:sz w:val="20"/>
          <w:szCs w:val="20"/>
          <w:color w:val="auto"/>
        </w:rPr>
      </w:pPr>
      <w:r>
        <w:rPr>
          <w:rFonts w:ascii="Arial" w:cs="Arial" w:eastAsia="Arial" w:hAnsi="Arial"/>
          <w:sz w:val="18"/>
          <w:szCs w:val="18"/>
          <w:color w:val="auto"/>
        </w:rPr>
        <w:t>Under our right of reference and license agreement that we entered into in February 2019 with affiliates of GSK, we have payment obligations that are contingent upon the occurrence of future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as our achievement of specified clinical, regulatory and sales milestones and are required to make royalty payments in connection with the sale of products developed under the agreement. Specifically, we may owe GSK up to $37.5 million in certain specified clinical and regulatory milestones, of which $2.5 million is due upon the initiation of a Phase 2 clinical trial, and up to $60.0 million in certain specified sales milestones and royalties on product sales, if any. We have not included any such contingent milestone or royalty payment obligations in the table above, which is presented as of December 31, 2018. In addition, the amount (in the case of potential royalty payments), timing and likelihood of such payments are not always known. For additional information regarding this license agreement, including our payment obligations thereunder, see "Business—Right of Reference and License Agreement with GlaxoSmithKline," Note 14 to our annual consolidated financial statements included elsewhere in this prospectus and Note 9 to our interim consolidated financial statements included elsewhere in this prospectus.</w:t>
      </w:r>
    </w:p>
    <w:p>
      <w:pPr>
        <w:spacing w:after="0" w:line="172"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We enter into contracts in the normal course of business with CROs, CMOs and other third parties for clinical trials, pre-clinical research studies, synthetic chemistry and testing and manufacturing services. These contracts are generally cancelable by us upon up to 30 days' prior written notice. Payments due upon cancellation consist only of payments for services provided or expenses incurred, including noncancelable obligations of our service providers, up to and through the date of cancellation. These payments are not included in the preceding table as the amount and timing of these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72"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annual consolidated financial statements included elsewhere in this prospectus for a description of our other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6"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2"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2"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As a result of the lack of a public market for the trading of our common stock and a lack of company-specific historical and implied volatility data, we base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 and Series B Preferred Stock</w:t>
      </w:r>
    </w:p>
    <w:p>
      <w:pPr>
        <w:spacing w:after="0" w:line="225" w:lineRule="exact"/>
        <w:rPr>
          <w:sz w:val="20"/>
          <w:szCs w:val="20"/>
          <w:color w:val="auto"/>
        </w:rPr>
      </w:pPr>
    </w:p>
    <w:p>
      <w:pPr>
        <w:jc w:val="both"/>
        <w:ind w:firstLine="387"/>
        <w:spacing w:after="0" w:line="284" w:lineRule="auto"/>
        <w:rPr>
          <w:sz w:val="20"/>
          <w:szCs w:val="20"/>
          <w:color w:val="auto"/>
        </w:rPr>
      </w:pPr>
      <w:r>
        <w:rPr>
          <w:rFonts w:ascii="Arial" w:cs="Arial" w:eastAsia="Arial" w:hAnsi="Arial"/>
          <w:sz w:val="16"/>
          <w:szCs w:val="16"/>
          <w:color w:val="auto"/>
        </w:rPr>
        <w:t>As previously described, we are required to estimate the fair value of our common stock underlying our stock-based awards when estimating the grant date fair value of those awards. Additionally, we were required to estimate the fair value of the Series B preferred stock issued pursuant to the right of reference and license agreement that we entered into with GSK in February 2019. As there has been no public market for our common stock or Series B preferred stock to date, the estimated fair value of our common stock and Series B preferred stock has been determined by our board of directors and management, respectively, as of the date of each equity issuance considering our most recently available third-party valuations of common stock or Series B preferred stock, and our assessment of additional objective and subjective factors.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the guideline public company method and/or the precedent transaction method to estimate our equity value, and we utilized the option-pricing method, or OPM, or the hybrid method to allocate equity value to our common stock and preferred stock. The hybrid method is a probability-weighted expected return method, or PWERM, where the equity value in one or more of the scenarios is allocated using an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or an initial public offering, or IPO. The PWERM is a scenario-based method that estimates the fair value of common stock and preferred stock based upon an analysis of future values for the company, assuming various outcomes. The common stock and preferred stock value is based on the probability-weighted present value of expected future investment returns considering each of the possible outcomes available, as well as the rights of each class of stock. The future value of the common stock and preferred stock under each outcome is discounted back to the valuation date at an appropriate risk-adjusted discount rate and probability weighted to arrive at an indication of value for the common stock. In our application of the hybrid method, we considered an IPO scenario under the PWERM framework, in which the shares of convertible preferred stock are assumed to convert to common stock, and a non-IPO scenario modeled using an OPM. Our Series B preferred stock valuation was prepared using the hybrid method. The relative probability of the IPO scenario was determined based on an analysis of market conditions at the time and our expectations as to the timing and likely prospects of the IPO at each valuation date. In our application of the guideline public company method, we considered recently completed IPOs as indicators of our estimated future value in an IPO.</w:t>
      </w:r>
    </w:p>
    <w:p>
      <w:pPr>
        <w:spacing w:after="0" w:line="180"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6"/>
          <w:szCs w:val="16"/>
          <w:color w:val="auto"/>
        </w:rPr>
        <w:t>Based on our early stage of development and other relevant factors, our board of directors determined that the OPM was the most appropriate method for allocating our enterprise value to determine the estimated fair value of our common stock for the valuations performed as of December 31, 2016, December 31, 2017 and June 1, 2018, which resulted in our board of directors determining that the fair value of our common stock was $0.42 per share, $0.47 per share and $0.69 per share, respectively. Following the issuance of the Series B preferred stock in August 2018, our board of directors determined that the hybrid method was the most appropriate method for allocating our enterprise value to determine the estimated fair value of our common stock for valuations performed as of August 24, 2018, November 30, 2018, March 15, 2019 and May 10, 2019, which resulted in our board of directors determining that the fair value of our common stock was $1.09 per share, $1.12 per share, $1.19 per share and $1.58 per share, respectively. Our board of directors determined that it was appropriate to change the methodology for determining the fair value of our common stock to the hybrid method beginning with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August 24, 2018 valuation as greater certainty developed regarding a possible IPO upon the issuance of the Series B preferred stock. Management determined that the value of our Series B preferred stock was $2.04 per share as of February 8, 2019.</w:t>
      </w:r>
    </w:p>
    <w:p>
      <w:pPr>
        <w:spacing w:after="0" w:line="186" w:lineRule="exact"/>
        <w:rPr>
          <w:sz w:val="20"/>
          <w:szCs w:val="20"/>
          <w:color w:val="auto"/>
        </w:rPr>
      </w:pPr>
    </w:p>
    <w:p>
      <w:pPr>
        <w:ind w:firstLine="417"/>
        <w:spacing w:after="0" w:line="268" w:lineRule="auto"/>
        <w:rPr>
          <w:sz w:val="20"/>
          <w:szCs w:val="20"/>
          <w:color w:val="auto"/>
        </w:rPr>
      </w:pPr>
      <w:r>
        <w:rPr>
          <w:rFonts w:ascii="Arial" w:cs="Arial" w:eastAsia="Arial" w:hAnsi="Arial"/>
          <w:sz w:val="18"/>
          <w:szCs w:val="18"/>
          <w:color w:val="auto"/>
        </w:rPr>
        <w:t>Our board of directors and management considered various objective and subjective factors to determine the fair value of our common stock and Series B preferred stock, respectively, including:</w:t>
      </w:r>
    </w:p>
    <w:p>
      <w:pPr>
        <w:spacing w:after="0" w:line="19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valuations of our common stock and Series B preferred stock performed by independent third-party valuation specialists;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stage of development and business strategy, including the status of research and development efforts of our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analysis of IPOs and the valuation of similar publicly traded companies in the biopharmaceutical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financial position, including our levels of available capital resources;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likelihood and potential timing of achieving a liquidity event, such as an IPO, in light of prevailing market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biopharmaceutical industry.</w:t>
      </w:r>
    </w:p>
    <w:p>
      <w:pPr>
        <w:spacing w:after="0" w:line="22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The assumptions underlying these valuations represent our best estimates, which involve inherent uncertainties and the application of judgment. As a result, if factors or expected outcomes change and we use significantly different assumptions or estimates, our stock-based compensation expense or in-process research and development expense could be materially different.</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Stock-Based Awards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following table presents the grant dates, numbers of underlying shares of common stock, the per share purchase prices and exercise prices, and the fair values of the underlying common stock as of the grant dates for awards granted between January 1, 2018 and May 31, 2019, along with the fair value per award on the date of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Per 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Subject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Value of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or Purchase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Stock 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on Grant</w:t>
            </w:r>
          </w:p>
        </w:tc>
        <w:tc>
          <w:tcPr>
            <w:tcW w:w="0" w:type="dxa"/>
            <w:vAlign w:val="bottom"/>
          </w:tcPr>
          <w:p>
            <w:pPr>
              <w:spacing w:after="0"/>
              <w:rPr>
                <w:sz w:val="1"/>
                <w:szCs w:val="1"/>
                <w:color w:val="auto"/>
              </w:rPr>
            </w:pPr>
          </w:p>
        </w:tc>
      </w:tr>
      <w:tr>
        <w:trPr>
          <w:trHeight w:val="176"/>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Grant Date</w:t>
            </w: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rPr>
              <w:t>Type of Award</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Grant Date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4"/>
              </w:rPr>
              <w:t>Date</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0.47</w:t>
            </w:r>
            <w:r>
              <w:rPr>
                <w:rFonts w:ascii="Arial" w:cs="Arial" w:eastAsia="Arial" w:hAnsi="Arial"/>
                <w:sz w:val="14"/>
                <w:szCs w:val="14"/>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2/23/2018</w:t>
            </w:r>
          </w:p>
        </w:tc>
        <w:tc>
          <w:tcPr>
            <w:tcW w:w="1280" w:type="dxa"/>
            <w:vAlign w:val="bottom"/>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0.47</w:t>
            </w:r>
            <w:r>
              <w:rPr>
                <w:rFonts w:ascii="Arial" w:cs="Arial" w:eastAsia="Arial" w:hAnsi="Arial"/>
                <w:sz w:val="14"/>
                <w:szCs w:val="14"/>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6/20/2018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0.69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6/20/2018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578,932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0.69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7/11/2018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0.69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10/17/2018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502,370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1.12</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12/18/2018</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1.12</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1/22/2019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7,043,661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1.12</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3/20/2019</w:t>
            </w:r>
          </w:p>
        </w:tc>
        <w:tc>
          <w:tcPr>
            <w:tcW w:w="1280" w:type="dxa"/>
            <w:vAlign w:val="bottom"/>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w w:val="85"/>
              </w:rPr>
              <w:t>1.19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5/21/2019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5"/>
              </w:rPr>
              <w:t>1.58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restricted stock, the Per Share Estimated Fair Value of Award on Grant Date reflects the weighted average fair value of restricted stock at the date of grant, which is equal to the fair value of our common stock as of the date of grant as determined by our board of directors, less the applicable purchase price of the restricted stock. For stock options, the Per Share Estimated Fair Value of Award on Grant Date reflects the weighted average fair value of stock options as estimated at the date of grant using the Black-Scholes option-pricing model.</w:t>
      </w:r>
    </w:p>
    <w:p>
      <w:pPr>
        <w:spacing w:after="0" w:line="223"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undertook a retrospective valuation of the fair value of our common stock as of December 31, 2017 and this value represents our estimated fair value per common share in accordance with such retrospective valuation.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annual and interim consolidated financial statements appearing at the end of this prospectus, these standards will not have a material impact on our financial statements or do not otherwise apply to our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March 31, 2019, we had cash and cash equivalents of $62.5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7"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6"/>
          <w:szCs w:val="16"/>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March 31, 2019, we had minimal or no liabilities denominated in foreign currencies.</w:t>
      </w:r>
    </w:p>
    <w:p>
      <w:pPr>
        <w:spacing w:after="0" w:line="161" w:lineRule="exact"/>
        <w:rPr>
          <w:sz w:val="20"/>
          <w:szCs w:val="20"/>
          <w:color w:val="auto"/>
        </w:rPr>
      </w:pPr>
    </w:p>
    <w:p>
      <w:pPr>
        <w:jc w:val="both"/>
        <w:ind w:firstLine="427"/>
        <w:spacing w:after="0" w:line="332"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years ended December 31, 2017 and 2018 or the three months ended March 31, 2018 and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 As a result, our consolidated financial statements may not be comparable to companies that comply with new or revised accounting pronouncements as of public company effective dates.</w:t>
      </w:r>
    </w:p>
    <w:p>
      <w:pPr>
        <w:spacing w:after="0" w:line="1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color w:val="auto"/>
        </w:rPr>
        <w:t>We may remain classified as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67"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mis-expression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 xml:space="preserve">Following our discovery of the role of p38a/b inhibitors in the reduction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201"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auto"/>
        </w:rPr>
        <w:t>We plan to conduct a randomized, double-blind placebo-controlled Phase 2b clinical trial to investigate whether treatment with losmapimod reduces DUX4-driven gene expression in affected skeletal 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are completing a Phase 1 clinical trial in healthy volunteers and patients with FSHD. We utilized data from GSK's clinical trials of losmapimod to submit in May 2019 an IND, and clinical trial applications, or CTAs, in Europe and Canada, that will enable us to advance our clinical development plan for losmapimod in FSHD, including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initiating a Phase 2b clinical trial in mid-2019. The FDA accepted the IND in June 2019. The timing of the initiation of the Phase 2b clinical trial is not dependent on the completion of the Phase 1 clinical trial.</w:t>
      </w:r>
    </w:p>
    <w:p>
      <w:pPr>
        <w:spacing w:after="0" w:line="186"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6"/>
          <w:szCs w:val="16"/>
          <w:color w:val="auto"/>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can significantly impair the production of RBCs.</w:t>
      </w:r>
    </w:p>
    <w:p>
      <w:pPr>
        <w:spacing w:after="0" w:line="16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auto"/>
        </w:rPr>
        <w:t>HBG1/2</w:t>
      </w:r>
      <w:r>
        <w:rPr>
          <w:rFonts w:ascii="Arial" w:cs="Arial" w:eastAsia="Arial" w:hAnsi="Arial"/>
          <w:sz w:val="16"/>
          <w:szCs w:val="16"/>
          <w:color w:val="auto"/>
        </w:rPr>
        <w:t xml:space="preserve">, whose expression is normally silenced shortly after birth.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firstLine="524"/>
        <w:spacing w:after="0" w:line="291" w:lineRule="auto"/>
        <w:rPr>
          <w:sz w:val="20"/>
          <w:szCs w:val="20"/>
          <w:color w:val="auto"/>
        </w:rPr>
      </w:pPr>
      <w:r>
        <w:rPr>
          <w:rFonts w:ascii="Arial" w:cs="Arial" w:eastAsia="Arial" w:hAnsi="Arial"/>
          <w:sz w:val="16"/>
          <w:szCs w:val="16"/>
          <w:color w:val="auto"/>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designed our proprietary product engine with potential application across a broad array of genetically defined diseases with a known root cause. The following chart summarizes key information about our lead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148590</wp:posOffset>
            </wp:positionV>
            <wp:extent cx="5591175" cy="857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9117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summarizes key information about our discovery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148590</wp:posOffset>
            </wp:positionV>
            <wp:extent cx="5556885" cy="951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5688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211" w:lineRule="exact"/>
        <w:rPr>
          <w:sz w:val="20"/>
          <w:szCs w:val="20"/>
          <w:color w:val="auto"/>
        </w:rPr>
      </w:pPr>
    </w:p>
    <w:p>
      <w:pPr>
        <w:jc w:val="both"/>
        <w:ind w:left="1080" w:hanging="532"/>
        <w:spacing w:after="0" w:line="25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develop losmapimod for the treatment of FSHD. </w:t>
      </w:r>
      <w:r>
        <w:rPr>
          <w:rFonts w:ascii="Arial" w:cs="Arial" w:eastAsia="Arial" w:hAnsi="Arial"/>
          <w:sz w:val="18"/>
          <w:szCs w:val="18"/>
          <w:color w:val="auto"/>
        </w:rPr>
        <w:t>We aim to rapidly develop losmapimod for the treatment of FSHD through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regulatory approval. We plan to initiate a Phase 2b clinical trial of losmapimod in mid-2019 and, subject to positive results, plan to meet with regulators to discuss the potential to pursue accelerated approval given the significant unmet medical need in FSHD and the absence of approved therapies for patients.</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FTX-HbF into clinical development. </w:t>
      </w:r>
      <w:r>
        <w:rPr>
          <w:rFonts w:ascii="Arial" w:cs="Arial" w:eastAsia="Arial" w:hAnsi="Arial"/>
          <w:sz w:val="18"/>
          <w:szCs w:val="18"/>
          <w:color w:val="auto"/>
        </w:rPr>
        <w:t>We have initiated IND-enabling studies of FTX-HbF and we aim to submit an IND in mid-2020.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develop FTX-HbF for the treatment of SCD and certain types of b-thalassemia.</w:t>
      </w:r>
    </w:p>
    <w:p>
      <w:pPr>
        <w:spacing w:after="0" w:line="199"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apply our proprietary product engine to grow our portfolio of product candidates for the treatment of genetically defined diseases. </w:t>
      </w:r>
      <w:r>
        <w:rPr>
          <w:rFonts w:ascii="Arial" w:cs="Arial" w:eastAsia="Arial" w:hAnsi="Arial"/>
          <w:sz w:val="16"/>
          <w:szCs w:val="16"/>
          <w:color w:val="auto"/>
        </w:rPr>
        <w:t>We have developed a rigorous assessment and selection process to determine which of the approximately 7,000 rare, genetically defined diseases we intend to evaluate in drug target identification activities. We are applying our product engine to discover drug targets to modulate gene expression and develop product candidates for the potential treatment of the root cause of the disease. We plan to utilize our product engine to complete four new drug target identification screens in 2019 and an additional six screens in 2020, and we expect to advance the most compelling programs identified for development.</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expand our product engine capabilities. </w:t>
      </w:r>
      <w:r>
        <w:rPr>
          <w:rFonts w:ascii="Arial" w:cs="Arial" w:eastAsia="Arial" w:hAnsi="Arial"/>
          <w:sz w:val="16"/>
          <w:szCs w:val="16"/>
          <w:color w:val="auto"/>
        </w:rPr>
        <w:t>Our product engine incorporates patient-derived cell lines and/or other relevant human 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lines, our annotated small molecule compound library and customized CRISPR libraries. We intend to further expand our product engine capabilities, including FulcrumSeek, to enhance the therapeutic reach and productivity of our drug discovery process.</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the commercial potential of our product candidates. </w:t>
      </w:r>
      <w:r>
        <w:rPr>
          <w:rFonts w:ascii="Arial" w:cs="Arial" w:eastAsia="Arial" w:hAnsi="Arial"/>
          <w:sz w:val="16"/>
          <w:szCs w:val="16"/>
          <w:color w:val="auto"/>
        </w:rPr>
        <w:t>We have retained all rights to our lead product candidates focused on rare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genetically defined diseases, and plan to commercialize any approved product using a targeted sales infrastructure. We may in the future pursue commercialization partnerships for certain product candidates and/or markets outside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enter into strategic partnerships to maximize the value of our product engine and pipeline. </w:t>
      </w:r>
      <w:r>
        <w:rPr>
          <w:rFonts w:ascii="Arial" w:cs="Arial" w:eastAsia="Arial" w:hAnsi="Arial"/>
          <w:sz w:val="18"/>
          <w:szCs w:val="18"/>
          <w:color w:val="auto"/>
        </w:rPr>
        <w:t>Given the breadth of opportunities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product engine to discover drug targets and develop product candidates for genetically defined diseases, we may enter into strategic partnerships for certain drug targets, product candidates or disease areas. Partnerships may provide an attractive avenue for expanding the impact of our proprietary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Regulation</w:t>
      </w:r>
    </w:p>
    <w:p>
      <w:pPr>
        <w:spacing w:after="0" w:line="231" w:lineRule="exact"/>
        <w:rPr>
          <w:sz w:val="20"/>
          <w:szCs w:val="20"/>
          <w:color w:val="auto"/>
        </w:rPr>
      </w:pPr>
    </w:p>
    <w:p>
      <w:pPr>
        <w:jc w:val="both"/>
        <w:ind w:firstLine="631"/>
        <w:spacing w:after="0" w:line="294" w:lineRule="auto"/>
        <w:rPr>
          <w:sz w:val="20"/>
          <w:szCs w:val="20"/>
          <w:color w:val="auto"/>
        </w:rPr>
      </w:pPr>
      <w:r>
        <w:rPr>
          <w:rFonts w:ascii="Arial" w:cs="Arial" w:eastAsia="Arial" w:hAnsi="Arial"/>
          <w:sz w:val="16"/>
          <w:szCs w:val="16"/>
          <w:color w:val="auto"/>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aberrant expression or silencing of a gene that may lead to disease.</w:t>
      </w:r>
    </w:p>
    <w:p>
      <w:pPr>
        <w:spacing w:after="0" w:line="170"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123190</wp:posOffset>
            </wp:positionV>
            <wp:extent cx="5617210" cy="3627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1721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225" w:lineRule="exact"/>
        <w:rPr>
          <w:sz w:val="20"/>
          <w:szCs w:val="20"/>
          <w:color w:val="auto"/>
        </w:rPr>
      </w:pPr>
    </w:p>
    <w:p>
      <w:pPr>
        <w:jc w:val="both"/>
        <w:ind w:firstLine="564"/>
        <w:spacing w:after="0" w:line="298" w:lineRule="auto"/>
        <w:rPr>
          <w:sz w:val="20"/>
          <w:szCs w:val="20"/>
          <w:color w:val="auto"/>
        </w:rPr>
      </w:pPr>
      <w:r>
        <w:rPr>
          <w:rFonts w:ascii="Arial" w:cs="Arial" w:eastAsia="Arial" w:hAnsi="Arial"/>
          <w:sz w:val="16"/>
          <w:szCs w:val="16"/>
          <w:color w:val="auto"/>
        </w:rPr>
        <w:t>We have the ability to develop, scale and characterize complex cellular models of human disorders of gene mis-regulation. Our current drug target identification and development efforts are focused on rare neuromuscular disorders, hemoglobinopathies and CNS diseases. We also anticipate utilizing our product engine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defined diseases with 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97"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We are continuing to expand our proprietary relational database, FulcrumSeek, which is designed to facilitate the process by which we assess diseases and generate drug target hypotheses through our computational biology expertise. We screen our proprietary small molecule library and customized CRISPR libraries across healthy and diseased human skeletal muscle cells, cardiac muscle cells, brain cells and blood cells. The data from these screens allow us to develop a broader understanding of biology that may be relevant in disease. With the completion of each additional screening, FulcrumSeek increases in size, and our insights and knowledge are further expanded.</w:t>
      </w:r>
    </w:p>
    <w:p>
      <w:pPr>
        <w:spacing w:after="0" w:line="197"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screening with our proprietary small molecule library and customized CRISPR libraries, could be broadly applied to the identification of drug targets that have the potential to balance the expression of many genes known to drive or ameliorate disease.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The ability to intervene in gene regulatory pathways that control gene expression provides the basis of our product engine.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211" w:lineRule="exact"/>
        <w:rPr>
          <w:sz w:val="20"/>
          <w:szCs w:val="20"/>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Unmet medical need and market opportunity</w:t>
      </w:r>
      <w:r>
        <w:rPr>
          <w:rFonts w:ascii="Arial" w:cs="Arial" w:eastAsia="Arial" w:hAnsi="Arial"/>
          <w:sz w:val="18"/>
          <w:szCs w:val="18"/>
          <w:color w:val="auto"/>
        </w:rPr>
        <w:t>: we consider the severity of disease, the number of patients who could be treated and the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landscape.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Clear mechanistic link between a root cause genetic defect and disease</w:t>
      </w:r>
      <w:r>
        <w:rPr>
          <w:rFonts w:ascii="Arial" w:cs="Arial" w:eastAsia="Arial" w:hAnsi="Arial"/>
          <w:sz w:val="18"/>
          <w:szCs w:val="18"/>
          <w:color w:val="auto"/>
        </w:rPr>
        <w:t>: we evaluate whether there is genetic validation of the gene's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and the effect of gene modulation on disease.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Drug discovery execution</w:t>
      </w:r>
      <w:r>
        <w:rPr>
          <w:rFonts w:ascii="Arial" w:cs="Arial" w:eastAsia="Arial" w:hAnsi="Arial"/>
          <w:sz w:val="18"/>
          <w:szCs w:val="18"/>
          <w:color w:val="auto"/>
        </w:rPr>
        <w:t>: we consider whether relevant patient-derived tissue-specific cell models and assays are available or whether we can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such models using our expertise.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Clinical feasibility</w:t>
      </w:r>
      <w:r>
        <w:rPr>
          <w:rFonts w:ascii="Arial" w:cs="Arial" w:eastAsia="Arial" w:hAnsi="Arial"/>
          <w:sz w:val="18"/>
          <w:szCs w:val="18"/>
          <w:color w:val="auto"/>
        </w:rPr>
        <w:t>: we evaluate potential biomarker and clinical endpoints, whether there is a meaningful treatment window and whether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an accessible patient population to undertake clinical trials in a reasonable time frame.</w:t>
      </w:r>
    </w:p>
    <w:p>
      <w:pPr>
        <w:spacing w:after="0" w:line="186"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Our product engine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6"/>
          <w:szCs w:val="16"/>
          <w:i w:val="1"/>
          <w:iCs w:val="1"/>
          <w:color w:val="auto"/>
        </w:rPr>
        <w:t>e.g., DUX4</w:t>
      </w:r>
      <w:r>
        <w:rPr>
          <w:rFonts w:ascii="Arial" w:cs="Arial" w:eastAsia="Arial" w:hAnsi="Arial"/>
          <w:sz w:val="16"/>
          <w:szCs w:val="16"/>
          <w:color w:val="auto"/>
        </w:rPr>
        <w:t xml:space="preserve"> in FSHD), increasing the expression of an under-expressed gene (</w:t>
      </w:r>
      <w:r>
        <w:rPr>
          <w:rFonts w:ascii="Arial" w:cs="Arial" w:eastAsia="Arial" w:hAnsi="Arial"/>
          <w:sz w:val="16"/>
          <w:szCs w:val="16"/>
          <w:i w:val="1"/>
          <w:iCs w:val="1"/>
          <w:color w:val="auto"/>
        </w:rPr>
        <w:t>e.g., FXN</w:t>
      </w:r>
      <w:r>
        <w:rPr>
          <w:rFonts w:ascii="Arial" w:cs="Arial" w:eastAsia="Arial" w:hAnsi="Arial"/>
          <w:sz w:val="16"/>
          <w:szCs w:val="16"/>
          <w:color w:val="auto"/>
        </w:rPr>
        <w:t xml:space="preserve"> in Friedreich ataxia) or expressing a compensatory gene (</w:t>
      </w:r>
      <w:r>
        <w:rPr>
          <w:rFonts w:ascii="Arial" w:cs="Arial" w:eastAsia="Arial" w:hAnsi="Arial"/>
          <w:sz w:val="16"/>
          <w:szCs w:val="16"/>
          <w:i w:val="1"/>
          <w:iCs w:val="1"/>
          <w:color w:val="auto"/>
        </w:rPr>
        <w:t>e.g., HBG1/2</w:t>
      </w:r>
      <w:r>
        <w:rPr>
          <w:rFonts w:ascii="Arial" w:cs="Arial" w:eastAsia="Arial" w:hAnsi="Arial"/>
          <w:sz w:val="16"/>
          <w:szCs w:val="16"/>
          <w:color w:val="auto"/>
        </w:rPr>
        <w:t xml:space="preserve"> in SCD and b-thalassemia).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Product Engine</w:t>
      </w:r>
    </w:p>
    <w:p>
      <w:pPr>
        <w:spacing w:after="0" w:line="225"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6"/>
          <w:szCs w:val="16"/>
          <w:color w:val="auto"/>
        </w:rPr>
        <w:t>Our product engine is a high-throughput discovery platform that we designed to identify and validate drug targets that balance the expression of the genes known to drive or ameliorate disease. We employ a systematic methodology that starts with selecting genetically defined diseases with a known root cause. We obtain patient-derived tissue-relevant cell lines or other relevant human cell lines. We then differentiate these cell lines into those most relevant for the disease pathology, including skeletal muscle myotubes, cardiomyocytes, neurons and RBCs, which we then scale up, characterize and prepare for screening. We also generate methods to quantify the desired modulation of expression of the gene of interest in these cell lines. We apply our annotated small molecule compound library and customized CRISPR libraries to the cells to assess for the desired modulation.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using our FulcrumSeek database and other databases to guide drug target selection and generate hypotheses on other drug targets that might be related along a gene regulatory pathway.</w:t>
      </w:r>
    </w:p>
    <w:p>
      <w:pPr>
        <w:spacing w:after="0" w:line="17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To further optimize and increase productivity of our product engine, we have continued to invest in customized lab automation and applied technologies. We believe that these investments have increased assay throughput and robustness and have expanded the breadth of biological parameters we can effectively measure in our assay systems. We believe that we have built a robust product engine to conduct drug target screening at scale in physiologically-relevant assay systems.</w:t>
      </w:r>
    </w:p>
    <w:p>
      <w:pPr>
        <w:spacing w:after="0" w:line="19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designed our discovery and development model to recapitulate this systematic approach of applying our product engine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93980</wp:posOffset>
            </wp:positionV>
            <wp:extent cx="5771515" cy="3215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7151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Patient-Derived Tissue-Relevant Cell Models</w:t>
      </w:r>
    </w:p>
    <w:p>
      <w:pPr>
        <w:spacing w:after="0" w:line="225" w:lineRule="exact"/>
        <w:rPr>
          <w:sz w:val="20"/>
          <w:szCs w:val="20"/>
          <w:color w:val="auto"/>
        </w:rPr>
      </w:pPr>
    </w:p>
    <w:p>
      <w:pPr>
        <w:jc w:val="both"/>
        <w:ind w:firstLine="516"/>
        <w:spacing w:after="0" w:line="253" w:lineRule="auto"/>
        <w:rPr>
          <w:sz w:val="20"/>
          <w:szCs w:val="20"/>
          <w:color w:val="auto"/>
        </w:rPr>
      </w:pPr>
      <w:r>
        <w:rPr>
          <w:rFonts w:ascii="Arial" w:cs="Arial" w:eastAsia="Arial" w:hAnsi="Arial"/>
          <w:sz w:val="18"/>
          <w:szCs w:val="18"/>
          <w:color w:val="auto"/>
        </w:rPr>
        <w:t>Accurate modeling of human disease is critical for drug discovery endeavors, and we have the ability to model disease and identify drug targets that modulate gene expression in patient-derived, differentiated cells. These cells provide the appropriate context in which to understand signaling pathways that affect human gene expression and function, and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20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Our process to characterize patient-derived cell models, produce cells at scale and develop suitable screens to identify drug targets typically takes between six and nine months. Depending on the disease, we may design the screen to measure effects on RNA and/or protein.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Identification</w:t>
      </w:r>
    </w:p>
    <w:p>
      <w:pPr>
        <w:spacing w:after="0" w:line="22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We employ three approaches to identify drug targets that can potentially modulate gene expression to treat genetically defined diseases at the root cause— 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Probe Library Screening</w:t>
      </w:r>
    </w:p>
    <w:p>
      <w:pPr>
        <w:spacing w:after="0" w:line="225"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the gene of interest. We designed our library with the intent to optimize biological diversity, in contrast with other small molecule screening approaches that optimize chemical diversity. The library was developed by our medicinal chemists who reviewed primary and patent literature to identify probe molecules that interact with known biochemical targets. They selected chemical probes based on their cellular activity, potency and selectivity. In order to expand our library beyond commercially-available small molecules, we undertook a custom synthesis campaign to generate compounds that were not available from commercial sources. Our library currently includes more than 4,000 small molecules relating to approximately 2,000 biochemical targets covering a wide breadth of pharmacology, including cell surface targets, kinases, metabolic enzymes and targets within the nucleus. Our library will continue to expand as we identify and acquire new mechanistic probes.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CRISPR Screening</w:t>
      </w:r>
    </w:p>
    <w:p>
      <w:pPr>
        <w:spacing w:after="0" w:line="225"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We may also use a customized CRISPR library screening, which is an approach to interrogate the genome by selectively knocking out, reducing or increasing gene expression, for target identification. We have chosen to use CRISPR libraries as complementary or additional screening tools for drug target identification alongside our small molecule screening approach. We use both an array-based CRISPR library and our pooled, custom-designed CRISPR library. Pooled CRISPR screening is an approach to target identification in which we combine cells and reagents in a single tube to simplify the experimental procedures. Pooled CRISPR screening is not suitable for all cell types, and we use array-based CRISPR screening where appropriate. Specific targets that modulate the gene of interest can be identified via CRISPR library screening, and these targets can then be validated for our drug discovery endeavors. If small molecules that interact with these targets are identified from the literature, they are then obtained for further pharmacological validation. If no known chemical matter is available, we may establish a screen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identify chemical matter that interacts with the drug target. This chemical matter would serve as a starting point for medicinal chemistry work. Alternatively, we may seek partnerships for development using other modalities.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FulcrumSeek and Computational Biology</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The primary role of FulcrumSeek and our computational biology capabilities is to generate drug target and biomarker hypotheses using externally generated patient data and internal screening data.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address the root cause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Validation</w:t>
      </w:r>
    </w:p>
    <w:p>
      <w:pPr>
        <w:spacing w:after="0" w:line="225"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auto"/>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important elements of our systematic approach to drug target validation include:</w:t>
      </w:r>
    </w:p>
    <w:p>
      <w:pPr>
        <w:spacing w:after="0" w:line="239" w:lineRule="exact"/>
        <w:rPr>
          <w:sz w:val="20"/>
          <w:szCs w:val="20"/>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different treatment modalities to interact with the drug target: </w:t>
      </w:r>
      <w:r>
        <w:rPr>
          <w:rFonts w:ascii="Arial" w:cs="Arial" w:eastAsia="Arial" w:hAnsi="Arial"/>
          <w:sz w:val="18"/>
          <w:szCs w:val="18"/>
          <w:color w:val="auto"/>
        </w:rPr>
        <w:t>we evaluate whether small molecules and genomic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similarly affect expression of the gene of interest.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we attempt to establish a link between the identified drug target and the level of the expression of the gene of interest.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we evaluate whether modulation of the target and the resulting changes in gene expression cause undesired effects, including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cell health markers to ensure there is minimal cellular toxicity.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Profiling cell lines from multiple patients: </w:t>
      </w:r>
      <w:r>
        <w:rPr>
          <w:rFonts w:ascii="Arial" w:cs="Arial" w:eastAsia="Arial" w:hAnsi="Arial"/>
          <w:sz w:val="18"/>
          <w:szCs w:val="18"/>
          <w:color w:val="auto"/>
        </w:rPr>
        <w:t>we analyze the modulation of the drug target to determine whether the original cell line used to screen</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is representative of disease in other patients.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Verification: </w:t>
      </w:r>
      <w:r>
        <w:rPr>
          <w:rFonts w:ascii="Arial" w:cs="Arial" w:eastAsia="Arial" w:hAnsi="Arial"/>
          <w:sz w:val="18"/>
          <w:szCs w:val="18"/>
          <w:color w:val="auto"/>
        </w:rPr>
        <w:t>we conduct studies designed to ensure that the modulation of the drug target and the resulting change in gene expression leads to a</w:t>
      </w:r>
      <w:r>
        <w:rPr>
          <w:rFonts w:ascii="Arial" w:cs="Arial" w:eastAsia="Arial" w:hAnsi="Arial"/>
          <w:sz w:val="18"/>
          <w:szCs w:val="18"/>
          <w:i w:val="1"/>
          <w:iCs w:val="1"/>
          <w:color w:val="auto"/>
        </w:rPr>
        <w:t xml:space="preserve"> </w:t>
      </w:r>
      <w:r>
        <w:rPr>
          <w:rFonts w:ascii="Arial" w:cs="Arial" w:eastAsia="Arial" w:hAnsi="Arial"/>
          <w:sz w:val="18"/>
          <w:szCs w:val="18"/>
          <w:color w:val="auto"/>
        </w:rPr>
        <w:t>desired functional effect.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Prioritization: </w:t>
      </w:r>
      <w:r>
        <w:rPr>
          <w:rFonts w:ascii="Arial" w:cs="Arial" w:eastAsia="Arial" w:hAnsi="Arial"/>
          <w:sz w:val="16"/>
          <w:szCs w:val="16"/>
          <w:color w:val="auto"/>
        </w:rPr>
        <w:t>we prioritize drug targets based on our assessment of our ability to deliver a candidate for clinical development based on that target.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Discovery and Characterization</w:t>
      </w:r>
    </w:p>
    <w:p>
      <w:pPr>
        <w:spacing w:after="0" w:line="225"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pharmacokinetic, or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p38a/b enabled us to rapidly identify our product candidate for the treatment of FSHD.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 enable us to understand if the activity of the molecule differs among cells with different genetic subtypes, or if a patient stratification strategy is appropriate for clinical trials.</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PK-pharmacodynamic, or PK/PD, relationships that will be the basis of therapeutic index calculations and human dose projections.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a Small Molecule Approach</w:t>
      </w:r>
    </w:p>
    <w:p>
      <w:pPr>
        <w:spacing w:after="0" w:line="225"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We believe that our approach to the treatment of genetically defined diseases using orally available, small molecule therapeutics may offer significant advantages over other treatment modalities due to:</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Biodistribution: </w:t>
      </w:r>
      <w:r>
        <w:rPr>
          <w:rFonts w:ascii="Arial" w:cs="Arial" w:eastAsia="Arial" w:hAnsi="Arial"/>
          <w:sz w:val="18"/>
          <w:szCs w:val="18"/>
          <w:color w:val="auto"/>
        </w:rPr>
        <w:t>small molecules can achieve broad distribution in the body. The ability to access tissues broadly is particularly relevant in</w:t>
      </w:r>
      <w:r>
        <w:rPr>
          <w:rFonts w:ascii="Arial" w:cs="Arial" w:eastAsia="Arial" w:hAnsi="Arial"/>
          <w:sz w:val="18"/>
          <w:szCs w:val="18"/>
          <w:i w:val="1"/>
          <w:iCs w:val="1"/>
          <w:color w:val="auto"/>
        </w:rPr>
        <w:t xml:space="preserve"> </w:t>
      </w:r>
      <w:r>
        <w:rPr>
          <w:rFonts w:ascii="Arial" w:cs="Arial" w:eastAsia="Arial" w:hAnsi="Arial"/>
          <w:sz w:val="18"/>
          <w:szCs w:val="18"/>
          <w:color w:val="auto"/>
        </w:rPr>
        <w:t>neuromuscular disorders where multiple muscles are affected by disease, or in CNS diseases where brain permeability may be limited with other treatment modalities.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w:t>
      </w:r>
      <w:r>
        <w:rPr>
          <w:rFonts w:ascii="Arial" w:cs="Arial" w:eastAsia="Arial" w:hAnsi="Arial"/>
          <w:sz w:val="18"/>
          <w:szCs w:val="18"/>
          <w:color w:val="auto"/>
        </w:rPr>
        <w:t>small molecules have a limited risk of immunogenicity and lack procedural risk relative to administering other treatment modalities,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ASOs and gene therapies.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and quality: </w:t>
      </w:r>
      <w:r>
        <w:rPr>
          <w:rFonts w:ascii="Arial" w:cs="Arial" w:eastAsia="Arial" w:hAnsi="Arial"/>
          <w:sz w:val="18"/>
          <w:szCs w:val="18"/>
          <w:color w:val="auto"/>
        </w:rPr>
        <w:t>the production and quality control of drug supplies for clinical development are well understood. Specialized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not required, and many vendors offer services for manufacturing. We believe small molecule manufacturing may provide cost advantages relative to other modalities.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Patient access: </w:t>
      </w:r>
      <w:r>
        <w:rPr>
          <w:rFonts w:ascii="Arial" w:cs="Arial" w:eastAsia="Arial" w:hAnsi="Arial"/>
          <w:sz w:val="18"/>
          <w:szCs w:val="18"/>
          <w:color w:val="auto"/>
        </w:rPr>
        <w:t>small molecule, oral medicines can be administered by the patient and do not require complicated in-patient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only available in a limited number of treatment centers.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Candidates</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 xml:space="preserve">We have used our proprietary product engine and screening efforts to identify drug targets for our lead product candidates. We in-licensed our first product candidate, losmapimod, after we discovered that it could reduce aberrant expression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which is the known root cause of FSHD. We expect to initiate a randomized Phase 2b clinical trial in mid-2019. We designed our second product candidate, FTX-HbF, to upregulate fetal hemoglobin, which we believe would compensate for abnormal hemoglobin in SCD and certain types of b-thalassemia. We aim to submit an IND for FTX-HbF in mid-2020.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130175</wp:posOffset>
            </wp:positionV>
            <wp:extent cx="5711190" cy="875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119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Facioscapulohumeral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Facioscapulohumeral Muscular Dystrophy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72" w:lineRule="exact"/>
        <w:rPr>
          <w:sz w:val="20"/>
          <w:szCs w:val="20"/>
          <w:color w:val="auto"/>
        </w:rPr>
      </w:pPr>
    </w:p>
    <w:p>
      <w:pPr>
        <w:jc w:val="both"/>
        <w:ind w:firstLine="540"/>
        <w:spacing w:after="0" w:line="294" w:lineRule="auto"/>
        <w:rPr>
          <w:sz w:val="20"/>
          <w:szCs w:val="20"/>
          <w:color w:val="auto"/>
        </w:rPr>
      </w:pPr>
      <w:r>
        <w:rPr>
          <w:rFonts w:ascii="Arial" w:cs="Arial" w:eastAsia="Arial" w:hAnsi="Arial"/>
          <w:sz w:val="16"/>
          <w:szCs w:val="16"/>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Biology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 xml:space="preserve">FSHD is caused by aberrant expression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silenced. In patients with FSHD, aberrant production of DUX4 protein in skeletal muscle regulates other genes encoding proteins, some of which are toxic to the muscle. Evidence of aberrant DUX4-driven gene expression is the major molecular signature that distinguishes muscle tissue affected by FSHD from healthy muscle. The result of aberrant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FSHD is death of muscle and its replacement by fat, resulting in skeletal muscle weakness and progressive disability. We believe that reducing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and its downstream transcriptional program could provide a disease-modifying therapeutic approach for the treatment of FSHD at its root cause.</w:t>
      </w:r>
    </w:p>
    <w:p>
      <w:pPr>
        <w:spacing w:after="0" w:line="172"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 xml:space="preserve">In all patients with FSHD,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Patients with FSHD2 do not have meaningful D4Z4 repeat contraction, but have mutations in a regulatory gene, known as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that normally contributes to the repression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via DNA methylation.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 xml:space="preserve">The figure below illustrates how genetic mutations in the D4Z4 repeat array (FSHD1) or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(FSHD2) result in aberrant expression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in skeletal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123190</wp:posOffset>
            </wp:positionV>
            <wp:extent cx="3970655" cy="25298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706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FSHD</w:t>
      </w:r>
    </w:p>
    <w:p>
      <w:pPr>
        <w:spacing w:after="0" w:line="225"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auto"/>
        </w:rPr>
        <w:t xml:space="preserve">We utilized patient-derived FSHD1 muscle cells, known as myotubes, and screened them with our small molecule probe library to identify drug targets that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p38a/b, which had been studied extensively in other diseases, but had not been reported to be linked to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or FSHD until we conducted our screening efforts. We evaluated multiple small molecule p38a/b inhibitors and observed a consistent reduction of both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DUX4-driven gene transcripts with each p38a/b inhibitor. We conducted further validation experiments to confirm that inhibition of p38a using genetic approaches such as siRNA and CRISPR single-guide RNAs, also led to a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Losmapimod</w:t>
      </w:r>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After identifying p38a/b as a potential drug target, we evaluated multiple small molecule inhibitors of p38a/b. Each of these inhibitors had previously been evaluated in clinical trials for the treatment of various diseases but never in muscle disorders. As a result of our evaluation and relative to other p38a/b inhibitors, we identified losmapimod as the preferred development candidate based on substantial and attractive preclinical and clinical data regarding safety, PK and target inhibition, and its advanced stage of development. Losmapimod was originally evaluated by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w:t>
      </w:r>
    </w:p>
    <w:p>
      <w:pPr>
        <w:spacing w:after="0" w:line="174"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auto"/>
        </w:rPr>
        <w:t xml:space="preserve">As shown in the figure on the left below, we observed in preclinical studies using losmapimod that inhibition of the p38a/b pathway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downstream gene expression, as measured by the mRNA transcribed by </w:t>
      </w:r>
      <w:r>
        <w:rPr>
          <w:rFonts w:ascii="Arial" w:cs="Arial" w:eastAsia="Arial" w:hAnsi="Arial"/>
          <w:sz w:val="16"/>
          <w:szCs w:val="16"/>
          <w:i w:val="1"/>
          <w:iCs w:val="1"/>
          <w:color w:val="auto"/>
        </w:rPr>
        <w:t>MBD3L2</w:t>
      </w:r>
      <w:r>
        <w:rPr>
          <w:rFonts w:ascii="Arial" w:cs="Arial" w:eastAsia="Arial" w:hAnsi="Arial"/>
          <w:sz w:val="16"/>
          <w:szCs w:val="16"/>
          <w:color w:val="auto"/>
        </w:rPr>
        <w:t xml:space="preserve">, a gene that is only expressed following </w:t>
      </w:r>
      <w:r>
        <w:rPr>
          <w:rFonts w:ascii="Arial" w:cs="Arial" w:eastAsia="Arial" w:hAnsi="Arial"/>
          <w:sz w:val="16"/>
          <w:szCs w:val="16"/>
          <w:i w:val="1"/>
          <w:iCs w:val="1"/>
          <w:color w:val="auto"/>
        </w:rPr>
        <w:t>DUX4</w:t>
      </w:r>
      <w:r>
        <w:rPr>
          <w:rFonts w:ascii="Arial" w:cs="Arial" w:eastAsia="Arial" w:hAnsi="Arial"/>
          <w:sz w:val="16"/>
          <w:szCs w:val="16"/>
          <w:color w:val="auto"/>
        </w:rPr>
        <w:t xml:space="preserve"> activation. In the study, we demonstrated that </w:t>
      </w:r>
      <w:r>
        <w:rPr>
          <w:rFonts w:ascii="Arial" w:cs="Arial" w:eastAsia="Arial" w:hAnsi="Arial"/>
          <w:sz w:val="16"/>
          <w:szCs w:val="16"/>
          <w:i w:val="1"/>
          <w:iCs w:val="1"/>
          <w:color w:val="auto"/>
        </w:rPr>
        <w:t>MBD3L2</w:t>
      </w:r>
      <w:r>
        <w:rPr>
          <w:rFonts w:ascii="Arial" w:cs="Arial" w:eastAsia="Arial" w:hAnsi="Arial"/>
          <w:sz w:val="16"/>
          <w:szCs w:val="16"/>
          <w:color w:val="auto"/>
        </w:rPr>
        <w:t xml:space="preserve"> was representative of broader DUX4-driven gene expression changes in myotubes. We assessed the ability of losmapimod to inhibit p38a/b by measuring the effect on the phosphorylation of a downstream protein called heat shock protein 27, or HSP27. The level of phosphorylation of HSP27 has been used in previous clinical trials, including by GSK, as a biomarker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measure the degree of p38a/b inhibition. As shown in the figure on the right below, we also observed reduced cell death, or apoptosis, in FSHD myotubes, as measured by active caspase-3. We used active caspase-3 to quantify cell death because it is a protein that has been shown to be an important regulator of the apoptosis pathway in myotubes.</w:t>
      </w:r>
    </w:p>
    <w:p>
      <w:pPr>
        <w:sectPr>
          <w:pgSz w:w="11900" w:h="16838" w:orient="portrait"/>
          <w:cols w:equalWidth="0" w:num="1">
            <w:col w:w="11420"/>
          </w:cols>
          <w:pgMar w:left="240" w:top="131" w:right="239" w:bottom="1440" w:gutter="0" w:footer="0" w:header="0"/>
        </w:sectPr>
      </w:pPr>
    </w:p>
    <w:p>
      <w:pPr>
        <w:spacing w:after="0" w:line="188"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color w:val="auto"/>
        </w:rPr>
        <w:t>Losmapimod reduced DUX4 protein levels and</w:t>
      </w:r>
    </w:p>
    <w:p>
      <w:pPr>
        <w:spacing w:after="0" w:line="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DUX4-driven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298450</wp:posOffset>
            </wp:positionV>
            <wp:extent cx="2495550" cy="1955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95550" cy="1955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780"/>
        <w:spacing w:after="0"/>
        <w:rPr>
          <w:sz w:val="20"/>
          <w:szCs w:val="20"/>
          <w:color w:val="auto"/>
        </w:rPr>
      </w:pPr>
      <w:r>
        <w:rPr>
          <w:rFonts w:ascii="Arial" w:cs="Arial" w:eastAsia="Arial" w:hAnsi="Arial"/>
          <w:sz w:val="15"/>
          <w:szCs w:val="15"/>
          <w:b w:val="1"/>
          <w:bCs w:val="1"/>
          <w:color w:val="auto"/>
        </w:rPr>
        <w:t>Losmapimod reduced apoptosis in FSHD</w:t>
      </w:r>
    </w:p>
    <w:p>
      <w:pPr>
        <w:spacing w:after="0" w:line="56"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161290</wp:posOffset>
            </wp:positionV>
            <wp:extent cx="2495550" cy="1938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95550" cy="1938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The dotted lines in each graphic above indicate the Cmin (left) and Cmax (right) observed in a clinical trial conducted by GSK that used a 15 mg twice per day dose of losmapimod. Cmin represents the minimum concentration in plasma prior to administration of a subsequent dose and Cmax represents the highest concentration in plasma after administration of a dose.</w:t>
      </w:r>
    </w:p>
    <w:p>
      <w:pPr>
        <w:spacing w:after="0" w:line="194" w:lineRule="exact"/>
        <w:rPr>
          <w:sz w:val="20"/>
          <w:szCs w:val="20"/>
          <w:color w:val="auto"/>
        </w:rPr>
      </w:pPr>
    </w:p>
    <w:p>
      <w:pPr>
        <w:jc w:val="both"/>
        <w:ind w:firstLine="458"/>
        <w:spacing w:after="0" w:line="288" w:lineRule="auto"/>
        <w:rPr>
          <w:sz w:val="20"/>
          <w:szCs w:val="20"/>
          <w:color w:val="auto"/>
        </w:rPr>
      </w:pPr>
      <w:r>
        <w:rPr>
          <w:rFonts w:ascii="Arial" w:cs="Arial" w:eastAsia="Arial" w:hAnsi="Arial"/>
          <w:sz w:val="16"/>
          <w:szCs w:val="16"/>
          <w:color w:val="auto"/>
        </w:rPr>
        <w:t>After identifying losmapimod, we in-licensed the molecule from GSK because we believed that its safety and pharmacology history would significantly expedite our development plan and enhance our future regulatory submissions. In February 2019, we obtained an exclusive worldwide license from GSK to the losmapimod patents and preclinical and clinical data for all indications, subject to certain conditions. This license includes a letter of reference for the U.S. Food and Drug Administration, or FDA, providing us the right to reference all the previous INDs that had been filed by GSK for losmapimod, as well as a license to their losmapimod data, including the original preclinical study and clinical trial reports. We utilized the GSK data to submit an IND in the United States and CTAs in Europe and Canada in May 2019 that will enable us to advance our clinical development plan for losmapimod in FSHD, including initiating a Phase 2b clinical trial. The IND was accepted by the FDA in June 2019. We also received active pharmaceutical ingredient, or API, and losmapimod tablets that had been manufactured by GSK. We plan to use the API and tablets to support our clinical development of losmapimod in FSHD, including our planned Phase 2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 xml:space="preserve">We conducted several preclinical studies designed to evaluate the ability of losmapimod to reduce DUX4-driven gene expression. In a preclinical study of losmapimod, we treated myotubes from primary cell lines of eight FSHD1 and three FSHD2 patients for four days with different concentrations of losmapimod or vehicle as a negative control. To model the effect of losmapimod treatment on DUX4-driven gene expression across diverse disease-causing genotypes, we measured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 levels relative to the transcript levels of </w:t>
      </w:r>
      <w:r>
        <w:rPr>
          <w:rFonts w:ascii="Arial" w:cs="Arial" w:eastAsia="Arial" w:hAnsi="Arial"/>
          <w:sz w:val="16"/>
          <w:szCs w:val="16"/>
          <w:i w:val="1"/>
          <w:iCs w:val="1"/>
          <w:color w:val="auto"/>
        </w:rPr>
        <w:t>POLR2A</w:t>
      </w:r>
      <w:r>
        <w:rPr>
          <w:rFonts w:ascii="Arial" w:cs="Arial" w:eastAsia="Arial" w:hAnsi="Arial"/>
          <w:sz w:val="16"/>
          <w:szCs w:val="16"/>
          <w:color w:val="auto"/>
        </w:rPr>
        <w:t xml:space="preserve">, a gene whose expression is not regulated by DUX4 protein. We observed that clinically achievable concentrations of losmapimod (30 to 100 nM) decreased DUX4-driven expression by 50% to 65%, as measured by quantitative polymerase chain reaction amplification of the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transcripts. The observed treatment effect was similar in all cells tested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regardless of genotype. We believe that this data suggests that losmapimod has the potential to treat FSHD patients across all genotypes.</w:t>
      </w:r>
    </w:p>
    <w:p>
      <w:pPr>
        <w:spacing w:after="0" w:line="225"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The graphic below shows the least square mean estimates for DUX4-driven gene expression from 11 FSHD primary cells and healthy cells treated with losmapimod presented as mean and 95% confidence intervals, which demonstrates that losmapimod reduced DUX4-driven gene expression, as measured by MBD3L2 and POLR2A transcript levels in a concentration-dependent manner.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DUX4-driven gene expression at increasing concentrations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152400</wp:posOffset>
            </wp:positionV>
            <wp:extent cx="3447415" cy="257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474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color w:val="auto"/>
        </w:rPr>
        <w:t>In our preclinical studies, we have also observed that treatment of FSHD patient-derived myotubes with losmapimod is highly specific for DUX4-driven gene expression. We conducted a study in which we measured the FSHD gene expression signature and observed a minimal impact on myogenesis when healthy human myotubes were treated with losmapimod. We treated FSHD cells with losmapimod for five days and a subsequent RNA-seq analysis revealed that only 89 transcripts (0.45%) out of approximately 20,000 protein coding genes were differentially expressed more than four-fold. Of these 89 differentially expressed transcripts, 90% were transcripts directly regulated by DUX4. We believe that this is strong evidence that the effects of losmapimod in affected skeletal muscle are highly specific for the treatment of the root cause of FSHD. Importantly, we did not observe changes in levels of myogenin, a transcriptional activator that promotes transcription of muscle-specific genes and plays a role in muscle differentiation, cell cycle exit and muscle atrophy, and observed minimal impact on other myogenic factors during myoblast differentiation into myotubes.</w:t>
      </w:r>
    </w:p>
    <w:p>
      <w:pPr>
        <w:spacing w:after="0" w:line="172"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auto"/>
        </w:rPr>
        <w:t>The graphic below depicts the gene expression signature in FSHD at increasing concentrations of losmapimod as compared to a high concentration of losmapimod in healthy wild type, or WT, myotubes.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graphic, darker pink tones indicate more gene expression and darker blue tones indicate less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148590</wp:posOffset>
            </wp:positionV>
            <wp:extent cx="5377180" cy="42792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7718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GSK observed concentrations of losmapimod in human plasma of 28.4 ng/mL to 74.1 ng/mL with an average of 50.5 ng/mL at a 15 mg twice per day dose in its clinical trials. In preclinical studies in animal models, we observed that losmapimod reached muscle tissue and engaged the p38a/b target in the muscle tissue. As shown below, we detected similar concentrations of losmapimod in rat plasma and muscle, and significant target engagement is observed at concentrations that we expect to achieve in clinical trials using a 15 mg twice per day dose.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p38a/b target engagement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152400</wp:posOffset>
            </wp:positionV>
            <wp:extent cx="3970655" cy="2778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706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We obtained further evidence that losmapimod distributed to muscle from a preclinical study in which GSK profiled distribution of losmapimod to all tissues in rats. Our review of this data similarly confirmed that muscles were well exposed to losmapimod.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Overview</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We began dosing in a Phase 1 clinical trial of losmapimod in healthy volunteers and patients with FSHD in Europe in February 2019 following the filing of a CTA in December 2018. We plan to conduct a randomized, double-blind placebo-controlled Phase 2b clinical trial with approximately 66 patients with FSHD to investigate whether oral administration of 15 mg of losmapimod twice per day reduces expression of DUX4-driven genes in affected skeletal muscle. We also plan to concurrently conduct an open label Phase 2 clinical trial in 16 patients with FSHD to investigate the safety and tolerability of 15 mg losmapimod twice per day for chronic use and to evaluate the ability of losmapimod to reduce expression of DUX4-driven genes in affected skeletal muscle over varying durations of treatment. We believe that a 15 mg twice per day dose of losmapimod is an appropriate dose for the treatment of patients with FSHD based on previous clinical data and p38a/b target engagement data generated by GSK and p38a/b target engagement data from our preclinical studies.</w:t>
      </w:r>
    </w:p>
    <w:p>
      <w:pPr>
        <w:spacing w:after="0" w:line="172"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We submitted a CTA in Europe for the open label Phase 2 clinical trial in April 2019 and submitted CTAs in Europe and Canada for the Phase 2b clinical trial in May 2019. The FDA accepted the IND in June 2019. We expect to initiate the randomized Phase 2b clinical trial and the open label Phase 2 clinical trial in mid-2019.</w:t>
      </w:r>
    </w:p>
    <w:p>
      <w:pPr>
        <w:spacing w:after="0" w:line="194"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auto"/>
        </w:rPr>
        <w:t>We are also conducting several preparatory non-drug studies to assess biomarker endpoints and clinical outcome assessments. In addition, we are participating in a natural history study that will follow 150 subjects with FSHD in the United States and 70 subjects in Europe over 18 months. We expect to utilize the data generated from our non-drug studies and the natural history study to inform discussions with regulatory agencies and future clinical trial design.</w:t>
      </w:r>
    </w:p>
    <w:p>
      <w:pPr>
        <w:spacing w:after="0" w:line="161"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We believe that the safety data from GSK's prior losmapimod clinical trials, together with safety and efficacy data from our Phase 1 and Phase 2 clinical trials, may enable us to apply for accelerated approval. We believe a treatment for FSHD may be eligible for accelerated approval because FSHD is a rare, slowly progressive and disabling disease with no approved treatments. We plan to discuss accelerated approval with regulatory agencies if we observe positive results in our Phase 2b clinical trial based on biomarker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endpoints that we believe are likely to predict clinical benefit. We also plan to apply for orphan drug designation for FSHD in the United States and Europe in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Development of Losmapimod by GSK</w:t>
      </w:r>
    </w:p>
    <w:p>
      <w:pPr>
        <w:spacing w:after="0" w:line="225"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plan to use a dose of 15 mg twice per day in our clinical trials of losmapimod in FSHD. GSK did not conduct a clinical trial of losmapimod in patients with FSHD or any other muscle disorder.</w:t>
      </w:r>
    </w:p>
    <w:p>
      <w:pPr>
        <w:spacing w:after="0" w:line="170" w:lineRule="exact"/>
        <w:rPr>
          <w:sz w:val="20"/>
          <w:szCs w:val="20"/>
          <w:color w:val="auto"/>
        </w:rPr>
      </w:pPr>
    </w:p>
    <w:p>
      <w:pPr>
        <w:jc w:val="both"/>
        <w:ind w:firstLine="424"/>
        <w:spacing w:after="0" w:line="291" w:lineRule="auto"/>
        <w:rPr>
          <w:sz w:val="20"/>
          <w:szCs w:val="20"/>
          <w:color w:val="auto"/>
        </w:rPr>
      </w:pPr>
      <w:r>
        <w:rPr>
          <w:rFonts w:ascii="Arial" w:cs="Arial" w:eastAsia="Arial" w:hAnsi="Arial"/>
          <w:sz w:val="16"/>
          <w:szCs w:val="16"/>
          <w:color w:val="auto"/>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17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The table below presents safety data from the largest placebo-controlled clinical trial of losmapimod, which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in the placebo group as compared to the losmapimod group. The data in the table below presents the SAEs reported by more than 0.5% of patients in any group in the trial through 24 weeks.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GSK's Phase 3 clinical trial of losmapimod in patients with acute coronary syndrome</w:t>
      </w:r>
    </w:p>
    <w:tbl>
      <w:tblPr>
        <w:tblLayout w:type="fixed"/>
        <w:tblInd w:w="1720" w:type="dxa"/>
        <w:tblCellMar>
          <w:top w:w="0" w:type="dxa"/>
          <w:left w:w="0" w:type="dxa"/>
          <w:bottom w:w="0" w:type="dxa"/>
          <w:right w:w="0" w:type="dxa"/>
        </w:tblCellMar>
      </w:tblPr>
      <w:tr>
        <w:trPr>
          <w:trHeight w:val="142"/>
        </w:trPr>
        <w:tc>
          <w:tcPr>
            <w:tcW w:w="6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1,752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N = 1,724</w:t>
            </w:r>
          </w:p>
        </w:tc>
      </w:tr>
      <w:tr>
        <w:trPr>
          <w:trHeight w:val="216"/>
        </w:trPr>
        <w:tc>
          <w:tcPr>
            <w:tcW w:w="6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(21.1)</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Cardiac disorders</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114 (6.5)</w:t>
            </w:r>
          </w:p>
        </w:tc>
        <w:tc>
          <w:tcPr>
            <w:tcW w:w="980" w:type="dxa"/>
            <w:vAlign w:val="bottom"/>
            <w:gridSpan w:val="3"/>
          </w:tcPr>
          <w:p>
            <w:pPr>
              <w:jc w:val="center"/>
              <w:ind w:left="92"/>
              <w:spacing w:after="0"/>
              <w:rPr>
                <w:sz w:val="20"/>
                <w:szCs w:val="20"/>
                <w:color w:val="auto"/>
              </w:rPr>
            </w:pPr>
            <w:r>
              <w:rPr>
                <w:rFonts w:ascii="Arial" w:cs="Arial" w:eastAsia="Arial" w:hAnsi="Arial"/>
                <w:sz w:val="18"/>
                <w:szCs w:val="18"/>
                <w:color w:val="auto"/>
                <w:w w:val="88"/>
              </w:rPr>
              <w:t>138 (8.0)</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Infections and infestations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ind w:left="2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ind w:left="20"/>
              <w:spacing w:after="0"/>
              <w:rPr>
                <w:sz w:val="20"/>
                <w:szCs w:val="20"/>
                <w:color w:val="auto"/>
              </w:rPr>
            </w:pPr>
            <w:r>
              <w:rPr>
                <w:rFonts w:ascii="Arial" w:cs="Arial" w:eastAsia="Arial" w:hAnsi="Arial"/>
                <w:sz w:val="18"/>
                <w:szCs w:val="18"/>
                <w:color w:val="auto"/>
              </w:rPr>
              <w:t>(2.4)</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disorders and administration site conditions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Renal and urinary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ind w:left="2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ind w:left="20"/>
              <w:spacing w:after="0"/>
              <w:rPr>
                <w:sz w:val="20"/>
                <w:szCs w:val="20"/>
                <w:color w:val="auto"/>
              </w:rPr>
            </w:pPr>
            <w:r>
              <w:rPr>
                <w:rFonts w:ascii="Arial" w:cs="Arial" w:eastAsia="Arial" w:hAnsi="Arial"/>
                <w:sz w:val="18"/>
                <w:szCs w:val="18"/>
                <w:color w:val="auto"/>
              </w:rPr>
              <w:t>(1.8)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Investigations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r>
      <w:tr>
        <w:trPr>
          <w:trHeight w:val="222"/>
        </w:trPr>
        <w:tc>
          <w:tcPr>
            <w:tcW w:w="6180" w:type="dxa"/>
            <w:vAlign w:val="bottom"/>
          </w:tcPr>
          <w:p>
            <w:pPr>
              <w:ind w:left="180"/>
              <w:spacing w:after="0"/>
              <w:rPr>
                <w:sz w:val="20"/>
                <w:szCs w:val="20"/>
                <w:color w:val="auto"/>
              </w:rPr>
            </w:pPr>
            <w:r>
              <w:rPr>
                <w:rFonts w:ascii="Arial" w:cs="Arial" w:eastAsia="Arial" w:hAnsi="Arial"/>
                <w:sz w:val="18"/>
                <w:szCs w:val="18"/>
                <w:color w:val="auto"/>
              </w:rPr>
              <w:t>Musculoskeletal and connective tissue disorders</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ind w:left="20"/>
              <w:spacing w:after="0"/>
              <w:rPr>
                <w:sz w:val="20"/>
                <w:szCs w:val="20"/>
                <w:color w:val="auto"/>
              </w:rPr>
            </w:pPr>
            <w:r>
              <w:rPr>
                <w:rFonts w:ascii="Arial" w:cs="Arial" w:eastAsia="Arial" w:hAnsi="Arial"/>
                <w:sz w:val="18"/>
                <w:szCs w:val="18"/>
                <w:color w:val="auto"/>
              </w:rPr>
              <w:t>(0.8)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ind w:left="20"/>
              <w:spacing w:after="0"/>
              <w:rPr>
                <w:sz w:val="20"/>
                <w:szCs w:val="20"/>
                <w:color w:val="auto"/>
              </w:rPr>
            </w:pPr>
            <w:r>
              <w:rPr>
                <w:rFonts w:ascii="Arial" w:cs="Arial" w:eastAsia="Arial" w:hAnsi="Arial"/>
                <w:sz w:val="18"/>
                <w:szCs w:val="18"/>
                <w:color w:val="auto"/>
              </w:rPr>
              <w:t>(1.5)</w:t>
            </w:r>
          </w:p>
        </w:tc>
      </w:tr>
    </w:tbl>
    <w:p>
      <w:pPr>
        <w:spacing w:after="0" w:line="20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There were also ten fatal SAEs in the placebo group and 13 fatal SAEs in the losmapimod group. In the placebo group, the fatal SAEs were infections and infestations (two), general disorders and administrative site conditions (two), respiratory, thoracic and mediastinal disorders (three), cardiac disorder (one), gastrointestinal disorder (one) and neoplasm (one). In the losmapimod group, the fatal SAEs were infections and infestations (four), general disorders and administrative site conditions (three), respiratory, thoracic and mediastinal disorders (two), cardiac disorder (one), injury poisoning and procedural complications (one), gastrointestinal disorder (one) and neoplasm (one).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8"/>
        <w:spacing w:after="0" w:line="332" w:lineRule="auto"/>
        <w:rPr>
          <w:sz w:val="20"/>
          <w:szCs w:val="20"/>
          <w:color w:val="auto"/>
        </w:rPr>
      </w:pPr>
      <w:r>
        <w:rPr>
          <w:rFonts w:ascii="Arial" w:cs="Arial" w:eastAsia="Arial" w:hAnsi="Arial"/>
          <w:sz w:val="16"/>
          <w:szCs w:val="16"/>
          <w:color w:val="auto"/>
        </w:rPr>
        <w:t>The following table presents SAEs reported during treatment from a total of 11 Phase 1 and Phase 2 placebo-controlled clinical trials of losmapimod with repeat dosing for which GSK reported integrated data. The 11 trials presented include three of the 14 trials in which no SAEs were reported.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11 clinical trials of losmapimod conducted by GSK</w:t>
      </w:r>
    </w:p>
    <w:tbl>
      <w:tblPr>
        <w:tblLayout w:type="fixed"/>
        <w:tblInd w:w="1720" w:type="dxa"/>
        <w:tblCellMar>
          <w:top w:w="0" w:type="dxa"/>
          <w:left w:w="0" w:type="dxa"/>
          <w:bottom w:w="0" w:type="dxa"/>
          <w:right w:w="0" w:type="dxa"/>
        </w:tblCellMar>
      </w:tblPr>
      <w:tr>
        <w:trPr>
          <w:trHeight w:val="142"/>
        </w:trPr>
        <w:tc>
          <w:tcPr>
            <w:tcW w:w="62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 = 735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 = 1,327</w:t>
            </w:r>
          </w:p>
        </w:tc>
      </w:tr>
      <w:tr>
        <w:trPr>
          <w:trHeight w:val="216"/>
        </w:trPr>
        <w:tc>
          <w:tcPr>
            <w:tcW w:w="6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47 (6)</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120 (9)</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Cardiac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17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41 (3)</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26 (2)</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Infections and infestations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7 (&lt;1)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14 (1)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disorders and administrative site conditions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13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Nervous system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5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10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Injury, poisoning and procedural complications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11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Gastrointestinal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7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Vascular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5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Renal and urinary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Musculoskeletal and connective tissue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Skin and subcutaneous tissue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Hepatobiliary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Psychiatric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3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Neoplasms (benign, malignant and unspecified)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Blood and lymphatic system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1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Immune system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2"/>
              </w:rPr>
              <w:t>1 (&lt;1)</w:t>
            </w:r>
          </w:p>
        </w:tc>
      </w:tr>
      <w:tr>
        <w:trPr>
          <w:trHeight w:val="222"/>
        </w:trPr>
        <w:tc>
          <w:tcPr>
            <w:tcW w:w="6280" w:type="dxa"/>
            <w:vAlign w:val="bottom"/>
          </w:tcPr>
          <w:p>
            <w:pPr>
              <w:ind w:left="180"/>
              <w:spacing w:after="0"/>
              <w:rPr>
                <w:sz w:val="20"/>
                <w:szCs w:val="20"/>
                <w:color w:val="auto"/>
              </w:rPr>
            </w:pPr>
            <w:r>
              <w:rPr>
                <w:rFonts w:ascii="Arial" w:cs="Arial" w:eastAsia="Arial" w:hAnsi="Arial"/>
                <w:sz w:val="18"/>
                <w:szCs w:val="18"/>
                <w:color w:val="auto"/>
              </w:rPr>
              <w:t>Metabolism and nutrition disorders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92"/>
              </w:rPr>
              <w:t>1 (&lt;1)</w:t>
            </w:r>
          </w:p>
        </w:tc>
      </w:tr>
    </w:tbl>
    <w:p>
      <w:pPr>
        <w:spacing w:after="0" w:line="201" w:lineRule="exact"/>
        <w:rPr>
          <w:sz w:val="20"/>
          <w:szCs w:val="20"/>
          <w:color w:val="auto"/>
        </w:rPr>
      </w:pPr>
    </w:p>
    <w:p>
      <w:pPr>
        <w:jc w:val="both"/>
        <w:ind w:firstLine="397"/>
        <w:spacing w:after="0" w:line="287" w:lineRule="auto"/>
        <w:rPr>
          <w:sz w:val="20"/>
          <w:szCs w:val="20"/>
          <w:color w:val="auto"/>
        </w:rPr>
      </w:pPr>
      <w:r>
        <w:rPr>
          <w:rFonts w:ascii="Arial" w:cs="Arial" w:eastAsia="Arial" w:hAnsi="Arial"/>
          <w:sz w:val="16"/>
          <w:szCs w:val="16"/>
          <w:color w:val="auto"/>
        </w:rPr>
        <w:t>This table includes safety data from the second largest clinical trial of losmapimod, which was a placebo-controlled Phase 2 clinical trial of losmapimod in patients with COPD, in which 602 adult patients were given with 2.5 mg, 7.5 mg or 15 mg of losmapimod or placebo twice per day for 24 weeks and were followed for an additional week. In this trial, GSK observed a similar proportion of AEs in the placebo group as compared to the losmapimod group. Additionally, in this trial there were three fatal SAEs in the placebo group due to severe exacerbation of COPD, acute myocardial infarction and pulmonary embolism, one fatal SAE in the losmapimod 7.5 mg group due to acute myocardial infarction and associated pulmonary edema and two fatal SAEs in the 15 mg group due to respiratory failure and bilateral purulent pleuritis and mediastinitis. The most common SAE observed in the trial was exacerbation of COPD, which was experienced by eight subjects in the placebo group, six subjects in the losmapimod 2.5 mg group, two subjects in the losmapimod 7.5 mg group and three subjects in the losmapimod 15 mg group. Other SAEs in the placebo group included a liver event, eczema, leukoplakia, sinobronchitis and anxiety. Other SAEs in the losmapimod groups included two subjects with liver events, one subject with eczema and leukoplakia, one subject with pyrexia and one subject with pemphigoid.</w:t>
      </w:r>
    </w:p>
    <w:p>
      <w:pPr>
        <w:spacing w:after="0" w:line="177"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auto"/>
        </w:rPr>
        <w:t>In addition to the trials and data summarized above, GSK also conducted a placebo-controlled Phase 2 clinical trial in which 184 adult patients with frequently exacerbating COPD were given 15 mg of losmapimod or placebo twice per day for up to 52 weeks. In this trial, the proportion of subjects with AEs and SAEs was higher in the losmapimod group than in the placebo group; there was one fatal SAE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placebo group and three fatal SAEs in the losmapimod group, none of which was considered related to losmapimod. The data in the table below presents the SAEs reported in the trial.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Safety data from GSK's Phase 2 clinical trial of losmapimod in patients with COPD</w:t>
      </w:r>
    </w:p>
    <w:tbl>
      <w:tblPr>
        <w:tblLayout w:type="fixed"/>
        <w:tblInd w:w="1720" w:type="dxa"/>
        <w:tblCellMar>
          <w:top w:w="0" w:type="dxa"/>
          <w:left w:w="0" w:type="dxa"/>
          <w:bottom w:w="0" w:type="dxa"/>
          <w:right w:w="0" w:type="dxa"/>
        </w:tblCellMar>
      </w:tblPr>
      <w:tr>
        <w:trPr>
          <w:trHeight w:val="142"/>
        </w:trPr>
        <w:tc>
          <w:tcPr>
            <w:tcW w:w="63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Placebo</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Losmapimod</w:t>
            </w:r>
          </w:p>
        </w:tc>
      </w:tr>
      <w:tr>
        <w:trPr>
          <w:trHeight w:val="210"/>
        </w:trPr>
        <w:tc>
          <w:tcPr>
            <w:tcW w:w="63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 = 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 = 90</w:t>
            </w:r>
          </w:p>
        </w:tc>
      </w:tr>
      <w:tr>
        <w:trPr>
          <w:trHeight w:val="216"/>
        </w:trPr>
        <w:tc>
          <w:tcPr>
            <w:tcW w:w="63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Any SAE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 (9%)</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0"/>
              </w:rPr>
              <w:t>18 (20%)</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Respiratory, thoracic and mediastinal disorders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7 (8)</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Cardiac disorders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(3)</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1"/>
              </w:rPr>
              <w:t>4 (4)</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Infections and infestations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 (1)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6 (7)</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Injury, poisoning and procedural complications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1"/>
              </w:rPr>
              <w:t>2 (2)</w:t>
            </w:r>
          </w:p>
        </w:tc>
      </w:tr>
      <w:tr>
        <w:trPr>
          <w:trHeight w:val="222"/>
        </w:trPr>
        <w:tc>
          <w:tcPr>
            <w:tcW w:w="6380" w:type="dxa"/>
            <w:vAlign w:val="bottom"/>
          </w:tcPr>
          <w:p>
            <w:pPr>
              <w:ind w:left="180"/>
              <w:spacing w:after="0"/>
              <w:rPr>
                <w:sz w:val="20"/>
                <w:szCs w:val="20"/>
                <w:color w:val="auto"/>
              </w:rPr>
            </w:pPr>
            <w:r>
              <w:rPr>
                <w:rFonts w:ascii="Arial" w:cs="Arial" w:eastAsia="Arial" w:hAnsi="Arial"/>
                <w:sz w:val="18"/>
                <w:szCs w:val="18"/>
                <w:color w:val="auto"/>
              </w:rPr>
              <w:t>Neoplasms (benign, malignant and unspecified)</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91"/>
              </w:rPr>
              <w:t>1 (1)</w:t>
            </w:r>
          </w:p>
        </w:tc>
      </w:tr>
    </w:tbl>
    <w:p>
      <w:pPr>
        <w:spacing w:after="0" w:line="201"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auto"/>
        </w:rPr>
        <w:t>In addition to the 24 trials conducted by GSK, another sponsor conducted a placebo-controlled Phase 2 clinical trial of losmapimod in which 73 subjects with COPD with cardiovascular manifestations were treated with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197" w:lineRule="exact"/>
        <w:rPr>
          <w:sz w:val="20"/>
          <w:szCs w:val="20"/>
          <w:color w:val="auto"/>
        </w:rPr>
      </w:pPr>
    </w:p>
    <w:p>
      <w:pPr>
        <w:jc w:val="both"/>
        <w:ind w:firstLine="366"/>
        <w:spacing w:after="0" w:line="294" w:lineRule="auto"/>
        <w:rPr>
          <w:sz w:val="20"/>
          <w:szCs w:val="20"/>
          <w:color w:val="auto"/>
        </w:rPr>
      </w:pPr>
      <w:r>
        <w:rPr>
          <w:rFonts w:ascii="Arial" w:cs="Arial" w:eastAsia="Arial" w:hAnsi="Arial"/>
          <w:sz w:val="16"/>
          <w:szCs w:val="16"/>
          <w:color w:val="auto"/>
        </w:rPr>
        <w:t xml:space="preserve">In prior studies, GSK observed that the p38a/b target inhibition in humans was approximately 10%, 30% and 50% at trough and 40%, 60% and 70% at peak following twice per day doses of 2.5 mg, 7.5 mg and 15 mg, respectively. In addition, based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from our studies in FSHD myotubes with losmapimod, we believe that the muscle exposures that we have achieved in rodents, which are similar to concentrations in human blood from the 15 mg twice per day dose, will result in robust p38a/b target engagement and will reduce DUX4-driven gene expression in FSHD skeletal muscle by more than 50%. We believe that this data supports our determination that 15 mg of losmapimod twice per day is an appropriate dose for the treatment of patients with FSHD.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8920"/>
        <w:spacing w:after="0"/>
        <w:rPr>
          <w:sz w:val="20"/>
          <w:szCs w:val="20"/>
          <w:color w:val="auto"/>
        </w:rPr>
      </w:pPr>
      <w:r>
        <w:rPr>
          <w:rFonts w:ascii="Arial" w:cs="Arial" w:eastAsia="Arial" w:hAnsi="Arial"/>
          <w:sz w:val="16"/>
          <w:szCs w:val="16"/>
          <w:i w:val="1"/>
          <w:iCs w:val="1"/>
          <w:color w:val="auto"/>
        </w:rPr>
        <w:t>Our Clinical Development Strategy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Preparatory Studies</w:t>
      </w:r>
    </w:p>
    <w:p>
      <w:pPr>
        <w:spacing w:after="0" w:line="225"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There are currently four ongoing preparatory studies designed to inform molecular biomarker and clinical development efficacy endpoints for planned clinical trials of losmapimod in patients with FSHD.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Subjects</w:t>
            </w: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Study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(Planned)</w:t>
            </w:r>
          </w:p>
        </w:tc>
        <w:tc>
          <w:tcPr>
            <w:tcW w:w="160" w:type="dxa"/>
            <w:vAlign w:val="bottom"/>
          </w:tcPr>
          <w:p>
            <w:pPr>
              <w:spacing w:after="0"/>
              <w:rPr>
                <w:sz w:val="14"/>
                <w:szCs w:val="14"/>
                <w:color w:val="auto"/>
              </w:rPr>
            </w:pPr>
          </w:p>
        </w:tc>
        <w:tc>
          <w:tcPr>
            <w:tcW w:w="3920" w:type="dxa"/>
            <w:vAlign w:val="bottom"/>
          </w:tcPr>
          <w:p>
            <w:pPr>
              <w:ind w:left="1280"/>
              <w:spacing w:after="0"/>
              <w:rPr>
                <w:sz w:val="20"/>
                <w:szCs w:val="20"/>
                <w:color w:val="auto"/>
              </w:rPr>
            </w:pPr>
            <w:r>
              <w:rPr>
                <w:rFonts w:ascii="Arial" w:cs="Arial" w:eastAsia="Arial" w:hAnsi="Arial"/>
                <w:sz w:val="14"/>
                <w:szCs w:val="14"/>
                <w:b w:val="1"/>
                <w:bCs w:val="1"/>
                <w:color w:val="auto"/>
              </w:rPr>
              <w:t>Description / Endpoints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Biomarker Preparatory Study (Fulcrum SRA 002-2018)</w:t>
            </w: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18</w:t>
            </w:r>
          </w:p>
        </w:tc>
        <w:tc>
          <w:tcPr>
            <w:tcW w:w="40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DUX4-driven gene expression in skeletal muscle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whole-body skeletal muscle MRI</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auto"/>
              </w:rPr>
              <w:t>Optimized Time Up and Go Test Preparatory Study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w w:val="96"/>
              </w:rPr>
              <w:t>Optimized time up and go test for FSHD, or FSHD-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(Fulcrum SRA 003-2018)</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TUG</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Patient Input (Fulcrum SRA 004-2018)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 patient input into the Phase 2b clinical trial</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auto"/>
              </w:rPr>
              <w:t>ReSOLVE Natural History Study (NIH) and Reachable</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Work Space (Fulcrum SRA 003-2017)</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 Natural History Study and Reachable Work Space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history study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(SRA 003-2017)</w:t>
            </w: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Reachable work space</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Biomarker Preparatory Study (Fulcrum SRA 002-2018)</w:t>
      </w:r>
    </w:p>
    <w:p>
      <w:pPr>
        <w:spacing w:after="0" w:line="225"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We designed this preparatory study to investigate, inform and optimize the DUX4-driven gene expression and MRI efficacy biomarker endpoints that we intend to use in clinical trials of losmapimod. We are evaluating 18 subjects at seven clinical sites. We completed enrollment in May 2019 and will use the data to inform our planned Phase 2 trials of losmapimod for the treatment of FSHD.</w:t>
      </w:r>
    </w:p>
    <w:p>
      <w:pPr>
        <w:spacing w:after="0" w:line="194" w:lineRule="exact"/>
        <w:rPr>
          <w:sz w:val="20"/>
          <w:szCs w:val="20"/>
          <w:color w:val="auto"/>
        </w:rPr>
      </w:pPr>
    </w:p>
    <w:p>
      <w:pPr>
        <w:jc w:val="both"/>
        <w:ind w:firstLine="537"/>
        <w:spacing w:after="0" w:line="255" w:lineRule="auto"/>
        <w:rPr>
          <w:sz w:val="20"/>
          <w:szCs w:val="20"/>
          <w:color w:val="auto"/>
        </w:rPr>
      </w:pPr>
      <w:r>
        <w:rPr>
          <w:rFonts w:ascii="Arial" w:cs="Arial" w:eastAsia="Arial" w:hAnsi="Arial"/>
          <w:sz w:val="18"/>
          <w:szCs w:val="18"/>
          <w:color w:val="auto"/>
        </w:rPr>
        <w:t>This preparatory study is designed to measure aberrant DUX4-driven gene expression in affected skeletal muscle via a subset of DUX4-driven gene transcripts in order to develop a molecular muscle endpoint designed to track the root cause of disease. We are using MRI to inform affected leg muscles selected for biopsy. We believe that the measurement could be a primary endpoint in a clinical trial to support accelerated approval of losmapimod for FSHD. We are also using whole-body MRI scans one to three months apart to evaluate changes in skeletal muscle health (lean muscle tissue volume and muscle tissue replaced by fat).</w:t>
      </w:r>
    </w:p>
    <w:p>
      <w:pPr>
        <w:spacing w:after="0" w:line="197" w:lineRule="exact"/>
        <w:rPr>
          <w:sz w:val="20"/>
          <w:szCs w:val="20"/>
          <w:color w:val="auto"/>
        </w:rPr>
      </w:pPr>
    </w:p>
    <w:p>
      <w:pPr>
        <w:jc w:val="both"/>
        <w:ind w:right="20" w:firstLine="367"/>
        <w:spacing w:after="0" w:line="332" w:lineRule="auto"/>
        <w:rPr>
          <w:sz w:val="20"/>
          <w:szCs w:val="20"/>
          <w:color w:val="auto"/>
        </w:rPr>
      </w:pPr>
      <w:r>
        <w:rPr>
          <w:rFonts w:ascii="Arial" w:cs="Arial" w:eastAsia="Arial" w:hAnsi="Arial"/>
          <w:sz w:val="16"/>
          <w:szCs w:val="16"/>
          <w:color w:val="auto"/>
        </w:rPr>
        <w:t>The subjects have clinical severity scores of two to four on the Ricci scale, which is the clinical impairment disability scale for patients with FSHD, where a zero indicates that a subject has no disability and five indicates that a subject is permanently dependent upon the use of a wheelchair for daily mobility activities.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Optimized Time Up and Go Test Preparatory Study (Fulcrum SRA 003-2018)</w:t>
      </w:r>
    </w:p>
    <w:p>
      <w:pPr>
        <w:spacing w:after="0" w:line="225"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auto"/>
        </w:rPr>
        <w:t>We are evaluating a modified version of the classic time up and go, or classic TUG, test that we are optimizing as a clinical outcome assessment of mobility and ambulation, which we refer to as the FSHD-TUG test. The classic TUG test requires patients to get up from a chair, walk three meters, turn around, walk back to the chair and sit down. It was originally developed for clinical practice to assess mobility, balance, walking ability and fall risk in older adults prior to discharge from hospitalization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was used recently as a key secondary efficacy endpoint in a registration trial in multiple sclerosis in Europe. The classic TUG test is also one of the clinical outcome assessments in the ReSOLVE natural history study discussed below.</w:t>
      </w:r>
    </w:p>
    <w:p>
      <w:pPr>
        <w:spacing w:after="0" w:line="186"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While we believe that the classic TUG test is a valid, reliable and objective test to quantify functional mobility in all age groups, we believe that a minor modification, asking patients to get up from a standardized bed, will be more appropriate for FSHD patients. We believe that the FSHD-TUG test may be more sensitive to measure treatment effects in patients with FSHD. Patients with FSHD generally have a difficult time rising from a chair and even more so from a recumbent position and this difficulty progresses over time. Patients with FSHD report that limitations in mobility and in the use of the shoulders and upper arms are the two most important areas of concern. The FSHD-TUG test may be a useful clinical outcome assessment endpoint for measurement of treatment effects of losmapimod on mobility.</w:t>
      </w:r>
    </w:p>
    <w:p>
      <w:pPr>
        <w:spacing w:after="0" w:line="198"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We are currently testing the FSHD-TUG test in comparison to the classic TUG test in a group of 22 subjects with FSHD and in 20 healthy volunteers who are age and gender matched. The subjects will have clinical severity scores of one to four on the Ricci scale. We are evaluating the subjects in five visits over approximately 12 months.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 Patient Input (Fulcrum SRA 004-2018)</w:t>
      </w:r>
    </w:p>
    <w:p>
      <w:pPr>
        <w:spacing w:after="0" w:line="225"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auto"/>
        </w:rPr>
        <w:t>We are also seeking to obtain direct patient input into the design and feasibility of our planned Phase 2b clinical trial by having approximately 100 patients with FSHD complete a survey based on their review of the proposed schedule of clinical outcome assessments for the trial. The patients will provide their views on their willingness to participate and any potential barriers to their participation in our planned Phase 2b clinical trial. We conduct these surveys during a face-to-face interview in clinics in the United States and France, via an internet survey for members of an FSHD registry in the United Kingdom and through in-person groups in Canada. We have the ability to refine the protocol for our Phase 2b clinical trial to reflect the feedback from patients.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ReSOLVE Natural History Study</w:t>
      </w:r>
    </w:p>
    <w:p>
      <w:pPr>
        <w:spacing w:after="0" w:line="225"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approximately 150 subjects for 18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approximately 70 subjects for 18 months. As of April 2019, over 130 subjects have been enrolled.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72"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In connection with the ReSOLVE study, we have funded the addition of a clinical outcome assessment, which we refer to as reachable work space, or RWS. RWS is an objective assessment of upper arm function in a quantitative manner by measuring arm and shoulder mobility with and without weights. A hallmark of FSHD progression is weakness in the shoulder muscles and upper arms that eventually leads to an inability of patients to lift their arms above their shoulders. The RWS assessments are analyzed by a central reader. We have provided standardized hardware, software, and testing conditions to evaluate RWS at eight sites that are part of the ReSOLVE study in the United States and at three European sites. To date, we have collected over 200 RWS assessments in the study.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Clinical Trial</w:t>
      </w:r>
    </w:p>
    <w:p>
      <w:pPr>
        <w:spacing w:after="0" w:line="225" w:lineRule="exact"/>
        <w:rPr>
          <w:sz w:val="20"/>
          <w:szCs w:val="20"/>
          <w:color w:val="auto"/>
        </w:rPr>
      </w:pPr>
    </w:p>
    <w:p>
      <w:pPr>
        <w:jc w:val="both"/>
        <w:ind w:firstLine="420"/>
        <w:spacing w:after="0" w:line="332" w:lineRule="auto"/>
        <w:rPr>
          <w:sz w:val="20"/>
          <w:szCs w:val="20"/>
          <w:color w:val="auto"/>
        </w:rPr>
      </w:pPr>
      <w:r>
        <w:rPr>
          <w:rFonts w:ascii="Arial" w:cs="Arial" w:eastAsia="Arial" w:hAnsi="Arial"/>
          <w:sz w:val="16"/>
          <w:szCs w:val="16"/>
          <w:color w:val="auto"/>
        </w:rPr>
        <w:t>We are conducting a randomized Phase 1 clinical trial of losmapimod in healthy adult volunteers and patients with FSHD in Europe under a CTA that we filed in December 2018. We expect that this trial will be completed in 2019. We intend to present data in the fourth quarter of 2019 at a scientific conference.</w:t>
      </w:r>
    </w:p>
    <w:p>
      <w:pPr>
        <w:spacing w:after="0" w:line="139"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color w:val="auto"/>
        </w:rPr>
        <w:t>In this trial, we have dosed eight healthy volunteers with 7.5 mg of losmapimod capsules, followed by a washout period, and subsequently dosed the same volunteers with a 15 mg dose of losmapimod capsules. As part of this trial, we have also dosed two healthy volunteers with placebo capsules in both periods. Consistent with the extensive data that we in-licensed from GSK, losmapimod has been well tolerated in this trial.</w:t>
      </w:r>
    </w:p>
    <w:p>
      <w:pPr>
        <w:spacing w:after="0" w:line="161"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Following the completion of the healthy volunteer cohort, we began dosing patients with FSHD in April 2019. We plan to enroll up to 20 patients in this trial. This trial is designed to obtain safety and tolerability of losmapimod in patients with FSHD. Patients are being randomized across three arms of 7.5 mg or 15 mg of losmapimod capsules or placebo twice per day for 14 days. We also intend to compare p38a/b target engagement in skeletal muscle of patients treated with a dose of 7.5 mg and 15 mg of losmapimod twice per day relative to that of patients on placebo. We aim to confirm that 15 mg twice per day is the appropriate dose for our Phase 2 trials based on higher muscle exposures and target engagement than the 7.5 mg twice per day dose. We will measure target engagement and other biomarkers in muscle needle biopsies before and after two weeks of treatment.</w:t>
      </w:r>
    </w:p>
    <w:p>
      <w:pPr>
        <w:spacing w:after="0" w:line="174" w:lineRule="exact"/>
        <w:rPr>
          <w:sz w:val="20"/>
          <w:szCs w:val="20"/>
          <w:color w:val="auto"/>
        </w:rPr>
      </w:pPr>
    </w:p>
    <w:p>
      <w:pPr>
        <w:jc w:val="both"/>
        <w:ind w:firstLine="419"/>
        <w:spacing w:after="0" w:line="298" w:lineRule="auto"/>
        <w:rPr>
          <w:sz w:val="20"/>
          <w:szCs w:val="20"/>
          <w:color w:val="auto"/>
        </w:rPr>
      </w:pPr>
      <w:r>
        <w:rPr>
          <w:rFonts w:ascii="Arial" w:cs="Arial" w:eastAsia="Arial" w:hAnsi="Arial"/>
          <w:sz w:val="16"/>
          <w:szCs w:val="16"/>
          <w:color w:val="auto"/>
        </w:rPr>
        <w:t>We manufactured the losmapimod capsules for this trial prior to our license agreement with GSK. For our Phase 2 clinical trials, we will use losmapimod tablets that were manufactured by GSK. We confirmed that the PK of the losmapimod capsules were consistent with published data on the PK of the losmapimod tablets manufactured by GSK. In this trial, we are also confirming that the p38a/b target engagement in blood from our losmapimod capsules is consistent with the previous data on target engagement of the losmapimod tablets manufactured by GSK.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2b Clinical Trial</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plan to initiate a randomized, double-blind, placebo-controlled Phase 2b clinical trial in approximately 66 patients with FSHD1 and clinical severity scores of two to four on the Ricci scale. In this trial, we will evaluate treatment with 15 mg of losmapimod or placebo tablets twice per day over a 24-week period. Patients will be randomized 1:1 between the treatment and placebo arms. The FDA accepted the IND for losmapimod in June 2019, and we also submitted CTAs in May 2019 to conduct the trial at sites in Europe and Canada and expect to initiate this trial in mid-2019.</w:t>
      </w:r>
    </w:p>
    <w:p>
      <w:pPr>
        <w:spacing w:after="0" w:line="167"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The primary endpoint will be the reduction of DUX4-driven gene expression in affected skeletal muscle biopsies before treatment and after approximately 16 weeks of treatment. We selected the number of patients to enroll in this trial based on the magnitude of reduction of DUX4-driven gene expression that we have observed in our preclinical studies using losmapimod concentrations similar to those measured when dosing with 15 mg twice per day in clinical trials completed by GSK.</w:t>
      </w:r>
    </w:p>
    <w:p>
      <w:pPr>
        <w:spacing w:after="0" w:line="197" w:lineRule="exact"/>
        <w:rPr>
          <w:sz w:val="20"/>
          <w:szCs w:val="20"/>
          <w:color w:val="auto"/>
        </w:rPr>
      </w:pPr>
    </w:p>
    <w:p>
      <w:pPr>
        <w:jc w:val="both"/>
        <w:ind w:firstLine="482"/>
        <w:spacing w:after="0" w:line="298" w:lineRule="auto"/>
        <w:rPr>
          <w:sz w:val="20"/>
          <w:szCs w:val="20"/>
          <w:color w:val="auto"/>
        </w:rPr>
      </w:pPr>
      <w:r>
        <w:rPr>
          <w:rFonts w:ascii="Arial" w:cs="Arial" w:eastAsia="Arial" w:hAnsi="Arial"/>
          <w:sz w:val="16"/>
          <w:szCs w:val="16"/>
          <w:color w:val="auto"/>
        </w:rPr>
        <w:t>Secondary endpoints of the trial will include evaluation of safety and tolerability in FSHD patients, PK in blood, losmapimod concentration in skeletal muscle biopsies, and p38a/b target engagement in blood and in muscle biopsies. This trial will also include evaluation of exploratory efficacy endpoints including MRI biomarkers and clinical outcome assessments. The clinical outcome assessments include centrally read RWS, FSHD-TUG test and patient-reported outcomes and muscle strength measured by quantitative dynamometry and motor function ability measurements obtained by physical therapists.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148590</wp:posOffset>
            </wp:positionV>
            <wp:extent cx="5711190" cy="22898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11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Open Label Clinical Trial</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parallel with the Phase 2b clinical trial, we also plan to initiate enrollment in mid-2019 for an open label, single site Phase 2 clinical trial of losmapimod in 16 patients with FSHD1 and clinical severity scores of two to four on the Ricci scale. Patients will receive tablets containing 15 mg of losmapimod twice per day for up to 52 weeks. The treatment period will be preceded by eight weeks of pre-treatment assessments to establish a baseline for musculoskeletal MRI biomarkers and clinical outcome assessments. We filed a CTA for this trial in April 2019 and plan to conduct the trial at one site in the Netherlands.</w:t>
      </w:r>
    </w:p>
    <w:p>
      <w:pPr>
        <w:spacing w:after="0" w:line="167"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auto"/>
        </w:rPr>
        <w:t>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p38a/b during the dosing period. This trial is also designed to provide initial data regarding changes in DUX4-driven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19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will measure DUX4-driven gene expression before and during treatment using muscle needle biopsies in affected muscles. All patients will have a pre-treatment biopsy and we will obtain a second muscle needle biopsy from each patient, with half of the patients undergoing a biopsy after four weeks of treatment and the remaining half after approximately 40 weeks of treatment.</w:t>
      </w:r>
    </w:p>
    <w:p>
      <w:pPr>
        <w:spacing w:after="0" w:line="194"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auto"/>
        </w:rPr>
        <w:t>We will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will be RWS, FSHD-TUG, muscle strength, motor function ability and generic and FSHD-specific patient reports of quality of life and activities of daily living. There will also be an assessment of day-to-day mobility using wearable sensors.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graphic below presents the design of the Phase 2 open label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148590</wp:posOffset>
            </wp:positionV>
            <wp:extent cx="5685790" cy="23666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8579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Research</w:t>
      </w:r>
    </w:p>
    <w:p>
      <w:pPr>
        <w:spacing w:after="0" w:line="22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auto"/>
        </w:rPr>
        <w:t>We engaged Clarion Healthcare, LLC to conduct market research with physicians and payors to better understand the commercial landscape and to assist in our commercial planning. A total of 14 physicians in the United States, European Union and Asia and nine payors and payor experts in the United States and European Union were surveyed. Both groups acknowledged the severity of the disease and lack of any existing therapies for patients. Physicians were asked their views on potentially prescribing a small molecule product candidate that effectively repressed DUX4 gene expression in skeletal muscle and resulted in the preservation of muscle function. Based on an April 2018 report prepared by Clarion, we believe that physicians would be receptive to prescribing a product with these qualities, subject to the efficacy and safety of the product, due to the chronic nature of the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Hemoglobinopathies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Hemoglobinopathies are a category of genetic disorders affecting RBCs. We intend to develop FTX-HbF to elevate the level of fetal hemoglobin for the treatment of patients with certain hemoglobinopathies, namely sickle cell disease and for certain types of b-thalassemia.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Sickle Cell Disease</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Sickle cell disease is a genetic disorder of RBCs. 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167" w:lineRule="exact"/>
        <w:rPr>
          <w:sz w:val="20"/>
          <w:szCs w:val="20"/>
          <w:color w:val="auto"/>
        </w:rPr>
      </w:pPr>
    </w:p>
    <w:p>
      <w:pPr>
        <w:jc w:val="both"/>
        <w:ind w:right="20" w:firstLine="529"/>
        <w:spacing w:after="0" w:line="306" w:lineRule="auto"/>
        <w:rPr>
          <w:sz w:val="20"/>
          <w:szCs w:val="20"/>
          <w:color w:val="auto"/>
        </w:rPr>
      </w:pPr>
      <w:r>
        <w:rPr>
          <w:rFonts w:ascii="Arial" w:cs="Arial" w:eastAsia="Arial" w:hAnsi="Arial"/>
          <w:sz w:val="16"/>
          <w:szCs w:val="16"/>
          <w:color w:val="auto"/>
        </w:rPr>
        <w:t>In the United States, where newborn screening for SCD is mandatory, the estimated prevalence is approximately 100,000 individuals. In Europe, the estimated prevalence is approximately 134,000 individuals according to the European Medicines Agency, or EMA. According to the World Health Organization, the global incidence is estimated to be approximately 300,000 births annually. SCD is most prevalent in Africa and the Middle East.</w:t>
      </w:r>
    </w:p>
    <w:p>
      <w:pPr>
        <w:spacing w:after="0" w:line="16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While treatment with L-glutamine decreases the mean number of pain crises, side effects include nausea, noncardiac chest pain, fatigue, and musculoskeletal pain.</w:t>
      </w:r>
    </w:p>
    <w:p>
      <w:pPr>
        <w:spacing w:after="0" w:line="167" w:lineRule="exact"/>
        <w:rPr>
          <w:sz w:val="20"/>
          <w:szCs w:val="20"/>
          <w:color w:val="auto"/>
        </w:rPr>
      </w:pPr>
    </w:p>
    <w:p>
      <w:pPr>
        <w:jc w:val="both"/>
        <w:ind w:firstLine="527"/>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While multiple experimental approaches to treat SCD are being explored in clinical trials, the majority are focused on symptomatic relief or gene therapy approaches. Symptomatic approaches under investigation aim to affect issues associated with cell adhesion, sickling, thrombosis and iron homeostasis. We anticipate that a novel orally available therapy that affects the root cause of SCD may be used in combination with symptomatic therapeutics. Novartis AG, or Novartis, Global Blood Therapeutics, Inc. and GlycoMimetics Inc. in collaboration with Pfizer, Inc. are conducting late stage clinical trials aiming to provide symptomatic relief for patients with SCD. Several gene therapy approaches to treat SCD are focused on elevating fetal hemoglobin,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fetal hemoglobin.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SCD Biology</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 xml:space="preserve">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gene encodes a protein that is a key component of hemoglobin, a protein complex whose function is to transport oxygen in the body. Hemoglobin in adults is a complex of four proteins, two hemoglobin b-subunits and two hemoglobin a-subunits. In patients with SCD, hemoglobin is composed of two mutant b-subunits and two a-subunits and the result is the formation of abnormal hemoglobin.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170"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6"/>
          <w:szCs w:val="16"/>
          <w:color w:val="auto"/>
        </w:rPr>
        <w:t xml:space="preserve">During fetal development, the major form of hemoglobin is fetal hemoglobin. Similar to hemoglobin in adults, fetal hemoglobin is also a complex of four proteins, two a-subunits and two g-subunits. Shortly after birth, the genes encoding the g-subunits, the </w:t>
      </w:r>
      <w:r>
        <w:rPr>
          <w:rFonts w:ascii="Arial" w:cs="Arial" w:eastAsia="Arial" w:hAnsi="Arial"/>
          <w:sz w:val="16"/>
          <w:szCs w:val="16"/>
          <w:i w:val="1"/>
          <w:iCs w:val="1"/>
          <w:color w:val="auto"/>
        </w:rPr>
        <w:t>HBG1</w:t>
      </w:r>
      <w:r>
        <w:rPr>
          <w:rFonts w:ascii="Arial" w:cs="Arial" w:eastAsia="Arial" w:hAnsi="Arial"/>
          <w:sz w:val="16"/>
          <w:szCs w:val="16"/>
          <w:color w:val="auto"/>
        </w:rPr>
        <w:t xml:space="preserve"> and </w:t>
      </w:r>
      <w:r>
        <w:rPr>
          <w:rFonts w:ascii="Arial" w:cs="Arial" w:eastAsia="Arial" w:hAnsi="Arial"/>
          <w:sz w:val="16"/>
          <w:szCs w:val="16"/>
          <w:i w:val="1"/>
          <w:iCs w:val="1"/>
          <w:color w:val="auto"/>
        </w:rPr>
        <w:t>HBG2</w:t>
      </w:r>
      <w:r>
        <w:rPr>
          <w:rFonts w:ascii="Arial" w:cs="Arial" w:eastAsia="Arial" w:hAnsi="Arial"/>
          <w:sz w:val="16"/>
          <w:szCs w:val="16"/>
          <w:color w:val="auto"/>
        </w:rPr>
        <w:t xml:space="preserve"> genes, are silenced and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is activated. As described above, 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that gives rise to mutated b-subunits.</w:t>
      </w:r>
    </w:p>
    <w:p>
      <w:pPr>
        <w:spacing w:after="0" w:line="161"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A small subset of individuals with the sickle cell mutation continue to produce high levels of fetal hemoglobin due to inheritance of additional genetic mutations, which is called Hereditary Persistence of Fetal Hemoglobin, or HPFH. The production of fetal hemoglobin in these individuals allows them to maintain at least 30% fetal hemoglobin. Patients with elevated fetal hemoglobin exhibit few, if any, clinical manifestations of SCD. Further, an increase of fetal hemoglobin as low as 3% over baseline in patients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without HPFH, due to either therapeutic intervention or the inheritance of other genetic traits, can result in reduced clinical manifestations of the disease.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SCD</w:t>
      </w:r>
    </w:p>
    <w:p>
      <w:pPr>
        <w:spacing w:after="0" w:line="225"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Our strategy to address the root cause of SCD was to identify a drug mechanism that induces expression of fetal hemoglobin. We believe that FTX-HbF may address the root cause of SCD through this mechanism of 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Overview of </w:t>
      </w:r>
      <w:r>
        <w:rPr>
          <w:rFonts w:ascii="Arial" w:cs="Arial" w:eastAsia="Arial" w:hAnsi="Arial"/>
          <w:sz w:val="18"/>
          <w:szCs w:val="18"/>
          <w:color w:val="auto"/>
        </w:rPr>
        <w:t>b</w:t>
      </w:r>
      <w:r>
        <w:rPr>
          <w:rFonts w:ascii="Arial" w:cs="Arial" w:eastAsia="Arial" w:hAnsi="Arial"/>
          <w:sz w:val="18"/>
          <w:szCs w:val="18"/>
          <w:i w:val="1"/>
          <w:iCs w:val="1"/>
          <w:color w:val="auto"/>
        </w:rPr>
        <w:t>-Thalassemia</w:t>
      </w:r>
    </w:p>
    <w:p>
      <w:pPr>
        <w:spacing w:after="0" w:line="225" w:lineRule="exact"/>
        <w:rPr>
          <w:sz w:val="20"/>
          <w:szCs w:val="20"/>
          <w:color w:val="auto"/>
        </w:rPr>
      </w:pPr>
    </w:p>
    <w:p>
      <w:pPr>
        <w:jc w:val="both"/>
        <w:ind w:firstLine="419"/>
        <w:spacing w:after="0" w:line="303" w:lineRule="auto"/>
        <w:rPr>
          <w:sz w:val="20"/>
          <w:szCs w:val="20"/>
          <w:color w:val="auto"/>
        </w:rPr>
      </w:pPr>
      <w:r>
        <w:rPr>
          <w:rFonts w:ascii="Arial" w:cs="Arial" w:eastAsia="Arial" w:hAnsi="Arial"/>
          <w:sz w:val="15"/>
          <w:szCs w:val="15"/>
          <w:color w:val="auto"/>
        </w:rPr>
        <w:t xml:space="preserve">b-thalassemia is a rare blood disorder associated with the absence or reduced production of b-globin, which is one of the two proteins that comprise adult hemoglobin. This results in an abnormally low level of hemoglobin as well as an excess of a-globin chains that cause destruction of RBCs. The severity of the phenotype is related to the degree of imbalance between a- and non-a-globin chain synthesis. The absence of b-globin due to </w:t>
      </w:r>
      <w:r>
        <w:rPr>
          <w:rFonts w:ascii="Arial" w:cs="Arial" w:eastAsia="Arial" w:hAnsi="Arial"/>
          <w:sz w:val="15"/>
          <w:szCs w:val="15"/>
          <w:i w:val="1"/>
          <w:iCs w:val="1"/>
          <w:color w:val="auto"/>
        </w:rPr>
        <w:t>HBB</w:t>
      </w:r>
      <w:r>
        <w:rPr>
          <w:rFonts w:ascii="Arial" w:cs="Arial" w:eastAsia="Arial" w:hAnsi="Arial"/>
          <w:sz w:val="15"/>
          <w:szCs w:val="15"/>
          <w:color w:val="auto"/>
        </w:rPr>
        <w:t xml:space="preserve"> gene deletions is referred to as</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thalassemia. Other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alterations allow some b-globin to be produced but in reduced amounts. A reduced amount of b-globin is called b</w:t>
      </w:r>
      <w:r>
        <w:rPr>
          <w:rFonts w:ascii="Arial" w:cs="Arial" w:eastAsia="Arial" w:hAnsi="Arial"/>
          <w:sz w:val="29"/>
          <w:szCs w:val="29"/>
          <w:color w:val="auto"/>
          <w:vertAlign w:val="superscript"/>
        </w:rPr>
        <w:t>+</w:t>
      </w:r>
      <w:r>
        <w:rPr>
          <w:rFonts w:ascii="Arial" w:cs="Arial" w:eastAsia="Arial" w:hAnsi="Arial"/>
          <w:sz w:val="18"/>
          <w:szCs w:val="18"/>
          <w:color w:val="auto"/>
        </w:rPr>
        <w:t>thalassemia. Many patients with b-thalassemia require chronic blood transfusions due to severe anemia that results from low hemoglobin levels, which are referred to as transfusion-dependent patients. It is estimated that 40,000 babies are born worldwide with b-thalassemia per year of whom 25,000 require blood transfusions. Patients with b-thalassemia are primarily treated by hematologists.</w:t>
      </w:r>
    </w:p>
    <w:p>
      <w:pPr>
        <w:spacing w:after="0" w:line="214" w:lineRule="exact"/>
        <w:rPr>
          <w:sz w:val="20"/>
          <w:szCs w:val="20"/>
          <w:color w:val="auto"/>
        </w:rPr>
      </w:pPr>
    </w:p>
    <w:p>
      <w:pPr>
        <w:jc w:val="both"/>
        <w:ind w:firstLine="473"/>
        <w:spacing w:after="0" w:line="302" w:lineRule="auto"/>
        <w:rPr>
          <w:sz w:val="20"/>
          <w:szCs w:val="20"/>
          <w:color w:val="auto"/>
        </w:rPr>
      </w:pPr>
      <w:r>
        <w:rPr>
          <w:rFonts w:ascii="Arial" w:cs="Arial" w:eastAsia="Arial" w:hAnsi="Arial"/>
          <w:sz w:val="15"/>
          <w:szCs w:val="15"/>
          <w:color w:val="auto"/>
        </w:rPr>
        <w:t>b-thalassemia has been clinically characterized into three forms, depending on disease severity: major, intermedia and minor. The most severe form, b-thalassemia major (also known as Cooley's anemia), is generally diagnosed shortly after birth and patients have life-threatening anemia. Pediatric patients do not grow and gain weight at the typical rates, and often have liver, heart and bone problems. Many b-thalassemia major patients require frequent blood transfusions to prevent severe anemia, a treatment that itself can cause long-term problems due to a build-up of iron in the body. b-thalassemia intermedia is a less severe form of the disease that results in mild to moderate anemia. These patients sometimes require blood transfusions depending on the severity of the symptoms. Patients with</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b-thalassemia minor suffer from very mild anemia and generally do not require treatment. Having either b</w:t>
      </w:r>
      <w:r>
        <w:rPr>
          <w:rFonts w:ascii="Arial" w:cs="Arial" w:eastAsia="Arial" w:hAnsi="Arial"/>
          <w:sz w:val="29"/>
          <w:szCs w:val="29"/>
          <w:color w:val="auto"/>
          <w:vertAlign w:val="superscript"/>
        </w:rPr>
        <w:t>0</w:t>
      </w:r>
      <w:r>
        <w:rPr>
          <w:rFonts w:ascii="Arial" w:cs="Arial" w:eastAsia="Arial" w:hAnsi="Arial"/>
          <w:sz w:val="18"/>
          <w:szCs w:val="18"/>
          <w:color w:val="auto"/>
        </w:rPr>
        <w:t xml:space="preserve"> or b</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thalassemia does not necessarily predict clinical disease severity as people with both types have been diagnosed with thalassemia major and thalassemia intermedia. Any increase in fetal hemoglobin has the potential to ameliorate the disease.</w:t>
      </w:r>
    </w:p>
    <w:p>
      <w:pPr>
        <w:spacing w:after="0" w:line="210" w:lineRule="exact"/>
        <w:rPr>
          <w:sz w:val="20"/>
          <w:szCs w:val="20"/>
          <w:color w:val="auto"/>
        </w:rPr>
      </w:pPr>
    </w:p>
    <w:p>
      <w:pPr>
        <w:jc w:val="both"/>
        <w:ind w:firstLine="361"/>
        <w:spacing w:after="0" w:line="286" w:lineRule="auto"/>
        <w:rPr>
          <w:sz w:val="20"/>
          <w:szCs w:val="20"/>
          <w:color w:val="auto"/>
        </w:rPr>
      </w:pPr>
      <w:r>
        <w:rPr>
          <w:rFonts w:ascii="Arial" w:cs="Arial" w:eastAsia="Arial" w:hAnsi="Arial"/>
          <w:sz w:val="16"/>
          <w:szCs w:val="16"/>
          <w:color w:val="auto"/>
        </w:rPr>
        <w:t>The current standard of care for many patients with b-thalassemia is frequent blood transfusions to manage anemia. The only potentially curative therapy for b-thalassemia is allogeneic hematopoietic stem cell transplant, which is associated with risks of complications, including mortality, and is limited to patients with a suitable donor. ZYNTEGLO, a gene therapy developed by bluebird bio, Inc., or bluebird, for the treatment of adult and adolescent patients with transfusion-dependent b-thalassemia and with certain genotypes, received a positive opinion recommending conditional marketing authorization in Europe in March 2019. bluebird announced that it plans to file a biologics license application, or BLA, in the United States in 2019. Acceleron Pharma, Inc., or Acceleron, in collaboration with Celgene Corp., or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to the EMA in the second quarter of 2019. There are also multiple other experimental approaches to treat b-thalassemia being explored in clinical trials, including approaches that use small molecule, gene therapy and gene editing approaches. Despite ongoing efforts to develop new therapies for b-thalassemia, we believe there is still a high unmet need that could be addressed by a small molecule, oral therapy to treatment the disease by increasing fetal hemoglobin.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Biology of b-Thalassemia</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 xml:space="preserve">b-thalassemia is caused by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The mutations interfere with the production of b-globin. Some mutations result in no b-globin being produced, while other mutations result in a decreased amount of b-globin being produced.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Approach to Address the Root Cause of b-Thalassemia</w:t>
      </w:r>
    </w:p>
    <w:p>
      <w:pPr>
        <w:spacing w:after="0" w:line="22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7"/>
          <w:szCs w:val="17"/>
          <w:color w:val="auto"/>
        </w:rPr>
        <w:t>We believe that some types of b-thalassemia may be treated by a therapy that upregulates fetal hemoglobin. Babies born with b-thalassemia major generally do not have any symptoms shortly after birth because they have fetal hemoglobin in their blood. As the fetal hemoglobin levels decrease after birth and the b-globin fails to increase, anemia appears and the babies with b-thalassemia begin to exhibit symptoms of the disease. Patients with b-thalassemia intermedia that have higher levels of fetal hemoglobin have fewer symptoms than patients with low levels of fetal hemoglobin. We believe that FTX-HbF may be suitable for clinical development for the treatment of patients who are not b</w:t>
      </w:r>
      <w:r>
        <w:rPr>
          <w:rFonts w:ascii="Arial" w:cs="Arial" w:eastAsia="Arial" w:hAnsi="Arial"/>
          <w:sz w:val="28"/>
          <w:szCs w:val="28"/>
          <w:color w:val="auto"/>
          <w:vertAlign w:val="superscript"/>
        </w:rPr>
        <w:t>0</w:t>
      </w:r>
      <w:r>
        <w:rPr>
          <w:rFonts w:ascii="Arial" w:cs="Arial" w:eastAsia="Arial" w:hAnsi="Arial"/>
          <w:sz w:val="17"/>
          <w:szCs w:val="17"/>
          <w:color w:val="auto"/>
        </w:rPr>
        <w:t xml:space="preserve"> but who are transfusion dependent.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SCD and b-Thalassemia</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 xml:space="preserve">Applying our product engine, we conducted target identification and validation activities using human umbilical cord blood-derived erythroid progenitor 2, or HUDEP2, cells as a model to study fetal hemoglobin reactivation. HUDEP2 cells are immature RBCs. By screening our small molecule probe library and a CRISPR library, we identified several potential drug targets that activated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and resulted in fetal hemoglobin elevation. Each screening approach identified the same protein complex which we believe plays an important role in the expression of genes responsible for the production of fetal hemoglobin. We conducted additional validation experiments in which we observed that inhibition of several components of this complex resulted in the desired elevation of fetal hemoglobin. We also observed that inhibition of these components did not adversely affect important cell health markers.</w:t>
      </w:r>
    </w:p>
    <w:p>
      <w:pPr>
        <w:spacing w:after="0" w:line="17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engagement assays, as well as enabled X-ray crystallography, to discover and develop FTX-HbF, a novel small molecule inhibitor of the HbF drug target.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FTX-HbF</w:t>
      </w:r>
    </w:p>
    <w:p>
      <w:pPr>
        <w:spacing w:after="0" w:line="225"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auto"/>
        </w:rPr>
        <w:t xml:space="preserve">FTX-HbF, our novel small molecule that we designed to inhibit the HbF drug target and thereby elevate fetal hemoglobin, possesses properties that we believe are well aligned with preferred parameters for oral drug delivery. We studied the cellular potency and the PK data of FTX-HbF in preclinical animal models and observed that its profile would be predictive of once or twice daily oral administration. We have not observed any off-target concerns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profiling studies, and we are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to evaluate FTX-HbF. We have initiated IND-enabling activities and we aim to submit an IND in mid-2020.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 xml:space="preserve">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FTX-HbF. We observed that FTX-HbF elevated levels of fetal hemoglobin with minimal adverse effect on important cellular health markers. As depicted in the graphic below, we also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upregulation of fetal hemoglobin in primary human CD34+ cells differentiated into RBCs from five different human donors after five days of drug treatment. FTX-HbF showed a significant elevation of fetal hemoglobin over baseline in each of these five cell lines. Additionally, we compared the effect of FTX-HbF in CD34+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derived cells relative to that of hydroxyurea. We observed that hydroxyurea had a minimal impact on fetal hemoglobin elevation, whereas we observed that FTX-HbF significantly elevated fetal hemoglobin. In cells treated with the combination of FTX-HbF and hydroxyurea, we observed an increased effect relative to either compound alone.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FTX-HbF treatment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144145</wp:posOffset>
            </wp:positionV>
            <wp:extent cx="3816350" cy="2315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1635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 xml:space="preserve">In preclinical PK/PD studies in mice, we observed that blood cells had dose-dependent drug target engagement after 4.5 days of oral treatment. We believe our drug target is conserved between species, which is supported by our observation of a concomitant upregulation of the mouse embryonic globin gene under conditions where we observed drug target engagement. Since mice do not have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found in humans, we used the mouse embryonic globin gene </w:t>
      </w:r>
      <w:r>
        <w:rPr>
          <w:rFonts w:ascii="Arial" w:cs="Arial" w:eastAsia="Arial" w:hAnsi="Arial"/>
          <w:sz w:val="16"/>
          <w:szCs w:val="16"/>
          <w:i w:val="1"/>
          <w:iCs w:val="1"/>
          <w:color w:val="auto"/>
        </w:rPr>
        <w:t xml:space="preserve">hbb-bh1 </w:t>
      </w:r>
      <w:r>
        <w:rPr>
          <w:rFonts w:ascii="Arial" w:cs="Arial" w:eastAsia="Arial" w:hAnsi="Arial"/>
          <w:sz w:val="16"/>
          <w:szCs w:val="16"/>
          <w:color w:val="auto"/>
        </w:rPr>
        <w:t>as a surrogate for the human</w:t>
      </w:r>
      <w:r>
        <w:rPr>
          <w:rFonts w:ascii="Arial" w:cs="Arial" w:eastAsia="Arial" w:hAnsi="Arial"/>
          <w:sz w:val="16"/>
          <w:szCs w:val="16"/>
          <w:i w:val="1"/>
          <w:iCs w:val="1"/>
          <w:color w:val="auto"/>
        </w:rPr>
        <w:t xml:space="preserve"> HBG1/2 </w:t>
      </w:r>
      <w:r>
        <w:rPr>
          <w:rFonts w:ascii="Arial" w:cs="Arial" w:eastAsia="Arial" w:hAnsi="Arial"/>
          <w:sz w:val="16"/>
          <w:szCs w:val="16"/>
          <w:color w:val="auto"/>
        </w:rPr>
        <w:t>genes. We measured the target engagement in the mouse from whole blood. We concluded from the data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that FTX-HbF engaged the drug target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modulated the endogenous mouse globin gene expression program. The results of this study are depicted below.</w:t>
      </w:r>
    </w:p>
    <w:p>
      <w:pPr>
        <w:sectPr>
          <w:pgSz w:w="11900" w:h="16838" w:orient="portrait"/>
          <w:cols w:equalWidth="0" w:num="1">
            <w:col w:w="11420"/>
          </w:cols>
          <w:pgMar w:left="240" w:top="131" w:right="239" w:bottom="1440" w:gutter="0" w:footer="0" w:header="0"/>
        </w:sectPr>
      </w:pPr>
    </w:p>
    <w:p>
      <w:pPr>
        <w:spacing w:after="0" w:line="180"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auto"/>
        </w:rPr>
        <w:t>Target engagement modification in</w:t>
      </w:r>
    </w:p>
    <w:p>
      <w:pPr>
        <w:spacing w:after="0" w:line="56"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mouse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161290</wp:posOffset>
            </wp:positionV>
            <wp:extent cx="2066925" cy="3112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66925" cy="311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900"/>
        <w:spacing w:after="0"/>
        <w:rPr>
          <w:sz w:val="20"/>
          <w:szCs w:val="20"/>
          <w:color w:val="auto"/>
        </w:rPr>
      </w:pPr>
      <w:r>
        <w:rPr>
          <w:rFonts w:ascii="Arial" w:cs="Arial" w:eastAsia="Arial" w:hAnsi="Arial"/>
          <w:sz w:val="15"/>
          <w:szCs w:val="15"/>
          <w:b w:val="1"/>
          <w:bCs w:val="1"/>
          <w:color w:val="auto"/>
        </w:rPr>
        <w:t>Mouse embryonic globin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465455</wp:posOffset>
            </wp:positionV>
            <wp:extent cx="2160905" cy="3061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0905" cy="306133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5940" w:space="720"/>
            <w:col w:w="47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auto"/>
        </w:rPr>
        <w:t>In the graphic on the left, we measured the amount of drug target engagement modification in mouse blood cells after five days of treatment. In the vehicle-treated mice, we observed maximum levels of protein modification, whereas in the FTX-HbF treated mice, we observed significantly lower levels of modification, which indicates significant target engagement. Each point represents the value for a different mouse, shown as a percent of the average vehicle-treated value. In the graphic on the right, we determined the level of mouse embryonic globin mRNA levels in mouse blood after five days of treatment. The data is from an average of four or five mice per treatment. In these studies, we used a conventional method of assessing statistical significance known as a two-tailed test. The p-value for each of the studies depicted above was 0.0005. A p-value is a conventional statistical method for measuring the statistical significance of experimental results. A p-value of less than 0.05 is generally considered to represent statistical significance, meaning that there is a less than five percent likelihood that the observed results occurred by chance.</w:t>
      </w:r>
    </w:p>
    <w:p>
      <w:pPr>
        <w:spacing w:after="0" w:line="172"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 xml:space="preserve">Additionally, we studied FTX-HbF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FTX-HbF resulted in a significant increase in </w:t>
      </w:r>
      <w:r>
        <w:rPr>
          <w:rFonts w:ascii="Arial" w:cs="Arial" w:eastAsia="Arial" w:hAnsi="Arial"/>
          <w:sz w:val="18"/>
          <w:szCs w:val="18"/>
          <w:i w:val="1"/>
          <w:iCs w:val="1"/>
          <w:color w:val="auto"/>
        </w:rPr>
        <w:t>HBG1</w:t>
      </w:r>
      <w:r>
        <w:rPr>
          <w:rFonts w:ascii="Arial" w:cs="Arial" w:eastAsia="Arial" w:hAnsi="Arial"/>
          <w:sz w:val="18"/>
          <w:szCs w:val="18"/>
          <w:color w:val="auto"/>
        </w:rPr>
        <w:t xml:space="preserve"> gene expression and HbF protein after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28 days of dosing at 5 mg/kg twice per day. Hydroxyurea did not result in a significant elevation of </w:t>
      </w:r>
      <w:r>
        <w:rPr>
          <w:rFonts w:ascii="Arial" w:cs="Arial" w:eastAsia="Arial" w:hAnsi="Arial"/>
          <w:sz w:val="16"/>
          <w:szCs w:val="16"/>
          <w:i w:val="1"/>
          <w:iCs w:val="1"/>
          <w:color w:val="auto"/>
        </w:rPr>
        <w:t>HBG1</w:t>
      </w:r>
      <w:r>
        <w:rPr>
          <w:rFonts w:ascii="Arial" w:cs="Arial" w:eastAsia="Arial" w:hAnsi="Arial"/>
          <w:sz w:val="16"/>
          <w:szCs w:val="16"/>
          <w:color w:val="auto"/>
        </w:rPr>
        <w:t xml:space="preserve"> gene expression.</w:t>
      </w:r>
    </w:p>
    <w:p>
      <w:pPr>
        <w:sectPr>
          <w:pgSz w:w="11900" w:h="16838" w:orient="portrait"/>
          <w:cols w:equalWidth="0" w:num="1">
            <w:col w:w="11420"/>
          </w:cols>
          <w:pgMar w:left="240" w:top="131" w:right="239" w:bottom="1440" w:gutter="0" w:footer="0" w:header="0"/>
        </w:sectPr>
      </w:pPr>
    </w:p>
    <w:p>
      <w:pPr>
        <w:spacing w:after="0" w:line="242"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auto"/>
        </w:rPr>
        <w:t>HBG1 mRNA levels in Townes mouse</w:t>
      </w:r>
    </w:p>
    <w:p>
      <w:pPr>
        <w:spacing w:after="0" w:line="56"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255905</wp:posOffset>
            </wp:positionV>
            <wp:extent cx="2684145" cy="22726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84145" cy="227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auto"/>
        </w:rPr>
        <w:t>HbF protein levels in Townes mouse</w:t>
      </w:r>
    </w:p>
    <w:p>
      <w:pPr>
        <w:spacing w:after="0" w:line="56"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161290</wp:posOffset>
            </wp:positionV>
            <wp:extent cx="2778760" cy="23666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78760" cy="2366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7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In the graphic on the left, we determined the level of human HBG1 mRNA for the four treatment conditions from mouse blood, shown as a percentage of vehicle-alone-treated SCD mice. In the graphic on the right, we determined the level of human HbF protein for the four treatment conditions, shown as a percentage of vehicle-alone-treated SCD mice. Each value represents the mean value from five or six mice per treatment after 28 days of treatment. In these studies, we used a conventional method of assessing statistical significance known as a one-way analysis of variance, or ANOVA. The p-value for the study depicted on the left was less than 0.0001 and the p-value for the study depicted on the right was less than 0.001.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Development Plan for FTX-HbF</w:t>
      </w:r>
    </w:p>
    <w:p>
      <w:pPr>
        <w:spacing w:after="0" w:line="225"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We are currently conducting IND-enabling studies and intend to submit an IND for FTX-HbF in mid-2020. We intend to initiate a Phase 1 clinical trial of FTX-HbF in healthy volunteers in late 2020. The Phase 1 trial will be designed to investigate the safety and tolerability of single and multiple ascending doses of FTX-HbF and to define the relationship between PK and target engagement in blood.</w:t>
      </w:r>
    </w:p>
    <w:p>
      <w:pPr>
        <w:spacing w:after="0" w:line="194" w:lineRule="exact"/>
        <w:rPr>
          <w:sz w:val="20"/>
          <w:szCs w:val="20"/>
          <w:color w:val="auto"/>
        </w:rPr>
      </w:pPr>
    </w:p>
    <w:p>
      <w:pPr>
        <w:jc w:val="both"/>
        <w:ind w:firstLine="377"/>
        <w:spacing w:after="0" w:line="313" w:lineRule="auto"/>
        <w:rPr>
          <w:sz w:val="20"/>
          <w:szCs w:val="20"/>
          <w:color w:val="auto"/>
        </w:rPr>
      </w:pPr>
      <w:r>
        <w:rPr>
          <w:rFonts w:ascii="Arial" w:cs="Arial" w:eastAsia="Arial" w:hAnsi="Arial"/>
          <w:sz w:val="16"/>
          <w:szCs w:val="16"/>
          <w:color w:val="auto"/>
        </w:rPr>
        <w:t>Following completion of the Phase 1 trial, we would consider a parallel development path in SCD and b-thalassemia. We expect that our target SCD patient population will be adult SCD patients with inadequate disease control and that concomitant use of hydroxyurea and/or L-glutamine will be allowed when available. We expect that our target b-thalassemia patient population will be adult b-thalassemia patients who are not b</w:t>
      </w:r>
      <w:r>
        <w:rPr>
          <w:rFonts w:ascii="Arial" w:cs="Arial" w:eastAsia="Arial" w:hAnsi="Arial"/>
          <w:sz w:val="26"/>
          <w:szCs w:val="26"/>
          <w:color w:val="auto"/>
          <w:vertAlign w:val="superscript"/>
        </w:rPr>
        <w:t>0</w:t>
      </w:r>
      <w:r>
        <w:rPr>
          <w:rFonts w:ascii="Arial" w:cs="Arial" w:eastAsia="Arial" w:hAnsi="Arial"/>
          <w:sz w:val="16"/>
          <w:szCs w:val="16"/>
          <w:color w:val="auto"/>
        </w:rPr>
        <w:t xml:space="preserve"> but are transfusion-dependent.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Screening Programs</w:t>
      </w:r>
    </w:p>
    <w:p>
      <w:pPr>
        <w:spacing w:after="0" w:line="23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We have leveraged our proprietary product engine to discover targets that we are pursuing with small molecules for FSHD and SCD and b-thalassemia. We are leveraging the broad applicability of our product engine to discover drug targets for other rare, genetically defined diseases across neuromuscular and CNS diseases. We plan to complete four additional screens in 2019. These four diseases and our approach to identifying targets to address the root cause of each disease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130810</wp:posOffset>
            </wp:positionV>
            <wp:extent cx="5556885" cy="951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5688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2"/>
        <w:spacing w:after="0" w:line="298" w:lineRule="auto"/>
        <w:rPr>
          <w:sz w:val="20"/>
          <w:szCs w:val="20"/>
          <w:color w:val="auto"/>
        </w:rPr>
      </w:pPr>
      <w:r>
        <w:rPr>
          <w:rFonts w:ascii="Arial" w:cs="Arial" w:eastAsia="Arial" w:hAnsi="Arial"/>
          <w:sz w:val="16"/>
          <w:szCs w:val="16"/>
          <w:color w:val="auto"/>
        </w:rPr>
        <w:t>We currently plan to conduct six additional screens in 2020, and we are undergoing a rigorous disease assessment and selection process. Although we believe our product engine and screening efforts are robust and have a high likelihood of identifying drug targets for each new screen area, we intend to focus on advancing the most attractive targets and development candidates identified from our screening efforts for development. We may also selectively consider external partnerships for those areas that may be more appropriate for a partner to advance.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auto"/>
        </w:rPr>
        <w:t>Duchenne muscular dystrophy, or DMD, is the most common childhood-onset muscular dystrophy with a prevalence of approximately one out of every 3,500 male births. Patients usually are diagnosed before five years of age and typically require the use of wheelchairs before their teens. Life-threatening cardiac and respiratory complications result in a life expectancy of 20-30 years without any treatment. Currently, management of these complications by standard of care treatment (</w:t>
      </w:r>
      <w:r>
        <w:rPr>
          <w:rFonts w:ascii="Arial" w:cs="Arial" w:eastAsia="Arial" w:hAnsi="Arial"/>
          <w:sz w:val="16"/>
          <w:szCs w:val="16"/>
          <w:i w:val="1"/>
          <w:iCs w:val="1"/>
          <w:color w:val="auto"/>
        </w:rPr>
        <w:t>e.g.</w:t>
      </w:r>
      <w:r>
        <w:rPr>
          <w:rFonts w:ascii="Arial" w:cs="Arial" w:eastAsia="Arial" w:hAnsi="Arial"/>
          <w:sz w:val="16"/>
          <w:szCs w:val="16"/>
          <w:color w:val="auto"/>
        </w:rPr>
        <w:t xml:space="preserve">, corticosteroids) can extend life expectancy, however, there are no approved disease-modifying therapies. This X-chromosome linked disease is caused by mutations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resulting in the loss of expression or function of the protein dystrophin. Dystrophin is an integral component of a large multiprotein complex that functions by linking the sarcolemma (the plasma membrane in muscle fibers) with the cytoskeleton and other motor machinery. In the absence of dystrophin, progressive muscle fiber degeneration results in loss of function and clinical manifestation of the disease.</w:t>
      </w:r>
    </w:p>
    <w:p>
      <w:pPr>
        <w:spacing w:after="0" w:line="172" w:lineRule="exact"/>
        <w:rPr>
          <w:sz w:val="20"/>
          <w:szCs w:val="20"/>
          <w:color w:val="auto"/>
        </w:rPr>
      </w:pPr>
    </w:p>
    <w:p>
      <w:pPr>
        <w:jc w:val="both"/>
        <w:ind w:right="20" w:firstLine="469"/>
        <w:spacing w:after="0" w:line="306" w:lineRule="auto"/>
        <w:rPr>
          <w:sz w:val="20"/>
          <w:szCs w:val="20"/>
          <w:color w:val="auto"/>
        </w:rPr>
      </w:pPr>
      <w:r>
        <w:rPr>
          <w:rFonts w:ascii="Arial" w:cs="Arial" w:eastAsia="Arial" w:hAnsi="Arial"/>
          <w:sz w:val="16"/>
          <w:szCs w:val="16"/>
          <w:color w:val="auto"/>
        </w:rPr>
        <w:t>Our goal is to apply our product engine to identify drug targets to increase the expression of utrophin, a dystrophin-related protein, that can replace the function of dystrophin in the membrane and address the dysfunction due to damaged muscle fibers. Utrophin is normally expressed in other tissues and studies have shown that higher levels of this protein result in functional improvements in animal models of the disease.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Friedreich Ataxia</w:t>
      </w:r>
    </w:p>
    <w:p>
      <w:pPr>
        <w:spacing w:after="0" w:line="22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 xml:space="preserve">Friedreich ataxia, or FA, a neuromuscular disorder affecting about one out of every 40,000 people, is the most common hereditary ataxia, with a typical age of onset between 10 and 15 years. The progressive impaired muscle coordination, ataxia, is caused by the degeneration of neurons in the cerebellum and dorsal root ganglia in the spinal cord. FA patients also commonly suffer from life-threatening heart conditions such as hypertrophic cardiomyopathy, myocardial fibrosis and heart failure. There are no approved disease-modifying therapies. The genetic root cause of FA is an expansion of a sequence in the frataxin gene, </w:t>
      </w:r>
      <w:r>
        <w:rPr>
          <w:rFonts w:ascii="Arial" w:cs="Arial" w:eastAsia="Arial" w:hAnsi="Arial"/>
          <w:sz w:val="18"/>
          <w:szCs w:val="18"/>
          <w:i w:val="1"/>
          <w:iCs w:val="1"/>
          <w:color w:val="auto"/>
        </w:rPr>
        <w:t>FXN,</w:t>
      </w:r>
      <w:r>
        <w:rPr>
          <w:rFonts w:ascii="Arial" w:cs="Arial" w:eastAsia="Arial" w:hAnsi="Arial"/>
          <w:sz w:val="18"/>
          <w:szCs w:val="18"/>
          <w:color w:val="auto"/>
        </w:rPr>
        <w:t xml:space="preserve"> which causes its downregulation. Loss of function of frataxin, an important protein involved in iron metabolism, results in oxidative stress and mitochondrial dysfunction.</w:t>
      </w:r>
    </w:p>
    <w:p>
      <w:pPr>
        <w:spacing w:after="0" w:line="19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Our goal is to apply our product engine to identify drug targets that can upregulate the levels of frataxin protein to levels that will impact and restore function to prevent neuronal and cardiac cell degeneration.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Myotonic Dystrophy 1</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Myotonic dystrophy 1, or DM1, is the most common adult-onset muscular dystrophy affecting about one out of every 8,000 people, with a typical age of onset between 20 and 40 years. It is characterized by muscle weakness and myotonia. Cardiopulmonary complications when present can be life-threatening and current treatments are directed toward managing these complications. There are no approved disease-modifying therapies. DM1 is caused by expansion of a triple nucleotide repeat present in the non-coding region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and are part of its mature transcript. More than 50 cytosine-thymine-guanine repeats are usually associated with pathology and disease severity is proportional to the number of repeats, which can expand to over 4,000. The accumulation of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transcripts containing long repeats result in the sequestration of proteins important for the correct splicing of important transcripts participating in the function of skeletal and cardiac muscle and other tissues.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 xml:space="preserve">Our goal is to apply our product engine to identify drug targets that may lead to downregulation of the expression of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in order to reduce the levels of the pathological repeats and improve muscle function. Reduction of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expression in DM1 models has been shown to reduce aberrant splicing and to be well tolerated.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a-Synucleinopathies</w:t>
      </w:r>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auto"/>
        </w:rPr>
        <w:t xml:space="preserve">In rare cases, a-Synucleinopathies result from point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that encodes the protein a-synuclein. Familial forms of Parkinson's disease can result from these mutations and multiplications in the </w:t>
      </w:r>
      <w:r>
        <w:rPr>
          <w:rFonts w:ascii="Arial" w:cs="Arial" w:eastAsia="Arial" w:hAnsi="Arial"/>
          <w:sz w:val="16"/>
          <w:szCs w:val="16"/>
          <w:i w:val="1"/>
          <w:iCs w:val="1"/>
          <w:color w:val="auto"/>
        </w:rPr>
        <w:t>SNCA</w:t>
      </w:r>
      <w:r>
        <w:rPr>
          <w:rFonts w:ascii="Arial" w:cs="Arial" w:eastAsia="Arial" w:hAnsi="Arial"/>
          <w:sz w:val="16"/>
          <w:szCs w:val="16"/>
          <w:color w:val="auto"/>
        </w:rPr>
        <w:t xml:space="preserve"> gene. Parkinson's disease is a common progressive neurodegenerative disease characterized by movement disorders such as bradykinesia, rigidity and tremor. Genome wide association studies have linked single nucleotide polymorphisms in </w:t>
      </w:r>
      <w:r>
        <w:rPr>
          <w:rFonts w:ascii="Arial" w:cs="Arial" w:eastAsia="Arial" w:hAnsi="Arial"/>
          <w:sz w:val="16"/>
          <w:szCs w:val="16"/>
          <w:i w:val="1"/>
          <w:iCs w:val="1"/>
          <w:color w:val="auto"/>
        </w:rPr>
        <w:t xml:space="preserve">SNCA </w:t>
      </w:r>
      <w:r>
        <w:rPr>
          <w:rFonts w:ascii="Arial" w:cs="Arial" w:eastAsia="Arial" w:hAnsi="Arial"/>
          <w:sz w:val="16"/>
          <w:szCs w:val="16"/>
          <w:color w:val="auto"/>
        </w:rPr>
        <w:t>with increased risk of Parkinson's disease. These mutations have been shown to increase levels of pathological, aggregated a-synuclein, leading to the loss</w:t>
      </w:r>
      <w:r>
        <w:rPr>
          <w:rFonts w:ascii="Arial" w:cs="Arial" w:eastAsia="Arial" w:hAnsi="Arial"/>
          <w:sz w:val="16"/>
          <w:szCs w:val="16"/>
          <w:i w:val="1"/>
          <w:iCs w:val="1"/>
          <w:color w:val="auto"/>
        </w:rPr>
        <w:t xml:space="preserve"> </w:t>
      </w:r>
      <w:r>
        <w:rPr>
          <w:rFonts w:ascii="Arial" w:cs="Arial" w:eastAsia="Arial" w:hAnsi="Arial"/>
          <w:sz w:val="16"/>
          <w:szCs w:val="16"/>
          <w:color w:val="auto"/>
        </w:rPr>
        <w:t>of midbrain dopaminergic neurons important for motor control. Abnormal deposits of a-synuclein protein, or Lewy bodies, are the characteristic histological signature of Parkinson's disease at autopsy. According to the Parkinson's Foundation, nearly one million people will be living with Parkinson's disease in the United States by 2020.</w:t>
      </w:r>
    </w:p>
    <w:p>
      <w:pPr>
        <w:spacing w:after="0" w:line="172"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Our goal is to use our product engine to identify drug targets for genetically defined a-synucleinopathies that may lead to reduction in a-synuclein levels in the most relevant cell type for Parkinson's disease—dopaminergic neurons. Our goal is to lower the overall a-synuclein load in the brain of patients with sporadic or genetic a-synucleinopathies by starting treatment early in their disease course to prevent further a-synuclein-dependent neurodegeneration, thus representing a potential disease-modifying approach across all a-synucleinopathies.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Reference and License Agreement with GlaxoSmithKline</w:t>
      </w:r>
    </w:p>
    <w:p>
      <w:pPr>
        <w:spacing w:after="0" w:line="231"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In February 2019, we entered into a right of reference and license agreement with affiliates of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174"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197"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Under the agreement, we will be obligated to make milestone payments to GSK aggregating up to $37.5 million upon the achievement of specified clinical and regulatory milestones with respect to the first licensed product to achieve such milestones, and up to $60.0 million upon the achievement of one-time aggregate annual worldwide net sales milestones. We will also be obligated to pay royalties ranging from a mid single-digit percentage to a low double-digit, but less than teens, percentage to GSK based on our, and any of our affiliates' and sublicensees', annual net sales of licensed products. The royalties are payable on a product-by-product and country-by-country basis, and may be reduced in specified circumstances.</w:t>
      </w:r>
    </w:p>
    <w:p>
      <w:pPr>
        <w:spacing w:after="0" w:line="17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Our obligation to make royalty payments extends with respect to a licensed product in a country until the earlier of the approval of a generic version of such licensed product by the applicable regulatory agency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170"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8"/>
          <w:szCs w:val="18"/>
          <w:color w:val="auto"/>
        </w:rPr>
        <w:t>If, prior to our completion of the first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197"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167"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161" w:lineRule="exact"/>
        <w:rPr>
          <w:sz w:val="20"/>
          <w:szCs w:val="20"/>
          <w:color w:val="auto"/>
        </w:rPr>
      </w:pPr>
    </w:p>
    <w:p>
      <w:pPr>
        <w:jc w:val="both"/>
        <w:ind w:firstLine="426"/>
        <w:spacing w:after="0" w:line="294" w:lineRule="auto"/>
        <w:rPr>
          <w:sz w:val="20"/>
          <w:szCs w:val="20"/>
          <w:color w:val="auto"/>
        </w:rPr>
      </w:pPr>
      <w:r>
        <w:rPr>
          <w:rFonts w:ascii="Arial" w:cs="Arial" w:eastAsia="Arial" w:hAnsi="Arial"/>
          <w:sz w:val="16"/>
          <w:szCs w:val="16"/>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170"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170"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We generally file patent applications directed to our key programs in an effort to secure our intellectual property positions vis-a-vis these programs. As of May 15, 2019, we owned one allowed U.S. patent application, one U.S. pending non-provisional patent applications, four foreign pending patent applications, four pending Patent Cooperation Treaty, or PCT, applications and six U.S. provisional patent applications.</w:t>
      </w:r>
    </w:p>
    <w:p>
      <w:pPr>
        <w:spacing w:after="0" w:line="194"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intellectual property portfolio for our most advanced programs as of May 15, 2019,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Losmapimod and Derivatives</w:t>
      </w:r>
    </w:p>
    <w:p>
      <w:pPr>
        <w:spacing w:after="0" w:line="225" w:lineRule="exact"/>
        <w:rPr>
          <w:sz w:val="20"/>
          <w:szCs w:val="20"/>
          <w:color w:val="auto"/>
        </w:rPr>
      </w:pPr>
    </w:p>
    <w:p>
      <w:pPr>
        <w:jc w:val="both"/>
        <w:ind w:firstLine="425"/>
        <w:spacing w:after="0" w:line="287" w:lineRule="auto"/>
        <w:rPr>
          <w:sz w:val="20"/>
          <w:szCs w:val="20"/>
          <w:color w:val="auto"/>
        </w:rPr>
      </w:pPr>
      <w:r>
        <w:rPr>
          <w:rFonts w:ascii="Arial" w:cs="Arial" w:eastAsia="Arial" w:hAnsi="Arial"/>
          <w:sz w:val="16"/>
          <w:szCs w:val="16"/>
          <w:color w:val="auto"/>
        </w:rPr>
        <w:t>The patent portfolio for losmapimod is based upon Fulcrum-owned and in-licensed patent families that include patents and patent applications directed to new methods of using losmapimod and other p38 inhibitors to treat FSHD, pharmaceutical compositions generically and specifically covering p38 inhibitors, and methods for identifying novel compositions to treat FSHD. As of May 15, 2019, we owned one allowed U.S. patent application, one U.S. pending non-provisional patent application, four foreign patent applications filed in Taiwan, Uruguay, Venezuela and Argentina, three pending PCT applications, and two U.S. provisional patent applications relating to our p38a/b program, primarily relating to methods of using losmapimod and certain other p38 inhibitors for the treatment of FSHD. While we believe that the specific and generic claims contained in our allowed U.S. patent application provide protection for the method of using losmapimod for the treatment of FSHD, and is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 Any U.S. or ex-U.S. patents that may issue from pending applications that we own, if any, for our p38a/b program are projected to have a statutory expiration date in 2038, excluding any additional term for patent term adjustments or patent term extension, if applicable.</w:t>
      </w:r>
    </w:p>
    <w:p>
      <w:pPr>
        <w:spacing w:after="0" w:line="177"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Losmapimod is currently protected by patents owned by GSK (as a composition of matter and certain uses which do not include FSHD) and certain of these patents are licensed to us. As soon as the patents covering the composition of matter expire on February 10, 2023, or are no longer in-force, the GSK-licensed patents will no longer be a barrier to entry for any unclaimed new uses, including FSHD. Even during the term of these composition of matter patents, losmapimod can still be developed in the meantime in certain geographies, including in the United States, under safe harbor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FTX-HbF</w:t>
      </w:r>
    </w:p>
    <w:p>
      <w:pPr>
        <w:spacing w:after="0" w:line="225" w:lineRule="exact"/>
        <w:rPr>
          <w:sz w:val="20"/>
          <w:szCs w:val="20"/>
          <w:color w:val="auto"/>
        </w:rPr>
      </w:pPr>
    </w:p>
    <w:p>
      <w:pPr>
        <w:jc w:val="both"/>
        <w:ind w:firstLine="415"/>
        <w:spacing w:after="0" w:line="298" w:lineRule="auto"/>
        <w:rPr>
          <w:sz w:val="20"/>
          <w:szCs w:val="20"/>
          <w:color w:val="auto"/>
        </w:rPr>
      </w:pPr>
      <w:r>
        <w:rPr>
          <w:rFonts w:ascii="Arial" w:cs="Arial" w:eastAsia="Arial" w:hAnsi="Arial"/>
          <w:sz w:val="16"/>
          <w:szCs w:val="16"/>
          <w:color w:val="auto"/>
        </w:rPr>
        <w:t>As of May 15, 2019, intellectual property portfolio for our FTX-HbF program includes one U.S. provisional patent application directed to pharmaceutical compositions generically and specifically covering inhibitors of a certain protein or protein complex that regulate fetal hemoglobin, as well as to methods for using and making these compositions. In order to continue to pursue protection based on this provisional patent application, we will need to file a PCT, foreign applications, and/or U.S. non-provisional patent application prior to the applicable deadline. If we do continue to pursue protection, any patents that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may issue from the non-provisional patent applications would be projected to have statutory expiration dates in 2039, excluding any additional term for patent term adjustments or patent term extension, if applicable. While we believe that the specific and generic claims, contained in our U.S. provisional patent application, if filed as U.S. non-provisional application, PCT application and/or foreign application(s), provide protection for the claimed pharmaceutical compositions and methods of use and are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8"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6" w:lineRule="exact"/>
        <w:rPr>
          <w:sz w:val="20"/>
          <w:szCs w:val="20"/>
          <w:color w:val="auto"/>
        </w:rPr>
      </w:pPr>
    </w:p>
    <w:p>
      <w:pPr>
        <w:jc w:val="both"/>
        <w:ind w:firstLine="379"/>
        <w:spacing w:after="0" w:line="309" w:lineRule="auto"/>
        <w:rPr>
          <w:sz w:val="20"/>
          <w:szCs w:val="20"/>
          <w:color w:val="auto"/>
        </w:rPr>
      </w:pPr>
      <w:r>
        <w:rPr>
          <w:rFonts w:ascii="Arial" w:cs="Arial" w:eastAsia="Arial" w:hAnsi="Arial"/>
          <w:sz w:val="15"/>
          <w:szCs w:val="15"/>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62" w:lineRule="exact"/>
        <w:rPr>
          <w:sz w:val="20"/>
          <w:szCs w:val="20"/>
          <w:color w:val="auto"/>
        </w:rPr>
      </w:pPr>
    </w:p>
    <w:p>
      <w:pPr>
        <w:jc w:val="both"/>
        <w:ind w:firstLine="413"/>
        <w:spacing w:after="0" w:line="286"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6"/>
          <w:szCs w:val="16"/>
          <w:color w:val="auto"/>
        </w:rPr>
        <w:t>We do not have any manufacturing facilities. We obtained sufficient losmapimod tablets, or drug product, from GSK to complete our planned Phase 2 clinical trials. We obtained losmapimod API from GSK and plan to engage a contract manufacturing organization to convert the API into losmapimod tablets. We believe that the quantity of API will be sufficient to complete further clinical trials in FSHD. We believe that we have all the necessary information from GSK to enable the required technology transfers to contract manufacturing organizations. We also intend to identify and engage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organizations to prepare our own API and to manufacture tablets to support potential commercialization.</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expect to rely on third parties for the manufacture of FTX-HbF and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0" w:lineRule="exact"/>
        <w:rPr>
          <w:sz w:val="20"/>
          <w:szCs w:val="20"/>
          <w:color w:val="auto"/>
        </w:rPr>
      </w:pPr>
    </w:p>
    <w:p>
      <w:pPr>
        <w:jc w:val="both"/>
        <w:ind w:firstLine="421"/>
        <w:spacing w:after="0" w:line="25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9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 beneficial effect. Limited range of motion in the shoulder girdle can stem from periscapular muscle weakness, and in such cases surgical scapular fixation can result in some functional improvement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patients. There is also no standard practice regarding the use of physical or occupational therapy across countries and sites.</w:t>
      </w:r>
    </w:p>
    <w:p>
      <w:pPr>
        <w:spacing w:after="0" w:line="225"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We are not aware of any product candidate currently in clinical development for FSHD with the same mechanism of action as losmapimod or that is designed to treat the root cause of FSHD. We are aware of ACE-083, a locally injected myostatin inhibitor for intermittent treatment of weakness for ankle dorsiflexion (foot drop) and elbow flexion, which is currently in Phase 2a clinical development for FSHD by Acceleron. aTyr Pharma, Inc., or aTyr, conducted a Phase 1/2 clinical trial of resolaris, a physiocrine immune modulation protein. aTyr discontinued development of resolaris in FSHD. aTyr publicly disclosed that they do not intend to further develop resolaris without a partner.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SCD</w:t>
      </w:r>
    </w:p>
    <w:p>
      <w:pPr>
        <w:spacing w:after="0" w:line="225"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Approved drug treatments for SCD focus primarily on the management and reduction of pain episodes. The two drug treatments approved in the United States are hydroxyurea and L-glutamine. Hydroxyurea, marketed by Bristol-Myers Squibb Company, is approved for the treatment of anemia related to SCD, to reduce the frequency of painful crises and the need for blood transfusions. L-glutamine, marketed by Emmaus Life Sciences, Inc., is approved to reduce severe complications associated with the disorder.</w:t>
      </w:r>
    </w:p>
    <w:p>
      <w:pPr>
        <w:spacing w:after="0" w:line="197" w:lineRule="exact"/>
        <w:rPr>
          <w:sz w:val="20"/>
          <w:szCs w:val="20"/>
          <w:color w:val="auto"/>
        </w:rPr>
      </w:pPr>
    </w:p>
    <w:p>
      <w:pPr>
        <w:jc w:val="both"/>
        <w:ind w:firstLine="400"/>
        <w:spacing w:after="0" w:line="294" w:lineRule="auto"/>
        <w:rPr>
          <w:sz w:val="20"/>
          <w:szCs w:val="20"/>
          <w:color w:val="auto"/>
        </w:rPr>
      </w:pPr>
      <w:r>
        <w:rPr>
          <w:rFonts w:ascii="Arial" w:cs="Arial" w:eastAsia="Arial" w:hAnsi="Arial"/>
          <w:sz w:val="16"/>
          <w:szCs w:val="16"/>
          <w:color w:val="auto"/>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 xml:space="preserve">FTX-HbF could face competition from a number of different therapeutic approaches in development for patients with SCD. Novartis is conducting Phase 3 clinical trials of crizanlizumab, an anti-P-selectin monoclonal antibody, for the prevention of vaso-occlusive crises in patients with SCD. In January 2019, Novartis announced that crizanlizumab was granted breakthrough therapy designation by the FDA, and that Novartis expects to file a BLA for crizanlizumab in the first half of 2019. Global Blood Therapeutics, Inc. is conducting a Phase 3 clinical trial of voxelotor (GBT440), a hemoglobin modifier, to prevent the sickling of RBCs. GlycoMimetics Inc. and Pfizer, Inc. are conducting a Phase 3 clinical trial of rivipansel (GMI-1070), a pan-selectin inhibitor. bluebird is conducting Phase 3 clinical trials of ZYNTEGLO, a gene therapy, as a one-time treatment for SCD that aims to treat SCD by inserting a functional human b-globin gene into the patient's own hematopoietic stem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then transplanting the modified stem cell into the patient's bloodstream. EpiDestiny, Inc., or EpiDestiny, in collaboration with Novo Nordisk A/S, is evaluating EPI01, a small molecule designed to increase production of fetal hemoglobin, in Phase 2 clinical trials. Imara, Inc. is evaluating IMR-687, a PDE9 inhibitor, in a Phase 2a clinical trial in patients with sickle cell anemia. Aruvant Sciences, Inc. is evaluating RVT-1801, a gene therapy, in a Phase 1/2 trial. Sangamo Therapeutics Inc., or Sangamo, in collaboration with Bioverativ Inc., or Bioverativ, is developing BIVV-003, a gene editing cell therapy that modifies cells to produce functional RBCs using fetal hemoglobin. There are also several other gene editing approaches being evaluated by Intellia Therapeutics, Inc. (in collaboration with Novartis), Editas Medicine, Inc. and CRISPR Therapeutics AG (in collaboration with Vertex Pharmaceuticals Incorporated, or Vertex). Pfizer conducted a Phase 1b clinical trial with PF-04447943, a PDE9 inhibitor, in patients with SCD.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b-thalassemia</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current standard of care for many patients with b-thalassemia is frequent blood transfusions to manage anemia. The only potentially curative therapy for b-thalassemia is allogeneic hematopoietic stem cell transplant, which is associated with serious risk and is limited to patients with a suitable donor. ZYNTEGLO, a gene therapy developed by bluebird for the treatment of adult and adolescent patients with transfusion-dependent b-thalassemia and with certain genotypes, received a positive opinion recommending conditional marketing authorization in Europe in March 2019. bluebird announced that it plans to file a BLA in the United States in 2019.</w:t>
      </w:r>
    </w:p>
    <w:p>
      <w:pPr>
        <w:spacing w:after="0" w:line="197" w:lineRule="exact"/>
        <w:rPr>
          <w:sz w:val="20"/>
          <w:szCs w:val="20"/>
          <w:color w:val="auto"/>
        </w:rPr>
      </w:pPr>
    </w:p>
    <w:p>
      <w:pPr>
        <w:jc w:val="both"/>
        <w:ind w:firstLine="359"/>
        <w:spacing w:after="0" w:line="298" w:lineRule="auto"/>
        <w:rPr>
          <w:sz w:val="20"/>
          <w:szCs w:val="20"/>
          <w:color w:val="auto"/>
        </w:rPr>
      </w:pPr>
      <w:r>
        <w:rPr>
          <w:rFonts w:ascii="Arial" w:cs="Arial" w:eastAsia="Arial" w:hAnsi="Arial"/>
          <w:sz w:val="16"/>
          <w:szCs w:val="16"/>
          <w:color w:val="auto"/>
        </w:rPr>
        <w:t>FTX-HbF could face competition from a number of different therapeutic approaches are in development as a therapeutic option for patients with transfusion-dependent b-thalassemia. Acceleron, in collaboration with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or MAA, to the EMA in the second quarter of 2019.</w:t>
      </w:r>
    </w:p>
    <w:p>
      <w:pPr>
        <w:spacing w:after="0" w:line="167" w:lineRule="exact"/>
        <w:rPr>
          <w:sz w:val="20"/>
          <w:szCs w:val="20"/>
          <w:color w:val="auto"/>
        </w:rPr>
      </w:pPr>
    </w:p>
    <w:p>
      <w:pPr>
        <w:jc w:val="both"/>
        <w:ind w:firstLine="585"/>
        <w:spacing w:after="0" w:line="289" w:lineRule="auto"/>
        <w:rPr>
          <w:sz w:val="20"/>
          <w:szCs w:val="20"/>
          <w:color w:val="auto"/>
        </w:rPr>
      </w:pPr>
      <w:r>
        <w:rPr>
          <w:rFonts w:ascii="Arial" w:cs="Arial" w:eastAsia="Arial" w:hAnsi="Arial"/>
          <w:sz w:val="16"/>
          <w:szCs w:val="16"/>
          <w:color w:val="auto"/>
        </w:rPr>
        <w:t xml:space="preserve">Bellicum Pharmaceuticals, Inc. is conducting a Phase 1/2 clinical trial to evaluate a modified donor T cell therapy to be used in conjunction with hematopoietic stem cell transplant. Kiadis Pharma is conducting Phase 2 and Phase 3 clinical trials of an adjunctive T cell immunotherapy treatment in conjunction with hematopoietic stem cell transplant. EpiDestiny, in collaboration with Novo Nordisk A/S, is evaluating EPI01, a small molecule designed to increase production of fetal hemoglobin, in Phase 2 clinical trials. Orchard Therapeutics plc is conducting Phase 2 clinical trials of OTL-300, an autologous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gene therapy for the treatment of transfusion-dependent b-thalassemia. Sangamo, in collaboration with Bioverativ, is conducting a Phase 1/2 clinical trial of</w:t>
      </w:r>
      <w:r>
        <w:rPr>
          <w:rFonts w:ascii="Arial" w:cs="Arial" w:eastAsia="Arial" w:hAnsi="Arial"/>
          <w:sz w:val="16"/>
          <w:szCs w:val="16"/>
          <w:i w:val="1"/>
          <w:iCs w:val="1"/>
          <w:color w:val="auto"/>
        </w:rPr>
        <w:t xml:space="preserve"> </w:t>
      </w:r>
      <w:r>
        <w:rPr>
          <w:rFonts w:ascii="Arial" w:cs="Arial" w:eastAsia="Arial" w:hAnsi="Arial"/>
          <w:sz w:val="16"/>
          <w:szCs w:val="16"/>
          <w:color w:val="auto"/>
        </w:rPr>
        <w:t>ST-400, which uses a genome-edited cell therapy approach designed to produce functional RBCs using fetal hemoglobin. CRISPR Therapeutics AG, in collaboration with Vertex, is conducting a Phase 1/2 clinical trial of CTX001, which uses a gene editing approach to upregulate the expression of fetal hemoglobin, in patients with transfusion-dependent b-thalassemia.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31"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2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imposition of a clinical hold, issuance of warning letters and other types of letters, adverse publicity, product recalls, product seizures, total or partial suspension of production or distribution, injunctions, fines, refusals of government contracts, restitution, disgorgement of profits or civil or criminal investigations and penalties brought by the FDA or Department of Justice, or DOJ, or other government entities, including state agencies.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18"/>
        <w:spacing w:after="0" w:line="268"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199" w:lineRule="exact"/>
        <w:rPr>
          <w:sz w:val="20"/>
          <w:szCs w:val="20"/>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225" w:lineRule="exact"/>
        <w:rPr>
          <w:sz w:val="20"/>
          <w:szCs w:val="20"/>
          <w:color w:val="auto"/>
        </w:rPr>
      </w:pPr>
    </w:p>
    <w:p>
      <w:pPr>
        <w:jc w:val="both"/>
        <w:ind w:right="20" w:firstLine="370"/>
        <w:spacing w:after="0" w:line="26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among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9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174" w:lineRule="exact"/>
        <w:rPr>
          <w:sz w:val="20"/>
          <w:szCs w:val="20"/>
          <w:color w:val="auto"/>
        </w:rPr>
      </w:pPr>
    </w:p>
    <w:p>
      <w:pPr>
        <w:jc w:val="both"/>
        <w:ind w:firstLine="437"/>
        <w:spacing w:after="0" w:line="289" w:lineRule="auto"/>
        <w:rPr>
          <w:sz w:val="20"/>
          <w:szCs w:val="20"/>
          <w:color w:val="auto"/>
        </w:rPr>
      </w:pPr>
      <w:r>
        <w:rPr>
          <w:rFonts w:ascii="Arial" w:cs="Arial" w:eastAsia="Arial" w:hAnsi="Arial"/>
          <w:sz w:val="16"/>
          <w:szCs w:val="16"/>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172"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GCP, including review and approval by an independent ethics committee, or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74"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the competitive environment.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about clinical trials must be submitted within specific timeframes to the NIH for public dissemination on its ClinicalTrials.gov website.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4"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75" w:lineRule="exact"/>
        <w:rPr>
          <w:sz w:val="20"/>
          <w:szCs w:val="20"/>
          <w:color w:val="auto"/>
        </w:rPr>
      </w:pPr>
    </w:p>
    <w:p>
      <w:pPr>
        <w:jc w:val="both"/>
        <w:ind w:firstLine="426"/>
        <w:spacing w:after="0" w:line="290" w:lineRule="auto"/>
        <w:rPr>
          <w:sz w:val="20"/>
          <w:szCs w:val="20"/>
          <w:color w:val="auto"/>
        </w:rPr>
      </w:pPr>
      <w:r>
        <w:rPr>
          <w:rFonts w:ascii="Arial" w:cs="Arial" w:eastAsia="Arial" w:hAnsi="Arial"/>
          <w:sz w:val="15"/>
          <w:szCs w:val="15"/>
          <w:color w:val="auto"/>
        </w:rPr>
        <w:t>On December 13, 2016, the 21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Century Cures Act, or the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76"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225" w:lineRule="exact"/>
        <w:rPr>
          <w:sz w:val="20"/>
          <w:szCs w:val="20"/>
          <w:color w:val="auto"/>
        </w:rPr>
      </w:pPr>
    </w:p>
    <w:p>
      <w:pPr>
        <w:jc w:val="both"/>
        <w:ind w:firstLine="494"/>
        <w:spacing w:after="0" w:line="298"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67"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86"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97"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 efficacy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97"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 has an</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70" w:lineRule="exact"/>
        <w:rPr>
          <w:sz w:val="20"/>
          <w:szCs w:val="20"/>
          <w:color w:val="auto"/>
        </w:rPr>
      </w:pPr>
    </w:p>
    <w:p>
      <w:pPr>
        <w:jc w:val="both"/>
        <w:ind w:firstLine="485"/>
        <w:spacing w:after="0" w:line="255"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97"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225"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4"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9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in 2012. Unless otherwise required by regulation, the pediatric data requirements do not apply to products with orphan designation.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an NDA</w:t>
      </w:r>
    </w:p>
    <w:p>
      <w:pPr>
        <w:spacing w:after="0" w:line="225" w:lineRule="exact"/>
        <w:rPr>
          <w:sz w:val="20"/>
          <w:szCs w:val="20"/>
          <w:color w:val="auto"/>
        </w:rPr>
      </w:pPr>
    </w:p>
    <w:p>
      <w:pPr>
        <w:jc w:val="both"/>
        <w:ind w:firstLine="367"/>
        <w:spacing w:after="0" w:line="253"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201"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The NDA is a vehicle through which applicants formally propose that the FDA approve a new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2019 is $2,588,478 for an application requiring clinical data. The sponsor of an approved NDA is also subject to an annual program fee, which for fiscal year 2019 is $309,915. Certain exceptions and waivers are available for some of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86" w:lineRule="exact"/>
        <w:rPr>
          <w:sz w:val="20"/>
          <w:szCs w:val="20"/>
          <w:color w:val="auto"/>
        </w:rPr>
      </w:pPr>
    </w:p>
    <w:p>
      <w:pPr>
        <w:jc w:val="both"/>
        <w:ind w:firstLine="371"/>
        <w:spacing w:after="0" w:line="287" w:lineRule="auto"/>
        <w:rPr>
          <w:sz w:val="20"/>
          <w:szCs w:val="20"/>
          <w:color w:val="auto"/>
        </w:rPr>
      </w:pPr>
      <w:r>
        <w:rPr>
          <w:rFonts w:ascii="Arial" w:cs="Arial" w:eastAsia="Arial" w:hAnsi="Arial"/>
          <w:sz w:val="16"/>
          <w:szCs w:val="16"/>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77" w:lineRule="exact"/>
        <w:rPr>
          <w:sz w:val="20"/>
          <w:szCs w:val="20"/>
          <w:color w:val="auto"/>
        </w:rPr>
      </w:pPr>
    </w:p>
    <w:p>
      <w:pPr>
        <w:jc w:val="both"/>
        <w:ind w:firstLine="473"/>
        <w:spacing w:after="0" w:line="290"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72" w:lineRule="exact"/>
        <w:rPr>
          <w:sz w:val="20"/>
          <w:szCs w:val="20"/>
          <w:color w:val="auto"/>
        </w:rPr>
      </w:pPr>
    </w:p>
    <w:p>
      <w:pPr>
        <w:jc w:val="both"/>
        <w:ind w:firstLine="498"/>
        <w:spacing w:after="0" w:line="298" w:lineRule="auto"/>
        <w:rPr>
          <w:sz w:val="20"/>
          <w:szCs w:val="20"/>
          <w:color w:val="auto"/>
        </w:rPr>
      </w:pPr>
      <w:r>
        <w:rPr>
          <w:rFonts w:ascii="Arial" w:cs="Arial" w:eastAsia="Arial" w:hAnsi="Arial"/>
          <w:sz w:val="16"/>
          <w:szCs w:val="16"/>
          <w:color w:val="auto"/>
        </w:rPr>
        <w:t>In addition, as a condition of approval, the FDA may require an applicant to develop a REMS. A REMS uses risk-minimization strategies beyond the professional labeling to ensure that the benefits of the product outweigh the potential risks. To determine whether a REMS is needed, the FDA will consider the size of the population likely to use the product, the seriousness of the disease, the expected benefit of the product, the expected duration of treatment, the seriousness of known or potential adverse events and whether the product is a new molecular entity.</w:t>
      </w:r>
    </w:p>
    <w:p>
      <w:pPr>
        <w:spacing w:after="0" w:line="167"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94"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condition. For Fast Track products, sponsors may have greater interaction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4"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auto"/>
        </w:rPr>
        <w:t>Third, 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74" w:lineRule="exact"/>
        <w:rPr>
          <w:sz w:val="20"/>
          <w:szCs w:val="20"/>
          <w:color w:val="auto"/>
        </w:rPr>
      </w:pPr>
    </w:p>
    <w:p>
      <w:pPr>
        <w:jc w:val="both"/>
        <w:ind w:firstLine="402"/>
        <w:spacing w:after="0" w:line="318" w:lineRule="auto"/>
        <w:rPr>
          <w:sz w:val="20"/>
          <w:szCs w:val="20"/>
          <w:color w:val="auto"/>
        </w:rPr>
      </w:pPr>
      <w:r>
        <w:rPr>
          <w:rFonts w:ascii="Arial" w:cs="Arial" w:eastAsia="Arial" w:hAnsi="Arial"/>
          <w:sz w:val="15"/>
          <w:szCs w:val="15"/>
          <w:color w:val="auto"/>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if preliminary clinical evidence indicates that the product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201"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efficacy biomarker or other measure that is thought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0" w:lineRule="exact"/>
        <w:rPr>
          <w:sz w:val="20"/>
          <w:szCs w:val="20"/>
          <w:color w:val="auto"/>
        </w:rPr>
      </w:pPr>
    </w:p>
    <w:p>
      <w:pPr>
        <w:jc w:val="both"/>
        <w:ind w:firstLine="484"/>
        <w:spacing w:after="0" w:line="298"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67"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225"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1"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74"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to the FDA samples of each lot,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Finally, the FDA will conduct laboratory research related to the safety, purity, potency and effectiveness of pharmaceutical products.</w:t>
      </w:r>
    </w:p>
    <w:p>
      <w:pPr>
        <w:spacing w:after="0" w:line="170"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210"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390"/>
        <w:spacing w:after="0" w:line="289"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communication regarding off-label information, such as distributing scientific or medical journal information.</w:t>
      </w:r>
    </w:p>
    <w:p>
      <w:pPr>
        <w:spacing w:after="0" w:line="225" w:lineRule="exact"/>
        <w:rPr>
          <w:sz w:val="20"/>
          <w:szCs w:val="20"/>
          <w:color w:val="auto"/>
        </w:rPr>
      </w:pPr>
    </w:p>
    <w:p>
      <w:pPr>
        <w:jc w:val="both"/>
        <w:ind w:firstLine="371"/>
        <w:spacing w:after="0" w:line="254"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8" w:lineRule="exact"/>
        <w:rPr>
          <w:sz w:val="20"/>
          <w:szCs w:val="20"/>
          <w:color w:val="auto"/>
        </w:rPr>
      </w:pPr>
    </w:p>
    <w:p>
      <w:pPr>
        <w:jc w:val="both"/>
        <w:ind w:firstLine="475"/>
        <w:spacing w:after="0" w:line="255"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225"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74"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225"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94" w:lineRule="exact"/>
        <w:rPr>
          <w:sz w:val="20"/>
          <w:szCs w:val="20"/>
          <w:color w:val="auto"/>
        </w:rPr>
      </w:pPr>
    </w:p>
    <w:p>
      <w:pPr>
        <w:jc w:val="both"/>
        <w:ind w:firstLine="370"/>
        <w:spacing w:after="0" w:line="289"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route of administration, dosage form, strength and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the patient.</w:t>
      </w:r>
    </w:p>
    <w:p>
      <w:pPr>
        <w:spacing w:after="0" w:line="172"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4"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20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225" w:lineRule="exact"/>
        <w:rPr>
          <w:sz w:val="20"/>
          <w:szCs w:val="20"/>
          <w:color w:val="auto"/>
        </w:rPr>
      </w:pPr>
    </w:p>
    <w:p>
      <w:pPr>
        <w:jc w:val="both"/>
        <w:ind w:firstLine="482"/>
        <w:spacing w:after="0" w:line="256"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97"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the expiration of the patent, or a decision in the infringement case that is favorable to the ANDA applicant.</w:t>
      </w:r>
    </w:p>
    <w:p>
      <w:pPr>
        <w:spacing w:after="0" w:line="170"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225"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74"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7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225" w:lineRule="exact"/>
        <w:rPr>
          <w:sz w:val="20"/>
          <w:szCs w:val="20"/>
          <w:color w:val="auto"/>
        </w:rPr>
      </w:pPr>
    </w:p>
    <w:p>
      <w:pPr>
        <w:jc w:val="both"/>
        <w:ind w:firstLine="341"/>
        <w:spacing w:after="0" w:line="288"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225"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regulations that may constrain business and/or financial arrangements. Restrictions under applicable federal and state health care laws and regulations, include the following:</w:t>
      </w:r>
    </w:p>
    <w:p>
      <w:pPr>
        <w:spacing w:after="0" w:line="199" w:lineRule="exact"/>
        <w:rPr>
          <w:sz w:val="20"/>
          <w:szCs w:val="20"/>
          <w:color w:val="auto"/>
        </w:rPr>
      </w:pPr>
    </w:p>
    <w:p>
      <w:pPr>
        <w:jc w:val="both"/>
        <w:ind w:left="108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24"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2"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9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86"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25" w:lineRule="exact"/>
        <w:rPr>
          <w:sz w:val="20"/>
          <w:szCs w:val="20"/>
          <w:color w:val="auto"/>
        </w:rPr>
      </w:pPr>
    </w:p>
    <w:p>
      <w:pPr>
        <w:jc w:val="both"/>
        <w:ind w:firstLine="474"/>
        <w:spacing w:after="0" w:line="288"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4" w:lineRule="exact"/>
        <w:rPr>
          <w:sz w:val="20"/>
          <w:szCs w:val="20"/>
          <w:color w:val="auto"/>
        </w:rPr>
      </w:pPr>
    </w:p>
    <w:p>
      <w:pPr>
        <w:jc w:val="both"/>
        <w:ind w:firstLine="693"/>
        <w:spacing w:after="0" w:line="290"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72"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4"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94" w:lineRule="exact"/>
        <w:rPr>
          <w:sz w:val="20"/>
          <w:szCs w:val="20"/>
          <w:color w:val="auto"/>
        </w:rPr>
      </w:pPr>
    </w:p>
    <w:p>
      <w:pPr>
        <w:jc w:val="both"/>
        <w:ind w:firstLine="403"/>
        <w:spacing w:after="0" w:line="332" w:lineRule="auto"/>
        <w:rPr>
          <w:sz w:val="20"/>
          <w:szCs w:val="20"/>
          <w:color w:val="auto"/>
        </w:rPr>
      </w:pPr>
      <w:r>
        <w:rPr>
          <w:rFonts w:ascii="Arial" w:cs="Arial" w:eastAsia="Arial" w:hAnsi="Arial"/>
          <w:sz w:val="16"/>
          <w:szCs w:val="16"/>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54"/>
        <w:spacing w:after="0" w:line="289"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increased the statute of limitations period for the government to recover overpayments to providers from three to five years.</w:t>
      </w:r>
    </w:p>
    <w:p>
      <w:pPr>
        <w:spacing w:after="0" w:line="172"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will likely consider other legislation to replace elements of the ACA during the next Congressional session.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81"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w:t>
      </w:r>
    </w:p>
    <w:p>
      <w:pPr>
        <w:spacing w:after="0" w:line="172"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6"/>
          <w:szCs w:val="16"/>
          <w:color w:val="auto"/>
        </w:rPr>
        <w:t>For example, on May 11, 2018, the Administration issued a plan to lower drug prices. Under this blueprint for action, the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97"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jc w:val="both"/>
        <w:ind w:firstLine="480"/>
        <w:spacing w:after="0" w:line="286"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jc w:val="both"/>
        <w:ind w:firstLine="452"/>
        <w:spacing w:after="0" w:line="253"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member states of the European Union, or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In April 2014, the new Clinical Trials Regulation, (EU) No 536/2014, was adopted. The Clinical Trials Regulation was published on June 16, 2014 but is not expected to apply until later in 2019. The Clinical Trials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2" w:lineRule="exact"/>
        <w:rPr>
          <w:sz w:val="20"/>
          <w:szCs w:val="20"/>
          <w:color w:val="auto"/>
        </w:rPr>
      </w:pPr>
    </w:p>
    <w:p>
      <w:pPr>
        <w:jc w:val="both"/>
        <w:ind w:firstLine="487"/>
        <w:spacing w:after="0" w:line="289"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22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Committee for Human Medicinal Products, or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2" w:lineRule="exact"/>
        <w:rPr>
          <w:sz w:val="20"/>
          <w:szCs w:val="20"/>
          <w:color w:val="auto"/>
        </w:rPr>
      </w:pPr>
    </w:p>
    <w:p>
      <w:pPr>
        <w:jc w:val="both"/>
        <w:ind w:firstLine="563"/>
        <w:spacing w:after="0" w:line="286" w:lineRule="auto"/>
        <w:rPr>
          <w:sz w:val="20"/>
          <w:szCs w:val="20"/>
          <w:color w:val="auto"/>
        </w:rPr>
      </w:pPr>
      <w:r>
        <w:rPr>
          <w:rFonts w:ascii="Arial" w:cs="Arial" w:eastAsia="Arial" w:hAnsi="Arial"/>
          <w:sz w:val="16"/>
          <w:szCs w:val="16"/>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5"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188" w:lineRule="exact"/>
        <w:rPr>
          <w:sz w:val="20"/>
          <w:szCs w:val="20"/>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70"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7" w:lineRule="exact"/>
        <w:rPr>
          <w:sz w:val="20"/>
          <w:szCs w:val="20"/>
          <w:color w:val="auto"/>
        </w:rPr>
      </w:pPr>
    </w:p>
    <w:p>
      <w:pPr>
        <w:jc w:val="both"/>
        <w:ind w:firstLine="519"/>
        <w:spacing w:after="0" w:line="256" w:lineRule="auto"/>
        <w:rPr>
          <w:sz w:val="20"/>
          <w:szCs w:val="20"/>
          <w:color w:val="auto"/>
        </w:rPr>
      </w:pPr>
      <w:r>
        <w:rPr>
          <w:rFonts w:ascii="Arial" w:cs="Arial" w:eastAsia="Arial" w:hAnsi="Arial"/>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97"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w:t>
      </w:r>
    </w:p>
    <w:p>
      <w:pPr>
        <w:spacing w:after="0" w:line="225"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Paediatric Studies and Exclusivity</w:t>
      </w:r>
    </w:p>
    <w:p>
      <w:pPr>
        <w:spacing w:after="0" w:line="225"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6"/>
          <w:szCs w:val="16"/>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jc w:val="both"/>
        <w:ind w:firstLine="361"/>
        <w:spacing w:after="0" w:line="314" w:lineRule="auto"/>
        <w:rPr>
          <w:sz w:val="20"/>
          <w:szCs w:val="20"/>
          <w:color w:val="auto"/>
        </w:rPr>
      </w:pPr>
      <w:r>
        <w:rPr>
          <w:rFonts w:ascii="Arial" w:cs="Arial" w:eastAsia="Arial" w:hAnsi="Arial"/>
          <w:sz w:val="15"/>
          <w:szCs w:val="15"/>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5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jc w:val="both"/>
        <w:ind w:right="20" w:firstLine="481"/>
        <w:spacing w:after="0" w:line="268"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83"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On June 23, 2016, the electorate in the United Kingdom voted in favor of leaving the EU, commonly referred to as Brexit. Thereafter, on March 29, 2017, the country formally notified the EU of its intention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withdraw pursuant to Article 50 of the Lisbon Treaty. The withdrawal of the United Kingdom from the EU was meant to take effect either on the effective date of the withdrawal agreement or, in the absence of agreement, two years after the United Kingdom provides a notice of withdrawal pursuant to the EU Treaty, which was March 29, 2019. That date has now been extended to October 31, 2019. Discussions between the United Kingdom and the European Union have focused on finalizing withdrawal issues and transition agreements, but have been extremely difficult to date. Limited progress to date in these negotiations and ongoing uncertainty within the UK Government and Parliament sustains the possibility of the United Kingdom leaving the European Union on the given deadline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 It remains to be seen how, if at all, Brexit will impact regulatory requirements for product candidates and products in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25"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225" w:lineRule="exact"/>
        <w:rPr>
          <w:sz w:val="20"/>
          <w:szCs w:val="20"/>
          <w:color w:val="auto"/>
        </w:rPr>
      </w:pPr>
    </w:p>
    <w:p>
      <w:pPr>
        <w:jc w:val="both"/>
        <w:ind w:firstLine="442"/>
        <w:spacing w:after="0" w:line="287"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82"/>
        <w:spacing w:after="0" w:line="259" w:lineRule="auto"/>
        <w:rPr>
          <w:sz w:val="20"/>
          <w:szCs w:val="20"/>
          <w:color w:val="auto"/>
        </w:rPr>
      </w:pPr>
      <w:r>
        <w:rPr>
          <w:rFonts w:ascii="Arial" w:cs="Arial" w:eastAsia="Arial" w:hAnsi="Arial"/>
          <w:sz w:val="18"/>
          <w:szCs w:val="18"/>
          <w:color w:val="auto"/>
        </w:rPr>
        <w:t>As of May 15, 2019, we had 62 full-time employees, including a total of 27 employees with M.D. or Ph.D. degrees. Of these full-time employees, 49 employees are engaged in research and development.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name, age as of May 15, 2019 and position of each of our executive officers and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3620" w:type="dxa"/>
            <w:vAlign w:val="bottom"/>
          </w:tcPr>
          <w:p>
            <w:pPr>
              <w:ind w:left="15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Chief Executive Officer and President,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Wallace,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Diego Cadavid, M.D.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Senior Vice President, Clinical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Levin</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James J. Collins,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Alan Ezekowitz, MBChB, D.Phil</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James Geraghty</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Kate Haviland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Robert J. Gould, Ph.D. </w:t>
      </w:r>
      <w:r>
        <w:rPr>
          <w:rFonts w:ascii="Arial" w:cs="Arial" w:eastAsia="Arial" w:hAnsi="Arial"/>
          <w:sz w:val="16"/>
          <w:szCs w:val="16"/>
          <w:color w:val="auto"/>
        </w:rPr>
        <w:t>has served as our president and chief executive officer and as a member of our board of directors since June 2016. Dr. Gould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Research Laboratories, or Merck, a healthcare company, where he held a variety of leadership positions, culminating in the role of vice president, licensing and external research.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current role as our chief executive officer qualify him to serve on our board of directors.</w:t>
      </w:r>
    </w:p>
    <w:p>
      <w:pPr>
        <w:spacing w:after="0" w:line="172"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b w:val="1"/>
          <w:bCs w:val="1"/>
          <w:i w:val="1"/>
          <w:iCs w:val="1"/>
          <w:color w:val="auto"/>
        </w:rPr>
        <w:t xml:space="preserve">Bryan Stuart </w:t>
      </w:r>
      <w:r>
        <w:rPr>
          <w:rFonts w:ascii="Arial" w:cs="Arial" w:eastAsia="Arial" w:hAnsi="Arial"/>
          <w:sz w:val="16"/>
          <w:szCs w:val="16"/>
          <w:color w:val="auto"/>
        </w:rPr>
        <w:t>has served as our chief operating officer since December 2018. Mr. Stuart previously served as president and chief executive officer of Yarra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LLC, or Yarra, a subsidiary of Array Biopharma, Inc., a biopharmaceutical company focused on genetically defined rare diseases, from December 2017 to August 2018. Prior to joining Yarra, Mr. Stuart served as president of Kastle Therapeutics, LLC, or Kastle, a biopharmaceutical company focused on developing and commercializing treatments for rare diseases, from July 2015 to March 2017 and as president and chief executive officer from March 2017 to November 2017. Prior to joining Kastle, Mr. Stuart was the chief business officer of Civitas Therapeutics, Inc., a biopharmaceutical company, from August 2012 to October 2014, where he led the business development, capital raising, commercial and portfolio management functions, including the sale of Civitas to Acorda Therapeutics, Inc. He previously led business development, corporate development and strategy at both EKR Therapeutics Inc. (acquired by Chiesi Farmaceutici S.p.A.) and Ovation Pharmaceuticals Inc. (acquired by Lundbeck A/S), where he played key roles in each company's growth and ultimate sale. Mr. Stuart began his career as a healthcare investment banker at William Blair &amp; Company. Mr. Stuart received an MBA from the Kellogg School of Management at Northwestern University and a B.S. from the University of Illinois.</w:t>
      </w:r>
    </w:p>
    <w:p>
      <w:pPr>
        <w:spacing w:after="0" w:line="204"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b w:val="1"/>
          <w:bCs w:val="1"/>
          <w:i w:val="1"/>
          <w:iCs w:val="1"/>
          <w:color w:val="auto"/>
        </w:rPr>
        <w:t xml:space="preserve">Owen Wallace, Ph.D. </w:t>
      </w:r>
      <w:r>
        <w:rPr>
          <w:rFonts w:ascii="Arial" w:cs="Arial" w:eastAsia="Arial" w:hAnsi="Arial"/>
          <w:sz w:val="18"/>
          <w:szCs w:val="18"/>
          <w:color w:val="auto"/>
        </w:rPr>
        <w:t>has served as our chief scientific officer since April 2017. Dr. Wallace previously served as head, global discovery chemistry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Novartis Institutes for BioMedical Research, or Novartis Institutes, a pharmaceutical company, from May 2013 to April 2017. Prior to joining Novartis Institutes, 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held various positions at Eli Lilly &amp; Company, a pharmaceutical company, including site scientific leader and group senior director from July 2010 to June 2013, senior director, discovery chemistry from August 2009 to July 2010, director, discovery chemistry from December 2005 to August 2009 and head, discovery chemistry research from February 2002 to December 2005. Prior to that, Dr. Wallace was a senior research investigator at Bristol-Myers Squibb, a biopharmaceutical company, from March 1995 to May 2000. Dr. Wallace received his Ph.D. in Organic Chemistry from Yale University and his B.Sc. (Hons) in Chemistry from University College Cork in Ireland.</w:t>
      </w:r>
    </w:p>
    <w:p>
      <w:pPr>
        <w:spacing w:after="0" w:line="19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Diego Cadavid, M.D. </w:t>
      </w:r>
      <w:r>
        <w:rPr>
          <w:rFonts w:ascii="Arial" w:cs="Arial" w:eastAsia="Arial" w:hAnsi="Arial"/>
          <w:sz w:val="16"/>
          <w:szCs w:val="16"/>
          <w:color w:val="auto"/>
        </w:rPr>
        <w:t>has served as our senior vice president, clinical development since July 2018 and served as our vice president, clinical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September 2016 to July 2018. Dr. Cadavid currently serves as an adjunct professor at the University of Massachusetts Medical School. Dr. Cadavid previously served as senior medical director in the MS Clinical Development Group at Biogen Inc., or Biogen, a biotechnology company, from January 2014 to September 2016 and as a director of the Neurology Clinical Group at Biogen from April 2008 to December 2013. Before joining Biogen, Dr. Cadavid spent nine years at Rutgers-New Jersey Medical School where he was Associate Professor of Neurology and Neuroscience. While working at Biogen, Dr. Cadavid served as a consultant at the Center for Immunology and Inflammatory Diseases at the Massachusetts General Hospital in Boston. Dr. Cadavid received an M.D. from Pontificia Universidad Javeriana in Bogota, Colombia.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i w:val="1"/>
          <w:iCs w:val="1"/>
          <w:color w:val="auto"/>
        </w:rPr>
        <w:t xml:space="preserve">Mark Levin </w:t>
      </w:r>
      <w:r>
        <w:rPr>
          <w:rFonts w:ascii="Arial" w:cs="Arial" w:eastAsia="Arial" w:hAnsi="Arial"/>
          <w:sz w:val="16"/>
          <w:szCs w:val="16"/>
          <w:color w:val="auto"/>
        </w:rPr>
        <w:t>has served as a member of our board of directors since August 2015 and chairman of our board of directors since August 2016. Mr. Levin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a partner at Third Rock Ventures, LLC, which he co-founded in 2007. Mr. Levin served as our interim president and chief executive officer from August 2015 to July 2016 and as interim president and chief executive officer of Voyager Therapeutics, Inc., or Voyager, a biotechnology company, from June 2013 to September 2014. He has served as the chairman of the board of directors of Voyager since June 2013. Mr. Levin was formerly on the boards of publicly traded life sciences companies Eleven Biotherapeutics, Inc. from September 2008 to November 2014 and Foundation Medicine, Inc. from 2010 to June 2014. Mr. Levin served as founding chief executive officer of Millennium Pharmaceuticals, Inc., a biopharmaceutical company since acquired by Takeda Pharmaceutical Company Limited, from 1993 to 2005. Mr. Levin received both a B.S. and an M.S. in Chemical and Biochemical Engineering from Washington University in St. Louis. We believe Mr. Levin's experience working with and serving on the boards of directors of life sciences companies and his experience working in the venture capital industry qualifies him to serve on our board of directors.</w:t>
      </w:r>
    </w:p>
    <w:p>
      <w:pPr>
        <w:spacing w:after="0" w:line="17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b w:val="1"/>
          <w:bCs w:val="1"/>
          <w:i w:val="1"/>
          <w:iCs w:val="1"/>
          <w:color w:val="auto"/>
        </w:rPr>
        <w:t xml:space="preserve">James J. Collins, Ph.D. </w:t>
      </w:r>
      <w:r>
        <w:rPr>
          <w:rFonts w:ascii="Arial" w:cs="Arial" w:eastAsia="Arial" w:hAnsi="Arial"/>
          <w:sz w:val="16"/>
          <w:szCs w:val="16"/>
          <w:color w:val="auto"/>
        </w:rPr>
        <w:t>has served on our board of directors since January 2017. Dr. Collins has served as the Termeer Professor of Medical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70" w:lineRule="exact"/>
        <w:rPr>
          <w:sz w:val="20"/>
          <w:szCs w:val="20"/>
          <w:color w:val="auto"/>
        </w:rPr>
      </w:pPr>
    </w:p>
    <w:p>
      <w:pPr>
        <w:jc w:val="both"/>
        <w:ind w:firstLine="473"/>
        <w:spacing w:after="0" w:line="290" w:lineRule="auto"/>
        <w:rPr>
          <w:sz w:val="20"/>
          <w:szCs w:val="20"/>
          <w:color w:val="auto"/>
        </w:rPr>
      </w:pPr>
      <w:r>
        <w:rPr>
          <w:rFonts w:ascii="Arial" w:cs="Arial" w:eastAsia="Arial" w:hAnsi="Arial"/>
          <w:sz w:val="16"/>
          <w:szCs w:val="16"/>
          <w:b w:val="1"/>
          <w:bCs w:val="1"/>
          <w:i w:val="1"/>
          <w:iCs w:val="1"/>
          <w:color w:val="auto"/>
        </w:rPr>
        <w:t xml:space="preserve">Alan Ezekowitz, MBChB, D.Phil </w:t>
      </w:r>
      <w:r>
        <w:rPr>
          <w:rFonts w:ascii="Arial" w:cs="Arial" w:eastAsia="Arial" w:hAnsi="Arial"/>
          <w:sz w:val="16"/>
          <w:szCs w:val="16"/>
          <w:color w:val="auto"/>
        </w:rPr>
        <w:t>has served on our board of directors since December 2016. Dr. Ezekowitz currently serves as the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Abide Therapeutics, Inc., or Abide, a biopharmaceutical company that he co-founded in 2011. Prior to founding Abide, Dr. Ezekowitz was the senior vice president and franchise head for disease areas including bone, respiratory, immunology, muscle, dermatology and urology at Merck from March 2006 to March 2011.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University. We believe Dr. Ezekowitz's leadership experience in the life sciences industry qualifies him to serve on our board of directors.</w:t>
      </w:r>
    </w:p>
    <w:p>
      <w:pPr>
        <w:spacing w:after="0" w:line="225"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b w:val="1"/>
          <w:bCs w:val="1"/>
          <w:i w:val="1"/>
          <w:iCs w:val="1"/>
          <w:color w:val="auto"/>
        </w:rPr>
        <w:t xml:space="preserve">James Geraghty </w:t>
      </w:r>
      <w:r>
        <w:rPr>
          <w:rFonts w:ascii="Arial" w:cs="Arial" w:eastAsia="Arial" w:hAnsi="Arial"/>
          <w:sz w:val="16"/>
          <w:szCs w:val="16"/>
          <w:color w:val="auto"/>
        </w:rPr>
        <w:t>has served on our board of directors since July 2016. Mr. Geraghty is an industry leader with over 30 years of strategic and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including more than 20 years as a senior member of executive teams at biotechnology companies developing and commercializing innovative therapies. From May 2013 to December 2016, Mr. Geraghty was an Entrepreneur in Residence at Third Rock Ventures,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from 1992 to April 2011, including as senior vice president, international development from January 2007 to April 2011. Mr. Geraghty currently serves as chairman of the board of directors of Orchard Therapeutics plc, Idera Pharmaceuticals, Inc., or Idera, and Pieris Pharmaceuticals, Inc., each publicly traded companies, and as a member of the board of directors of Voyager, a publicly traded company. He previously served as chairman of the board of Juniper Pharmaceuticals, Inc. and as a director of bluebird bio Inc. and GTC Biotherapeutics,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Kate Haviland </w:t>
      </w:r>
      <w:r>
        <w:rPr>
          <w:rFonts w:ascii="Arial" w:cs="Arial" w:eastAsia="Arial" w:hAnsi="Arial"/>
          <w:sz w:val="16"/>
          <w:szCs w:val="16"/>
          <w:color w:val="auto"/>
        </w:rPr>
        <w:t>has served on our board of directors since June 2018. Ms. Haviland has served as chief operating officer of Blueprint Medicines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Blueprint, a precision therapy company, since February 2019. Prior to her serving as chief operating officer, Ms. Haviland served as chief business officer of Blueprint from January 2016 to January 2019. Prior to that, from April 2014 to December 2015, Ms. Haviland served as vice president, rare diseases and oncology program leadership at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 previously served as executive director of commercial development at PTC Therapeutics, Inc., a biopharmaceutical company, from March 2007 to June 2012 and held corporate development and project management roles at Genzyme, a biotechnology company, from July 2005 to April 2007. Ms. Haviland received a B.A. from Wesleyan University with a double major in biochemistry/molecular biology and economics and an M.B.A. from Harvard Business School. We believe Ms. Haviland's extensive experience working with life sciences companies qualifies her to serve on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25"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Our board of directors is currently authorized to have eight members and currently consists of six members. Our directors hold office until their successors have been elected and qualified or until the earlier of their death, resignation or removal.</w:t>
      </w:r>
    </w:p>
    <w:p>
      <w:pPr>
        <w:spacing w:after="0" w:line="186"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Our certificate of incorporation and bylaws that will become effective upon the closing of this offering provide that the authorized number of directors may be changed only by resolution of our board of directors. Our certificate of incorporation and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194"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1360" w:type="dxa"/>
            <w:vAlign w:val="bottom"/>
          </w:tcPr>
          <w:p>
            <w:pPr>
              <w:ind w:left="48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52"/>
              <w:spacing w:after="0"/>
              <w:rPr>
                <w:sz w:val="20"/>
                <w:szCs w:val="20"/>
                <w:color w:val="auto"/>
              </w:rPr>
            </w:pPr>
            <w:r>
              <w:rPr>
                <w:rFonts w:ascii="Arial" w:cs="Arial" w:eastAsia="Arial" w:hAnsi="Arial"/>
                <w:sz w:val="18"/>
                <w:szCs w:val="18"/>
                <w:color w:val="auto"/>
                <w:w w:val="96"/>
              </w:rPr>
              <w:t>, and their term will expire at the annual meeting of stockholders to be held in 2020;</w:t>
            </w: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240"/>
              <w:spacing w:after="0"/>
              <w:rPr>
                <w:sz w:val="20"/>
                <w:szCs w:val="20"/>
                <w:color w:val="auto"/>
              </w:rPr>
            </w:pPr>
            <w:r>
              <w:rPr>
                <w:rFonts w:ascii="Arial" w:cs="Arial" w:eastAsia="Arial" w:hAnsi="Arial"/>
                <w:sz w:val="18"/>
                <w:szCs w:val="18"/>
                <w:color w:val="auto"/>
              </w:rPr>
              <w:t>the class II directors will</w:t>
            </w:r>
          </w:p>
        </w:tc>
        <w:tc>
          <w:tcPr>
            <w:tcW w:w="1360" w:type="dxa"/>
            <w:vAlign w:val="bottom"/>
          </w:tcPr>
          <w:p>
            <w:pPr>
              <w:ind w:left="46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8"/>
              </w:rPr>
              <w:t>, and their term will expire at the annual meeting of stockholders to be held in 2021;</w:t>
            </w:r>
          </w:p>
        </w:tc>
      </w:tr>
      <w:tr>
        <w:trPr>
          <w:trHeight w:val="222"/>
        </w:trPr>
        <w:tc>
          <w:tcPr>
            <w:tcW w:w="300" w:type="dxa"/>
            <w:vAlign w:val="bottom"/>
          </w:tcPr>
          <w:p>
            <w:pPr>
              <w:spacing w:after="0"/>
              <w:rPr>
                <w:sz w:val="19"/>
                <w:szCs w:val="19"/>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and</w:t>
            </w:r>
          </w:p>
        </w:tc>
        <w:tc>
          <w:tcPr>
            <w:tcW w:w="136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4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1360" w:type="dxa"/>
            <w:vAlign w:val="bottom"/>
          </w:tcPr>
          <w:p>
            <w:pPr>
              <w:ind w:left="62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7"/>
              </w:rPr>
              <w:t>, and their term will expire at the annual meeting of stockholders to be held in 2022.</w:t>
            </w:r>
          </w:p>
        </w:tc>
      </w:tr>
    </w:tbl>
    <w:p>
      <w:pPr>
        <w:spacing w:after="0" w:line="210"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86"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Stock—Delaware Anti-Takeover Law and Certain Charter and Bylaw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406"/>
        <w:spacing w:after="0" w:line="285"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82"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In 2019,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his or her independence, including the beneficial ownership of our capital stock by each non-employee director. Dr. Gould is not an independent director under these rules because he is our president and chief executive officer.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366"/>
        <w:spacing w:after="0" w:line="33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under a charter that has been approved by our board. The composition of each committee will be effective as of the date of this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The members of our audit committee are , and . is the chair of the audit committee. Effective at the time of this offering,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Our board of directors has determined that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ind w:left="400"/>
        <w:spacing w:after="0"/>
        <w:tabs>
          <w:tab w:leader="none" w:pos="5100" w:val="left"/>
          <w:tab w:leader="none" w:pos="640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is the chair of the compensation</w:t>
      </w:r>
    </w:p>
    <w:p>
      <w:pPr>
        <w:spacing w:after="0" w:line="37" w:lineRule="exact"/>
        <w:rPr>
          <w:sz w:val="20"/>
          <w:szCs w:val="20"/>
          <w:color w:val="auto"/>
        </w:rPr>
      </w:pPr>
    </w:p>
    <w:p>
      <w:pPr>
        <w:sectPr>
          <w:pgSz w:w="11900" w:h="16838" w:orient="portrait"/>
          <w:cols w:equalWidth="0" w:num="3">
            <w:col w:w="7200" w:space="720"/>
            <w:col w:w="500" w:space="720"/>
            <w:col w:w="2280"/>
          </w:cols>
          <w:pgMar w:left="240" w:top="13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committee. Effective at the time of this offering, our compensation committee's responsibilities will include:</w:t>
      </w:r>
    </w:p>
    <w:p>
      <w:pPr>
        <w:sectPr>
          <w:pgSz w:w="11900" w:h="16838" w:orient="portrait"/>
          <w:cols w:equalWidth="0" w:num="1">
            <w:col w:w="11420"/>
          </w:cols>
          <w:pgMar w:left="240" w:top="131" w:right="239" w:bottom="1440" w:gutter="0" w:footer="0" w:header="0"/>
          <w:type w:val="continuous"/>
        </w:sectPr>
      </w:pPr>
    </w:p>
    <w:p>
      <w:pPr>
        <w:spacing w:after="0" w:line="269" w:lineRule="exact"/>
        <w:rPr>
          <w:sz w:val="20"/>
          <w:szCs w:val="20"/>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350"/>
        <w:spacing w:after="0" w:line="266" w:lineRule="auto"/>
        <w:rPr>
          <w:sz w:val="20"/>
          <w:szCs w:val="20"/>
          <w:color w:val="auto"/>
        </w:rPr>
      </w:pPr>
      <w:r>
        <w:rPr>
          <w:rFonts w:ascii="Arial" w:cs="Arial" w:eastAsia="Arial" w:hAnsi="Arial"/>
          <w:sz w:val="18"/>
          <w:szCs w:val="18"/>
          <w:color w:val="auto"/>
        </w:rPr>
        <w:t>The members of our nominating and corporate governance committee are , and . is the chair of the nominating and corporate governance committee. Effective at the time of this offering, our nominating and corporate governance committee's responsibilities will include:</w:t>
      </w:r>
    </w:p>
    <w:p>
      <w:pPr>
        <w:spacing w:after="0" w:line="200" w:lineRule="exact"/>
        <w:rPr>
          <w:sz w:val="20"/>
          <w:szCs w:val="20"/>
          <w:color w:val="auto"/>
        </w:rPr>
      </w:pPr>
    </w:p>
    <w:p>
      <w:pPr>
        <w:spacing w:after="0" w:line="21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overseeing a periodic evaluation of our board of directors.</w:t>
      </w:r>
    </w:p>
    <w:p>
      <w:pPr>
        <w:spacing w:after="0" w:line="225" w:lineRule="exact"/>
        <w:rPr>
          <w:sz w:val="20"/>
          <w:szCs w:val="20"/>
          <w:color w:val="auto"/>
        </w:rPr>
      </w:pPr>
    </w:p>
    <w:p>
      <w:pPr>
        <w:jc w:val="both"/>
        <w:ind w:right="20" w:firstLine="379"/>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Code of Conduct</w:t>
      </w:r>
    </w:p>
    <w:p>
      <w:pPr>
        <w:spacing w:after="0" w:line="2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intend to adopt a written code of business conduct and ethics that applies to our directors, officers and employees, including our principal executive officer, principal financial officer, principal accounting officer or controller, or persons performing similar functions. We intend to post a current copy of the code on our website, www.fulcrumtx.com. In addition, we intend to post on our website all disclosures that are required by law or Nasdaq listing standards concerning any amendments to, or waivers from, any provision of the code.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firstLine="377"/>
        <w:spacing w:after="0" w:line="259" w:lineRule="auto"/>
        <w:rPr>
          <w:sz w:val="20"/>
          <w:szCs w:val="20"/>
          <w:color w:val="auto"/>
        </w:rPr>
      </w:pPr>
      <w:r>
        <w:rPr>
          <w:rFonts w:ascii="Arial" w:cs="Arial" w:eastAsia="Arial" w:hAnsi="Arial"/>
          <w:sz w:val="18"/>
          <w:szCs w:val="18"/>
          <w:color w:val="auto"/>
        </w:rPr>
        <w:t>The following discussion relates to the compensation of our president and chief executive officer, Robert J. Gould, our chief operating officer, Bryan Stuart, and our senior vice president, clinical development, Diego Cadavid, for fiscal year 2018. Dr. Gould, Mr. Stuart and Dr. Cadavid are collectively referred to in this prospectus as our named executive officers.</w:t>
      </w:r>
    </w:p>
    <w:p>
      <w:pPr>
        <w:spacing w:after="0" w:line="194"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the year ended December 31, 2018.</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Stock awards</w:t>
            </w:r>
          </w:p>
        </w:tc>
        <w:tc>
          <w:tcPr>
            <w:tcW w:w="16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76"/>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39"/>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100" w:type="dxa"/>
            <w:vAlign w:val="bottom"/>
            <w:gridSpan w:val="2"/>
          </w:tcPr>
          <w:p>
            <w:pPr>
              <w:jc w:val="right"/>
              <w:ind w:right="259"/>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200" w:type="dxa"/>
            <w:vAlign w:val="bottom"/>
            <w:gridSpan w:val="2"/>
          </w:tcPr>
          <w:p>
            <w:pPr>
              <w:jc w:val="right"/>
              <w:ind w:right="302"/>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10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203,734</w:t>
            </w: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340" w:type="dxa"/>
            <w:vAlign w:val="bottom"/>
            <w:gridSpan w:val="3"/>
          </w:tcPr>
          <w:p>
            <w:pPr>
              <w:spacing w:after="0" w:line="249" w:lineRule="exact"/>
              <w:rPr>
                <w:sz w:val="20"/>
                <w:szCs w:val="20"/>
                <w:color w:val="auto"/>
              </w:rPr>
            </w:pPr>
            <w:r>
              <w:rPr>
                <w:rFonts w:ascii="Arial" w:cs="Arial" w:eastAsia="Arial" w:hAnsi="Arial"/>
                <w:sz w:val="17"/>
                <w:szCs w:val="17"/>
                <w:color w:val="auto"/>
              </w:rPr>
              <w:t>Bryan Stuart</w:t>
            </w:r>
            <w:r>
              <w:rPr>
                <w:rFonts w:ascii="Arial" w:cs="Arial" w:eastAsia="Arial" w:hAnsi="Arial"/>
                <w:sz w:val="28"/>
                <w:szCs w:val="28"/>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1,685,290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1,701,957</w:t>
            </w:r>
          </w:p>
        </w:tc>
        <w:tc>
          <w:tcPr>
            <w:tcW w:w="16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89"/>
              </w:rPr>
              <w:t>Senior Vice President, Clinical Development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where noted otherwise, the amounts reported in the "Bonus" column reflect discretionary annual cash bonuses paid to our named executive officers for their performance.</w:t>
      </w:r>
    </w:p>
    <w:p>
      <w:pPr>
        <w:spacing w:after="0" w:line="212"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reported in the "Stock awards" column reflect the aggregate fair value of stock-based compensation awarded during the year computed in accordance with the provisions of Financial Accounting Standards Board, or FASB, Accounting Standards Codification, or ASC, Topic 718. See Note 8 to our consolidated financial statements appearing at the end of this prospectus regarding assumptions underlying the valuation of equity awards.</w:t>
      </w:r>
    </w:p>
    <w:p>
      <w:pPr>
        <w:spacing w:after="0" w:line="210"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FASB ASC Topic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Stuart commenced employment with us on December 17,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2018, we paid Dr. Gould an annualized base salary of $442,900. In January 2019, our board of directors set Dr. Gould's 2019 annual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at $460,000. In 2018, we paid Mr. Stuart an annualized base salary of $400,000. In January 2019, our board of directors set Mr. Stuart's 2019 annual base salary at $400,000. In 2018, we paid Dr. Cadavid an annualized base salary of $342,784 until July 16, 2018, after which Dr. Cadavid was promoted to the position of senior vice president, clinical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we paid Dr. Cadavid an annualized base salary of $355,000. In January 2019, our board of directors set Dr. Cadavid's 2019 annual base salary at $366,000.</w:t>
      </w:r>
    </w:p>
    <w:p>
      <w:pPr>
        <w:spacing w:after="0" w:line="24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9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Our letter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170"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With respect to 2018 performance, our board of directors awarded bonuses of $203,734 and $111,825 to Dr. Gould and Dr. Cadavid, respectively. Because he joined us in December 2018, Mr. Stuart did not receive an annual bonus for 2018.</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i w:val="1"/>
          <w:iCs w:val="1"/>
          <w:color w:val="auto"/>
        </w:rPr>
        <w:t xml:space="preserve">Equity Incentives. </w:t>
      </w:r>
      <w:r>
        <w:rPr>
          <w:rFonts w:ascii="Arial" w:cs="Arial" w:eastAsia="Arial" w:hAnsi="Arial"/>
          <w:sz w:val="18"/>
          <w:szCs w:val="18"/>
          <w:color w:val="auto"/>
        </w:rPr>
        <w:t>Although we do not have a formal policy with respect to the grant of equity incentive awards to our executive officers, or any formal</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98" w:lineRule="exact"/>
        <w:rPr>
          <w:sz w:val="20"/>
          <w:szCs w:val="20"/>
          <w:color w:val="auto"/>
        </w:rPr>
      </w:pPr>
    </w:p>
    <w:p>
      <w:pPr>
        <w:jc w:val="both"/>
        <w:ind w:firstLine="423"/>
        <w:spacing w:after="0" w:line="289" w:lineRule="auto"/>
        <w:rPr>
          <w:sz w:val="20"/>
          <w:szCs w:val="20"/>
          <w:color w:val="auto"/>
        </w:rPr>
      </w:pPr>
      <w:r>
        <w:rPr>
          <w:rFonts w:ascii="Arial" w:cs="Arial" w:eastAsia="Arial" w:hAnsi="Arial"/>
          <w:sz w:val="16"/>
          <w:szCs w:val="16"/>
          <w:color w:val="auto"/>
        </w:rPr>
        <w:t>Pursuant to their respective letter agreements with us, we granted a restricted stock award for 3,000,000 shares of our common stock to Dr. Gould in July 2016, an option to purchase 2,125,000 shares of our common stock to Mr. Stuart in December 2018, and a restricted stock award for 400,000 shares of our common stock to Dr. Cadavid in October 2016, in each case in connection with the commencement of employment with us. In addition, we granted a restricted stock award for 450,000 shares of our common stock to Dr. Gould in January 2018, a restricted stock award for 60,000 shares of our common stock to Dr. Cadavid in January 2018 and an option to purchase 125,000 shares of our common stock to Dr. Cadavid in July 2018. The equity awards granted in 2018 to Dr. Gould and Dr. Cadavid vest in equal quarterly installments over a term of four years from the applicable vesting commencement date. The options granted in 2018 to Mr. Stuart vest as to 25% of the shares underlying the option on the first anniversary of the vesting commencement date and as to an additional 6.25% of the original number of shares underlying the option quarterly thereafter.</w:t>
      </w:r>
    </w:p>
    <w:p>
      <w:pPr>
        <w:spacing w:after="0" w:line="172"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In January 2019, we granted options to purchase 2,422,650, 412,500 and 566,500 shares of our common stock to Dr. Gould, Mr. Stuart and Dr. Cadavid, respectively. The options granted in January 2019 to Dr. Gould and to Dr. Cadavid vest in equal quarterly installments over a term of four years from the vesting commencement date. The options granted in January 2019 to Mr. Stuart vest as to 25% of the shares underlying the option on the first anniversary of the vesting commencement date and as to an additional 6.25% of the original number of shares underlying the option quarterly thereafter.</w:t>
      </w:r>
    </w:p>
    <w:p>
      <w:pPr>
        <w:spacing w:after="0" w:line="167"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Prior to this offering, our executives were eligible to receive equity awards under our 2016 Stock Incentive Plan, as amended to date, or the 2016 Plan. During 2018 and 2019, all restricted stock awards and stock options were granted pursuant to the 2016 Plan. Following the closing of this offering,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employees and executives will be eligible to receive stock options and other stock-based awards pursuant to our 2019 Stock Incentive Plan, or the 2019 Plan.</w:t>
      </w:r>
    </w:p>
    <w:p>
      <w:pPr>
        <w:spacing w:after="0" w:line="248" w:lineRule="exact"/>
        <w:rPr>
          <w:sz w:val="20"/>
          <w:szCs w:val="20"/>
          <w:color w:val="auto"/>
        </w:rPr>
      </w:pPr>
    </w:p>
    <w:p>
      <w:pPr>
        <w:jc w:val="both"/>
        <w:ind w:firstLine="382"/>
        <w:spacing w:after="0" w:line="306" w:lineRule="auto"/>
        <w:rPr>
          <w:sz w:val="20"/>
          <w:szCs w:val="20"/>
          <w:color w:val="auto"/>
        </w:rPr>
      </w:pPr>
      <w:r>
        <w:rPr>
          <w:rFonts w:ascii="Arial" w:cs="Arial" w:eastAsia="Arial" w:hAnsi="Arial"/>
          <w:sz w:val="16"/>
          <w:szCs w:val="16"/>
          <w:color w:val="auto"/>
        </w:rPr>
        <w:t>Prior to June 2018, we used restricted stock awards to compensate our executive officers in the form of initial grants in connection with the commencement of employment and also at various times, often but not necessarily annually, if we had performed as expected or better than expected. Since June 2018, we typically use stock options to compensate our executive officers in connection with the commencement of employment and also at various times.</w:t>
      </w:r>
    </w:p>
    <w:p>
      <w:pPr>
        <w:spacing w:after="0" w:line="161"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Prior to this offering, awards of restricted stock and stock options to our executive officers have been made by our board of directors. None of our executive officers is currently party to an employment agreement that provides for the automatic award of restricted stock or stock options. 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option on the first anniversary of the grant date and as to an additional 6.25% of the original number of shares underlying the option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cease shortly after termination. Prior to the exercise of an option, the holder has no rights as a stockholder with respect to the shares subject to such option, including no voting rights and no right to receive dividends or dividend equivalents.</w:t>
      </w:r>
    </w:p>
    <w:p>
      <w:pPr>
        <w:spacing w:after="0" w:line="174" w:lineRule="exact"/>
        <w:rPr>
          <w:sz w:val="20"/>
          <w:szCs w:val="20"/>
          <w:color w:val="auto"/>
        </w:rPr>
      </w:pPr>
    </w:p>
    <w:p>
      <w:pPr>
        <w:jc w:val="both"/>
        <w:ind w:firstLine="542"/>
        <w:spacing w:after="0" w:line="256" w:lineRule="auto"/>
        <w:rPr>
          <w:sz w:val="20"/>
          <w:szCs w:val="20"/>
          <w:color w:val="auto"/>
        </w:rPr>
      </w:pPr>
      <w:r>
        <w:rPr>
          <w:rFonts w:ascii="Arial" w:cs="Arial" w:eastAsia="Arial" w:hAnsi="Arial"/>
          <w:sz w:val="18"/>
          <w:szCs w:val="18"/>
          <w:color w:val="auto"/>
        </w:rPr>
        <w:t>We have historically granted stock options with exercise prices that are equal to the fair market value of our common stock on the date of grant as determined by our board of directors, based on a number of objective and subjective factors. The exercise price of all stock options granted after the closing of this offering will be equal to the fair market value of shares of our common stock on the date of grant, which will be determined by reference to the closing market price of our common stock on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231"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auto"/>
        </w:rPr>
        <w:t>The following table sets forth information regarding all outstanding stock options and restricted stock held by each of our named executive officers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3"/>
            <w:vMerge w:val="restart"/>
          </w:tcPr>
          <w:p>
            <w:pPr>
              <w:jc w:val="center"/>
              <w:ind w:right="1180"/>
              <w:spacing w:after="0"/>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of 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expiration</w:t>
            </w:r>
          </w:p>
        </w:tc>
        <w:tc>
          <w:tcPr>
            <w:tcW w:w="1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200" w:type="dxa"/>
            <w:vAlign w:val="bottom"/>
          </w:tcPr>
          <w:p>
            <w:pPr>
              <w:spacing w:after="0"/>
              <w:rPr>
                <w:sz w:val="12"/>
                <w:szCs w:val="12"/>
                <w:color w:val="auto"/>
              </w:rPr>
            </w:pPr>
          </w:p>
        </w:tc>
        <w:tc>
          <w:tcPr>
            <w:tcW w:w="22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have not vested</w:t>
            </w: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9"/>
              </w:rPr>
              <w:t>Name</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unexercisable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12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300" w:type="dxa"/>
            <w:vAlign w:val="bottom"/>
            <w:gridSpan w:val="2"/>
          </w:tcPr>
          <w:p>
            <w:pPr>
              <w:jc w:val="center"/>
              <w:ind w:left="105"/>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Gould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1,125,000</w:t>
            </w:r>
            <w:r>
              <w:rPr>
                <w:rFonts w:ascii="Arial" w:cs="Arial" w:eastAsia="Arial" w:hAnsi="Arial"/>
                <w:sz w:val="14"/>
                <w:szCs w:val="14"/>
                <w:color w:val="auto"/>
              </w:rPr>
              <w:t>(2)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150,000</w:t>
            </w:r>
            <w:r>
              <w:rPr>
                <w:rFonts w:ascii="Arial" w:cs="Arial" w:eastAsia="Arial" w:hAnsi="Arial"/>
                <w:sz w:val="14"/>
                <w:szCs w:val="14"/>
                <w:color w:val="auto"/>
              </w:rPr>
              <w:t>(3)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337,500</w:t>
            </w:r>
            <w:r>
              <w:rPr>
                <w:rFonts w:ascii="Arial" w:cs="Arial" w:eastAsia="Arial" w:hAnsi="Arial"/>
                <w:sz w:val="14"/>
                <w:szCs w:val="14"/>
                <w:color w:val="auto"/>
              </w:rPr>
              <w:t>(4)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Bryan Stuart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2,125,000</w:t>
            </w:r>
            <w:r>
              <w:rPr>
                <w:rFonts w:ascii="Arial" w:cs="Arial" w:eastAsia="Arial" w:hAnsi="Arial"/>
                <w:sz w:val="14"/>
                <w:szCs w:val="14"/>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12/17/2028</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Diego Cadavid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117,188</w:t>
            </w:r>
            <w:r>
              <w:rPr>
                <w:rFonts w:ascii="Arial" w:cs="Arial" w:eastAsia="Arial" w:hAnsi="Arial"/>
                <w:sz w:val="14"/>
                <w:szCs w:val="14"/>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7/10/2028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175,000</w:t>
            </w:r>
            <w:r>
              <w:rPr>
                <w:rFonts w:ascii="Arial" w:cs="Arial" w:eastAsia="Arial" w:hAnsi="Arial"/>
                <w:sz w:val="14"/>
                <w:szCs w:val="14"/>
                <w:color w:val="auto"/>
              </w:rPr>
              <w:t>(7)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18,750</w:t>
            </w:r>
            <w:r>
              <w:rPr>
                <w:rFonts w:ascii="Arial" w:cs="Arial" w:eastAsia="Arial" w:hAnsi="Arial"/>
                <w:sz w:val="14"/>
                <w:szCs w:val="14"/>
                <w:color w:val="auto"/>
              </w:rPr>
              <w:t>(8)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45,000</w:t>
            </w:r>
            <w:r>
              <w:rPr>
                <w:rFonts w:ascii="Arial" w:cs="Arial" w:eastAsia="Arial" w:hAnsi="Arial"/>
                <w:sz w:val="14"/>
                <w:szCs w:val="14"/>
                <w:color w:val="auto"/>
              </w:rPr>
              <w:t>(9)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140" w:type="dxa"/>
            <w:vAlign w:val="bottom"/>
            <w:gridSpan w:val="14"/>
          </w:tcPr>
          <w:p>
            <w:pPr>
              <w:spacing w:after="0"/>
              <w:rPr>
                <w:sz w:val="9"/>
                <w:szCs w:val="9"/>
                <w:color w:val="auto"/>
              </w:rPr>
            </w:pPr>
          </w:p>
        </w:tc>
        <w:tc>
          <w:tcPr>
            <w:tcW w:w="246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360" w:type="dxa"/>
            <w:vAlign w:val="bottom"/>
            <w:gridSpan w:val="2"/>
          </w:tcPr>
          <w:p>
            <w:pPr>
              <w:spacing w:after="0"/>
              <w:rPr>
                <w:sz w:val="20"/>
                <w:szCs w:val="20"/>
                <w:color w:val="auto"/>
              </w:rPr>
            </w:pPr>
            <w:r>
              <w:rPr>
                <w:rFonts w:ascii="Arial" w:cs="Arial" w:eastAsia="Arial" w:hAnsi="Arial"/>
                <w:sz w:val="18"/>
                <w:szCs w:val="18"/>
                <w:color w:val="auto"/>
              </w:rPr>
              <w:t>(1)</w:t>
            </w:r>
          </w:p>
        </w:tc>
        <w:tc>
          <w:tcPr>
            <w:tcW w:w="7440" w:type="dxa"/>
            <w:vAlign w:val="bottom"/>
            <w:gridSpan w:val="15"/>
          </w:tcPr>
          <w:p>
            <w:pPr>
              <w:ind w:left="180"/>
              <w:spacing w:after="0"/>
              <w:rPr>
                <w:sz w:val="20"/>
                <w:szCs w:val="20"/>
                <w:color w:val="auto"/>
              </w:rPr>
            </w:pPr>
            <w:r>
              <w:rPr>
                <w:rFonts w:ascii="Arial" w:cs="Arial" w:eastAsia="Arial" w:hAnsi="Arial"/>
                <w:sz w:val="18"/>
                <w:szCs w:val="18"/>
                <w:color w:val="auto"/>
                <w:w w:val="96"/>
              </w:rPr>
              <w:t>The market price of our common stock is based on an assumed initial public offering price of $</w:t>
            </w:r>
          </w:p>
        </w:tc>
        <w:tc>
          <w:tcPr>
            <w:tcW w:w="2460" w:type="dxa"/>
            <w:vAlign w:val="bottom"/>
            <w:gridSpan w:val="4"/>
          </w:tcPr>
          <w:p>
            <w:pPr>
              <w:ind w:left="20"/>
              <w:spacing w:after="0"/>
              <w:rPr>
                <w:sz w:val="20"/>
                <w:szCs w:val="20"/>
                <w:color w:val="auto"/>
              </w:rPr>
            </w:pPr>
            <w:r>
              <w:rPr>
                <w:rFonts w:ascii="Arial" w:cs="Arial" w:eastAsia="Arial" w:hAnsi="Arial"/>
                <w:sz w:val="18"/>
                <w:szCs w:val="18"/>
                <w:color w:val="auto"/>
                <w:w w:val="88"/>
              </w:rPr>
              <w:t>per share, which is the midpoint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gridSpan w:val="9"/>
          </w:tcPr>
          <w:p>
            <w:pPr>
              <w:ind w:left="180"/>
              <w:spacing w:after="0"/>
              <w:rPr>
                <w:sz w:val="20"/>
                <w:szCs w:val="20"/>
                <w:color w:val="auto"/>
              </w:rPr>
            </w:pPr>
            <w:r>
              <w:rPr>
                <w:rFonts w:ascii="Arial" w:cs="Arial" w:eastAsia="Arial" w:hAnsi="Arial"/>
                <w:sz w:val="18"/>
                <w:szCs w:val="18"/>
                <w:color w:val="auto"/>
                <w:w w:val="88"/>
              </w:rPr>
              <w:t>the price range set forth on the cover page of this prospectus.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680" w:right="20" w:hanging="531"/>
        <w:spacing w:after="0" w:line="370" w:lineRule="auto"/>
        <w:tabs>
          <w:tab w:leader="none" w:pos="16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Dr. Gould's restricted stock award for 3,000,000 shares vests over four years, with 25% of the shares vested on June 20, 2017, and 6.25% of the original number of shares vesting thereafter in equal quarterly installments through June 20, 2020, subject to continued service.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0" w:hanging="531"/>
        <w:spacing w:after="0" w:line="268" w:lineRule="auto"/>
        <w:tabs>
          <w:tab w:leader="none" w:pos="1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Gould's restricted stock award for 300,000 shares vests over four years, in equal quarterly installments through January 1, 2021, subject to continued service.</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Gould's restricted stock award for 450,000 shares vests over four years, in equal quarterly installments through January 1, 2022, subject to continued service.</w:t>
      </w:r>
    </w:p>
    <w:p>
      <w:pPr>
        <w:spacing w:after="0" w:line="199" w:lineRule="exact"/>
        <w:rPr>
          <w:rFonts w:ascii="Arial" w:cs="Arial" w:eastAsia="Arial" w:hAnsi="Arial"/>
          <w:sz w:val="18"/>
          <w:szCs w:val="18"/>
          <w:color w:val="auto"/>
        </w:rPr>
      </w:pPr>
    </w:p>
    <w:p>
      <w:pPr>
        <w:ind w:left="1680" w:hanging="531"/>
        <w:spacing w:after="0" w:line="370" w:lineRule="auto"/>
        <w:tabs>
          <w:tab w:leader="none" w:pos="16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Mr. Stuart's option award for 2,125,000 shares vests over four years, with 25% of the shares vesting on December 17, 2019, and 6.25% of the original number of shares vesting thereafter in equal quarterly installments through December 17, 2022, subject to continued service.</w:t>
      </w:r>
    </w:p>
    <w:p>
      <w:pPr>
        <w:spacing w:after="0" w:line="129" w:lineRule="exact"/>
        <w:rPr>
          <w:rFonts w:ascii="Arial" w:cs="Arial" w:eastAsia="Arial" w:hAnsi="Arial"/>
          <w:sz w:val="15"/>
          <w:szCs w:val="15"/>
          <w:color w:val="auto"/>
        </w:rPr>
      </w:pPr>
    </w:p>
    <w:p>
      <w:pPr>
        <w:ind w:left="1680" w:hanging="531"/>
        <w:spacing w:after="0" w:line="268" w:lineRule="auto"/>
        <w:tabs>
          <w:tab w:leader="none" w:pos="1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Cadavid's option award for 125,000 shares vests over four years, in equal quarterly installments through July 16, 2022, subject to continued service.</w:t>
      </w:r>
    </w:p>
    <w:p>
      <w:pPr>
        <w:spacing w:after="0" w:line="212"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Cadavid's restricted stock award for 400,000 shares vests over four years, with 25% of the shares vested on September 19, 2017, and 6.25% of the original number of shares vesting thereafter in equal quarterly installments through September 19, 2020, subject to continued service.</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Cadavid's restricted stock award for 37,500 shares vests over four years, in equal quarterly installments through January 1, 2021, subject to continued service.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Cadavid's restricted stock award for 60,000 shares vests over four years, in equal quarterly installments through January 1, 2022, subject to continued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Robert Gould</w:t>
      </w:r>
    </w:p>
    <w:p>
      <w:pPr>
        <w:spacing w:after="0" w:line="225"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connection with our initial hiring of Dr. Gould as our president and chief executive officer, we entered into a letter agreement with him effective June 13, 2016. Under the letter agreement, Dr. Gould is an at will employee, and his employment with us can be terminated by him or us at any time and for any reason, provided that Dr. Gould's letter agreement provides that Dr. Gould may terminate his employment voluntarily with us other than for good reason (as defined in the letter agreement) upon at least thirty (30) days' prior written notice to us.</w:t>
      </w:r>
    </w:p>
    <w:p>
      <w:pPr>
        <w:spacing w:after="0" w:line="197" w:lineRule="exact"/>
        <w:rPr>
          <w:sz w:val="20"/>
          <w:szCs w:val="20"/>
          <w:color w:val="auto"/>
        </w:rPr>
      </w:pPr>
    </w:p>
    <w:p>
      <w:pPr>
        <w:jc w:val="both"/>
        <w:ind w:firstLine="425"/>
        <w:spacing w:after="0" w:line="298" w:lineRule="auto"/>
        <w:rPr>
          <w:sz w:val="20"/>
          <w:szCs w:val="20"/>
          <w:color w:val="auto"/>
        </w:rPr>
      </w:pPr>
      <w:r>
        <w:rPr>
          <w:rFonts w:ascii="Arial" w:cs="Arial" w:eastAsia="Arial" w:hAnsi="Arial"/>
          <w:sz w:val="16"/>
          <w:szCs w:val="16"/>
          <w:color w:val="auto"/>
        </w:rPr>
        <w:t>The letter agreement provides that Dr. Gould is entitled to an annualized base salary of $420,000, and that he is eligible, at our sole discretion, to earn an annual bonus of 35% of his base salary based upon the achievement of corporate and individual goals, as agreed by the board of directors. Dr. Gould's letter agreement also provided that in connection with our consummation of a Series A preferred stock financing, he was entitled to the grant of a restricted stock award for 3,000,000 shares of our common stock, subject to a four-year vesting schedule, which restricted stock award was granted to Dr. Gould in July 2016.</w:t>
      </w:r>
    </w:p>
    <w:p>
      <w:pPr>
        <w:spacing w:after="0" w:line="167"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Under the letter agreement, Dr. Gould is entitled, subject to his execution and nonrevocation of a separation agreement and a general release of claims in our favor, in the event of the termination of his employment by us without cause, as defined in his letter agreement with us, to (i) receive 12 months of his then-current annual base salary, payable in equal installments during the six month period following the date his employment with us is terminated, and (ii) our continuing to pay COBRA premiums for health benefit coverage on his behalf, for a period of 12 months following the date his employment with us is terminated, at the same rate as we pay for active employees, subject to applicable COBRA terms and in compliance with applicable non-discrimination or other requirements under the Internal Revenue Code of 1986, as amended, or the Code or the ACA.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Bryan Stuart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our initial hiring of Mr. Stuart as our chief operating officer, we entered into a letter agreement with him effective December 6, 2018.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 the letter agreement, Mr. Stuart is an at will employee, and his employment with us can be terminated by him or us at any time and for any reason.</w:t>
      </w:r>
    </w:p>
    <w:p>
      <w:pPr>
        <w:spacing w:after="0" w:line="242" w:lineRule="exact"/>
        <w:rPr>
          <w:sz w:val="20"/>
          <w:szCs w:val="20"/>
          <w:color w:val="auto"/>
        </w:rPr>
      </w:pPr>
    </w:p>
    <w:p>
      <w:pPr>
        <w:jc w:val="both"/>
        <w:ind w:firstLine="425"/>
        <w:spacing w:after="0" w:line="255" w:lineRule="auto"/>
        <w:rPr>
          <w:sz w:val="20"/>
          <w:szCs w:val="20"/>
          <w:color w:val="auto"/>
        </w:rPr>
      </w:pPr>
      <w:r>
        <w:rPr>
          <w:rFonts w:ascii="Arial" w:cs="Arial" w:eastAsia="Arial" w:hAnsi="Arial"/>
          <w:sz w:val="18"/>
          <w:szCs w:val="18"/>
          <w:color w:val="auto"/>
        </w:rPr>
        <w:t>The letter agreement provides that Mr. Stuart is entitled to an annualized base salary of $400,000, and that he is eligible, at our sole discretion, to earn an annual bonus of 35% of his base salary based upon the achievement of corporate and individual goals, as agreed by the board of directors. Mr. Stuart's letter agreement also provided that he was entitled to the grant of an option to purchase 2,125,000 shares of our common stock, with an exercise price per share price equal to the fair market value of a share of our common stock on the grant date, subject to a four-year vesting schedule, which option award was granted to Mr. Stuart in December 2018.</w:t>
      </w:r>
    </w:p>
    <w:p>
      <w:pPr>
        <w:spacing w:after="0" w:line="197" w:lineRule="exact"/>
        <w:rPr>
          <w:sz w:val="20"/>
          <w:szCs w:val="20"/>
          <w:color w:val="auto"/>
        </w:rPr>
      </w:pPr>
    </w:p>
    <w:p>
      <w:pPr>
        <w:jc w:val="both"/>
        <w:ind w:firstLine="361"/>
        <w:spacing w:after="0" w:line="284" w:lineRule="auto"/>
        <w:rPr>
          <w:sz w:val="20"/>
          <w:szCs w:val="20"/>
          <w:color w:val="auto"/>
        </w:rPr>
      </w:pPr>
      <w:r>
        <w:rPr>
          <w:rFonts w:ascii="Arial" w:cs="Arial" w:eastAsia="Arial" w:hAnsi="Arial"/>
          <w:sz w:val="16"/>
          <w:szCs w:val="16"/>
          <w:color w:val="auto"/>
        </w:rPr>
        <w:t>Under the letter agreement, Mr. Stuart is entitled, subject to his execution and nonrevocation of a separation agreement and a general release of claims in our favor, in the event of the termination of his employment by us without cause, as defined in his letter agreement with us, to (i) receive six months of his then-current annual base salary, payable in equal installments during the six month period following the date his employment with us is terminated, provided that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first installment shall be made on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his employment with us is terminated and will include payment of any installment that was otherwise due prior thereto, and (ii) our continuing to pay our share of COBRA premiums for health benefit coverage on his behalf to the same extent we were paying such premiums immediately prior to his termination, for a period of six months following the date that his employment with us is terminated, provided he is eligible for and elects COBRA coverage and continues to pay his share of the COBRA premiums.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Agreement with Diego Cadavid</w:t>
      </w:r>
    </w:p>
    <w:p>
      <w:pPr>
        <w:spacing w:after="0" w:line="225"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In connection with our initial hiring of Dr. Cadavid as our vice president, clinical development, we entered into a letter agreement with him effective August 10, 2016. Under the letter agreement, Dr. Cadavid is an at will employee, and his employment with us can be terminated by him or us at any time and for any reason.</w:t>
      </w:r>
    </w:p>
    <w:p>
      <w:pPr>
        <w:spacing w:after="0" w:line="194"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The letter agreement provides that Dr. Cadavid is entitled to an annualized base salary of $333,000, and that he is eligible, at our sole discretion, to earn an annual bonus of 25% of his base salary based upon the achievement of corporate and individual goals, as agreed by the board of directors. Dr. Cadavid's letter agreement also provided that he was entitled to (i) a $150,000 cash bonus in connection with the commencement of his employment, of which $125,000 was paid in September 2016 and $25,000 was paid in September 2017 and (ii) the grant of a restricted stock award for 400,000 shares of our common stock, with a purchase price per share price equal to the fair market value of a share of our common stock on the grant date, subject to a four-year vesting schedule, which restricted stock award was granted to Dr. Cadavid in October 2016.</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 Cadavid was promoted to the position of senior vice president, clinical development on July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Non-Competition, Non-Solicitation, Confidentiality and Assignment of Inventions Agreements</w:t>
      </w:r>
    </w:p>
    <w:p>
      <w:pPr>
        <w:spacing w:after="0" w:line="225" w:lineRule="exact"/>
        <w:rPr>
          <w:sz w:val="20"/>
          <w:szCs w:val="20"/>
          <w:color w:val="auto"/>
        </w:rPr>
      </w:pPr>
    </w:p>
    <w:p>
      <w:pPr>
        <w:jc w:val="both"/>
        <w:ind w:firstLine="375"/>
        <w:spacing w:after="0" w:line="332" w:lineRule="auto"/>
        <w:rPr>
          <w:sz w:val="20"/>
          <w:szCs w:val="20"/>
          <w:color w:val="auto"/>
        </w:rPr>
      </w:pPr>
      <w:r>
        <w:rPr>
          <w:rFonts w:ascii="Arial" w:cs="Arial" w:eastAsia="Arial" w:hAnsi="Arial"/>
          <w:sz w:val="16"/>
          <w:szCs w:val="16"/>
          <w:color w:val="auto"/>
        </w:rPr>
        <w:t>Each of our named executive officers has entered into a standard form agreement with respect to non-competition, non-solicitation, confidential information and assignment of inventions. In addition, certain of our named executive officers are subject to non-competition restrictions.</w:t>
      </w:r>
    </w:p>
    <w:p>
      <w:pPr>
        <w:spacing w:after="0" w:line="139" w:lineRule="exact"/>
        <w:rPr>
          <w:sz w:val="20"/>
          <w:szCs w:val="20"/>
          <w:color w:val="auto"/>
        </w:rPr>
      </w:pPr>
    </w:p>
    <w:p>
      <w:pPr>
        <w:jc w:val="both"/>
        <w:ind w:firstLine="398"/>
        <w:spacing w:after="0" w:line="268" w:lineRule="auto"/>
        <w:rPr>
          <w:sz w:val="20"/>
          <w:szCs w:val="20"/>
          <w:color w:val="auto"/>
        </w:rPr>
      </w:pPr>
      <w:r>
        <w:rPr>
          <w:rFonts w:ascii="Arial" w:cs="Arial" w:eastAsia="Arial" w:hAnsi="Arial"/>
          <w:sz w:val="18"/>
          <w:szCs w:val="18"/>
          <w:color w:val="auto"/>
        </w:rPr>
        <w:t>Under their respective agreements, each named executive officer has agreed that we own all inventions that are developed by such executive officer during his employment with us that (i) are related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of Dr. Gould and Dr. Cadavid has further agreed not to compete with us during his employment and for a period of one year after the termination of his employment, not to solicit our employees, consultants, customers, business or prospective customers during his employment and for a period of one year after the termination of his employment, and to protect our confidential and proprietary information indefinitely. Under his agreement, Mr. Stuart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In this section we describe our 2016 Plan, our 2019 Plan and our 2019 Employee Stock Purchase Plan, or the 2019 ESPP. Prior to this offering, we granted awards to eligible participants under the 2016 Plan. Following the effectiveness of the 2019 Plan, we expect to grant awards to eligible participants from time to time only under the 2019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auto"/>
        </w:rPr>
        <w:t>The 2016 Plan was initially approved by our board of directors and stockholders in July 2016 and was subsequently amended in 2017, 2018 and 2019, in each case to increase the total number of shares reserved for issuance under the plan. The 2016 Plan provides for the grant of incentive stock options, nonstatutory options, stock appreciation rights, awards of restricted stock, restricted stock units and other stock-based awards. Our employees, officers, directors, consultants and advisors are eligible to receive awards under the 2016 Plan; however, incentive stock options may only be granted to our employees. The type of award granted under the 2016 Plan and the terms of such award are set forth in the applicable award agreement. Pursuant to the terms of the 2016 Plan, our board of directors (or a committee delegated by our board of directors) will administer the plan and, subject to any limitations in the plan, will select the recipients of awards and determine:</w:t>
      </w:r>
    </w:p>
    <w:p>
      <w:pPr>
        <w:spacing w:after="0" w:line="215"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439"/>
        <w:spacing w:after="0" w:line="332" w:lineRule="auto"/>
        <w:rPr>
          <w:sz w:val="20"/>
          <w:szCs w:val="20"/>
          <w:color w:val="auto"/>
        </w:rPr>
      </w:pPr>
      <w:r>
        <w:rPr>
          <w:rFonts w:ascii="Arial" w:cs="Arial" w:eastAsia="Arial" w:hAnsi="Arial"/>
          <w:sz w:val="16"/>
          <w:szCs w:val="16"/>
          <w:color w:val="auto"/>
        </w:rPr>
        <w:t>The maximum number of shares of common stock authorized for issuance under the 2016 Plan is 24,965,000 shares. Our board of directors may amend, suspend or terminate the 2016 Plan at any time, except that stockholder approval may be required to comply with applicable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2016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2016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restricted stock award or restricted stock unit award;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share and per-share-related provisions and the purchase price, if any, of each outstanding other stock-based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Upon the occurrence of a merger or other reorganization event (as defined in the 2016 Plan), our board of directors may, on such terms as our board determines (except to the extent specifically provided otherwise in an applicable award agreement or other agreement between the participant and us), take any one or more of the following actions pursuant to the 2016 Plan as to all or any (or any portion of) outstanding awards, other than awards of restricted stock:</w:t>
      </w:r>
    </w:p>
    <w:p>
      <w:pPr>
        <w:spacing w:after="0" w:line="174" w:lineRule="exact"/>
        <w:rPr>
          <w:sz w:val="20"/>
          <w:szCs w:val="20"/>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thereof);</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unexercised awards will terminate immediately prior to the consummation of the reorganization event unless exercised by the participant (to the extent then exercisable) within a specified period following the date of the notice;</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the reorganization event) multiplied by (2) the excess, if any, of the cash payment for each share surrendered in the reorganization event over the exercise, measurement or purchase price of such award and any applicable tax withholdings, in exchange for the termination of the award;</w:t>
      </w:r>
    </w:p>
    <w:p>
      <w:pPr>
        <w:spacing w:after="0" w:line="21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is not obligated under the 2016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69"/>
        <w:spacing w:after="0" w:line="312" w:lineRule="auto"/>
        <w:rPr>
          <w:sz w:val="20"/>
          <w:szCs w:val="20"/>
          <w:color w:val="auto"/>
        </w:rPr>
      </w:pPr>
      <w:r>
        <w:rPr>
          <w:rFonts w:ascii="Arial" w:cs="Arial" w:eastAsia="Arial" w:hAnsi="Arial"/>
          <w:sz w:val="15"/>
          <w:szCs w:val="15"/>
          <w:color w:val="auto"/>
        </w:rPr>
        <w:t>Upon the occurrence of a reorganization event other than our liquidation or dissolution, the repurchase and other rights with respect to outstanding restricted stock awards will continue for the benefit of the succeeding company and will, unless our board of directors determines otherwise, apply to the cash, securities, or other property which our common stock was converted into or exchanged for in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any other agreement between a participant and us, either initially or by amendment. Upon our liquidation or dissolution, except to the extent specifically provided to the contrary in the restricted stock award agreement or any other agreement between the plan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Our board of directors may at any time provide that any award under the 2016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As of April 30, 2019, there were 11,740,125 shares of restricted common stock outstanding under the 2016 Plan, including 4,040,826 shares of unvested restricted common stock subject to repurchase by us. In addition, as of April 30, 2019, there were options to purchase 10,503,582 shares of common stock outstanding under the 2016 Plan at a weighted average exercise price of $1.09 per share, options to purchase 195,381 shares of our common stock had been exercised under the 2016 Plan and 2,565,912 shares of common stock were available for future issuance under the 2016 Plan. No further awards will be made under the 2016 Plan on or after the effectiveness of the registration statement for this offering; however, awards outstanding under the 2016 Plan will continue to be governed by their existing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jc w:val="both"/>
        <w:ind w:firstLine="362"/>
        <w:spacing w:after="0" w:line="303" w:lineRule="auto"/>
        <w:rPr>
          <w:sz w:val="20"/>
          <w:szCs w:val="20"/>
          <w:color w:val="auto"/>
        </w:rPr>
      </w:pPr>
      <w:r>
        <w:rPr>
          <w:rFonts w:ascii="Arial" w:cs="Arial" w:eastAsia="Arial" w:hAnsi="Arial"/>
          <w:sz w:val="15"/>
          <w:szCs w:val="15"/>
          <w:color w:val="auto"/>
        </w:rPr>
        <w:t>We expect our board of directors to adopt and our stockholders to approve the 2019 Plan, which will become effective immediately prior to the effectiveness of the registration statement for this offering. The 2019 Plan provides for the grant of incentive stock options, non-qualified options, stock appreciation rights, restricted stock awards, restricted stock units and other stock-based awards. Upon effectiveness of the 2019 Plan, the number of shares of our common stock that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will be reserved for issuance under the 2019 Plan will be the sum of: (1) ; plus (2) the number of shares (up to shares) equal to the sum of (x) the number of shares of our common stock reserved for issuance under the 2016 Plan that remain available for grant under the 2016 Plan immediately prior to the effectiveness of the registration statement for this offering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to be added on the first day of each fiscal year, beginning with the fiscal year ending December 31, 2020 and</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continuing until, and including, the fiscal year ending December 31, 2029, equal to the lowest of (i) shares of our common stock, (ii) % of the number of shares of our common stock outstanding on the first day of such fiscal year and (iii) an amount determined by our board of directors.</w:t>
      </w:r>
    </w:p>
    <w:p>
      <w:pPr>
        <w:spacing w:after="0" w:line="192" w:lineRule="exact"/>
        <w:rPr>
          <w:sz w:val="20"/>
          <w:szCs w:val="20"/>
          <w:color w:val="auto"/>
        </w:rPr>
      </w:pPr>
    </w:p>
    <w:p>
      <w:pPr>
        <w:ind w:firstLine="418"/>
        <w:spacing w:after="0" w:line="268" w:lineRule="auto"/>
        <w:rPr>
          <w:sz w:val="20"/>
          <w:szCs w:val="20"/>
          <w:color w:val="auto"/>
        </w:rPr>
      </w:pPr>
      <w:r>
        <w:rPr>
          <w:rFonts w:ascii="Arial" w:cs="Arial" w:eastAsia="Arial" w:hAnsi="Arial"/>
          <w:sz w:val="18"/>
          <w:szCs w:val="18"/>
          <w:color w:val="auto"/>
        </w:rPr>
        <w:t>Our employees, officers, directors, consultants and advisors will be eligible to receive awards under the 2019 Plan. Incentive stock options, however, may only be granted to our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13"/>
        <w:spacing w:after="0" w:line="268" w:lineRule="auto"/>
        <w:rPr>
          <w:sz w:val="20"/>
          <w:szCs w:val="20"/>
          <w:color w:val="auto"/>
        </w:rPr>
      </w:pPr>
      <w:r>
        <w:rPr>
          <w:rFonts w:ascii="Arial" w:cs="Arial" w:eastAsia="Arial" w:hAnsi="Arial"/>
          <w:sz w:val="18"/>
          <w:szCs w:val="18"/>
          <w:color w:val="auto"/>
        </w:rPr>
        <w:t>Pursuant to the terms of the 2019 Plan, our board of directors (or a committee delegated by our board of directors) will administer the plan and, subject to any limitations in the plan, will select the recipients of awards and determine:</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both"/>
        <w:ind w:firstLine="435"/>
        <w:spacing w:after="0" w:line="306" w:lineRule="auto"/>
        <w:rPr>
          <w:sz w:val="20"/>
          <w:szCs w:val="20"/>
          <w:color w:val="auto"/>
        </w:rPr>
      </w:pPr>
      <w:r>
        <w:rPr>
          <w:rFonts w:ascii="Arial" w:cs="Arial" w:eastAsia="Arial" w:hAnsi="Arial"/>
          <w:sz w:val="16"/>
          <w:szCs w:val="16"/>
          <w:color w:val="auto"/>
        </w:rPr>
        <w:t>If our board of directors delegates authority to one or more of our officers to grant awards under the 2019 Plan, the officers will have the power to make awards to all of our employees, except executive officers. Our board of directors will fix the terms of the awards to be granted by such any such officer, the maximum number of shares subject to awards that such officer may make, and the time period in which such awards may be granted.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2019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2019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 counting rules under the 2019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 and per-share provisions and the measurement price of each outstanding stock appreciation right;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of shares subject to, and the repurchase price per share subject to, each outstanding award of restricted stock and restricted stock units;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share and per-share related provisions and the purchase price, if any, of each other stock-based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225" w:lineRule="exact"/>
        <w:rPr>
          <w:sz w:val="20"/>
          <w:szCs w:val="20"/>
          <w:color w:val="auto"/>
        </w:rPr>
      </w:pPr>
    </w:p>
    <w:p>
      <w:pPr>
        <w:ind w:firstLine="510"/>
        <w:spacing w:after="0" w:line="332" w:lineRule="auto"/>
        <w:rPr>
          <w:sz w:val="20"/>
          <w:szCs w:val="20"/>
          <w:color w:val="auto"/>
        </w:rPr>
      </w:pPr>
      <w:r>
        <w:rPr>
          <w:rFonts w:ascii="Arial" w:cs="Arial" w:eastAsia="Arial" w:hAnsi="Arial"/>
          <w:sz w:val="16"/>
          <w:szCs w:val="16"/>
          <w:color w:val="auto"/>
        </w:rPr>
        <w:t>Upon the occurrence of a merger or other reorganization event (as defined in the 2019 Plan), our board of directors may, on such terms as our board determines (except to the extent specifically provided otherwise in an applicable award agreement or other agreement between the participant and us), take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one or more of the following actions pursuant to the 2019 Plan as to all or any (or any portion of) outstanding awards, other than awards of restricted stock:</w:t>
      </w:r>
    </w:p>
    <w:p>
      <w:pPr>
        <w:spacing w:after="0" w:line="262" w:lineRule="exact"/>
        <w:rPr>
          <w:sz w:val="20"/>
          <w:szCs w:val="20"/>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thereof);</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unvested awards will be forfeited, and/or vested but unexercised awards will terminate, immediately prior to the consummation of the reorganization event unless exercised by the participant (to the extent then exercisable) within a specified period following the date of the notice;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20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is not obligated under the 2019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55"/>
        <w:spacing w:after="0" w:line="312" w:lineRule="auto"/>
        <w:rPr>
          <w:sz w:val="20"/>
          <w:szCs w:val="20"/>
          <w:color w:val="auto"/>
        </w:rPr>
      </w:pPr>
      <w:r>
        <w:rPr>
          <w:rFonts w:ascii="Arial" w:cs="Arial" w:eastAsia="Arial" w:hAnsi="Arial"/>
          <w:sz w:val="15"/>
          <w:szCs w:val="15"/>
          <w:color w:val="auto"/>
        </w:rPr>
        <w:t>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which our common stock was converted into or exchanged for pursuant to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in any other agreement between a participant and us, either initially or by amendment. Upon our liquidation or dissolution, except to the extent specifically provided to the contrary in the restricted stock award agreement or any other agreement between the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At any time, our board of directors may provide that any award under the 2019 Plan will become immediately exercisable in full or in part, free of some or all restrictions or conditions, or otherwise realizable in whole or in part as the case may be.</w:t>
      </w:r>
    </w:p>
    <w:p>
      <w:pPr>
        <w:spacing w:after="0" w:line="186"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auto"/>
        </w:rPr>
        <w:t>No award may be granted under the 2019 Plan on or after the date that is ten years following the effectiveness of the registration statement related to this offering. Our board of directors may amend, suspend or terminate the 2019 Plan at any time, except that stockholder approval may be required to comply with applicable law or stock market requirements.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592"/>
        <w:spacing w:after="0" w:line="286" w:lineRule="auto"/>
        <w:rPr>
          <w:sz w:val="20"/>
          <w:szCs w:val="20"/>
          <w:color w:val="auto"/>
        </w:rPr>
      </w:pPr>
      <w:r>
        <w:rPr>
          <w:rFonts w:ascii="Arial" w:cs="Arial" w:eastAsia="Arial" w:hAnsi="Arial"/>
          <w:sz w:val="16"/>
          <w:szCs w:val="16"/>
          <w:color w:val="auto"/>
        </w:rPr>
        <w:t>We expect our board of directors to adopt and our stockholders to approve the 2019 ESPP, which will become effective immediately prior to the effectiveness of the registration statement for this offering. The 2019 ESPP will be administered by our board of directors or by a committee appointed by our</w:t>
      </w:r>
    </w:p>
    <w:p>
      <w:pPr>
        <w:jc w:val="both"/>
        <w:spacing w:after="0" w:line="281" w:lineRule="auto"/>
        <w:rPr>
          <w:sz w:val="20"/>
          <w:szCs w:val="20"/>
          <w:color w:val="auto"/>
        </w:rPr>
      </w:pPr>
      <w:r>
        <w:rPr>
          <w:rFonts w:ascii="Arial" w:cs="Arial" w:eastAsia="Arial" w:hAnsi="Arial"/>
          <w:sz w:val="16"/>
          <w:szCs w:val="16"/>
          <w:color w:val="auto"/>
        </w:rPr>
        <w:t>board of directors. The 2019 ESPP initially provides participating employees with the opportunity to purchase up to an aggregate of shares of our common stock. The number of shares of our common stock reserved for issuance under the 2019 ESPP will automatically increase on the first day of each fiscal year, beginning with the fiscal year commencing on January 1, 2020 and continuing until, and including, the fiscal year commencing on January 1, 2030, in an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amount equal to the lowest of (i) shares of our common stock, (ii) % of the number of shares of our common stock outstanding on the first day of such fiscal year and (iii) an amount determined by our board of directors.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our employees and employees of any designated subsidiary, as defined in the 2019 ESPP, are eligible to participate in the 2019 ESPP, provided that:</w:t>
      </w:r>
    </w:p>
    <w:p>
      <w:pPr>
        <w:spacing w:after="0" w:line="262" w:lineRule="exact"/>
        <w:rPr>
          <w:sz w:val="20"/>
          <w:szCs w:val="20"/>
          <w:color w:val="auto"/>
        </w:rPr>
      </w:pPr>
    </w:p>
    <w:p>
      <w:pPr>
        <w:ind w:left="1080" w:right="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person is customarily employed by us or a designated subsidiary for more than 20 hours a week and for more than five months in a calendar year;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such person has been employed by us or by a designated subsidiary for at least three months prior to enrolling in the 2019 ESPP; and</w:t>
      </w:r>
    </w:p>
    <w:p>
      <w:pPr>
        <w:spacing w:after="0" w:line="261" w:lineRule="exact"/>
        <w:rPr>
          <w:rFonts w:ascii="Arial" w:cs="Arial" w:eastAsia="Arial" w:hAnsi="Arial"/>
          <w:sz w:val="16"/>
          <w:szCs w:val="16"/>
          <w:color w:val="auto"/>
        </w:rPr>
      </w:pPr>
    </w:p>
    <w:p>
      <w:pPr>
        <w:ind w:left="360" w:right="200" w:firstLine="188"/>
        <w:spacing w:after="0" w:line="563" w:lineRule="auto"/>
        <w:tabs>
          <w:tab w:leader="none" w:pos="1092"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2019 ESPP. We retain the discretion to determine which eligible employees may participate in an offering under applicable regulations.</w:t>
      </w:r>
    </w:p>
    <w:p>
      <w:pPr>
        <w:spacing w:after="0" w:line="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expect to make one or more offerings to our eligible employees to purchase stock under the 2019 ESPP beginning at such time and on such dates as our board of directors may determine, or on the first business day thereafter. Each offering will consist of a six-month offering period during which payroll deductions will be made and held for the purchase of our common stock at the end of the offering period. Our board of directors or a committee designated by the board of directors may, at its discretion, choose a different period of not more than 12 months for offerings.</w:t>
      </w:r>
    </w:p>
    <w:p>
      <w:pPr>
        <w:spacing w:after="0" w:line="167"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On each offering commencement date, each participant will be granted the right to purchase, on the last business day of the offering period, up to a number of shares of our common stock determined by multiplying $2,083 by the number of full months in the offering period and dividing that product by the closing price of our common stock on the first day of the offering period. No employee may be granted an option under the 2019 ESPP that permits the employee's rights to purchase shares under the 2019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In addition, no employee may purchase shares of our common stock under the 2019 ESPP that would result in the employee owning 5% or more of the total combined voting power or value of our stock or the stock of any of our subsidiaries.</w:t>
      </w:r>
    </w:p>
    <w:p>
      <w:pPr>
        <w:spacing w:after="0" w:line="172" w:lineRule="exact"/>
        <w:rPr>
          <w:sz w:val="20"/>
          <w:szCs w:val="20"/>
          <w:color w:val="auto"/>
        </w:rPr>
      </w:pPr>
    </w:p>
    <w:p>
      <w:pPr>
        <w:jc w:val="both"/>
        <w:ind w:firstLine="482"/>
        <w:spacing w:after="0" w:line="291"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employee who continues to be a participant in the 2019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2019 ESPP, the purchase price will be determined by our board of directors or the committee for each offering period and will be at least 85% of the applicable closing price of our common stock. If our board of directors or the committee does not make a determination of the purchase price, the purchase price will be 85% of the lesser of the closing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of our common stock on the first business day of the offering period or on the last business day of the offering period.</w:t>
      </w:r>
    </w:p>
    <w:p>
      <w:pPr>
        <w:spacing w:after="0" w:line="225"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8"/>
          <w:szCs w:val="18"/>
          <w:color w:val="auto"/>
        </w:rPr>
        <w:t>An employee may at any time prior to the close of business on the fifteenth business day prior to the end of an offering period, and for any reason, permanently withdraw from participating in an offering prior to the end of an offering period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198" w:lineRule="exact"/>
        <w:rPr>
          <w:sz w:val="20"/>
          <w:szCs w:val="20"/>
          <w:color w:val="auto"/>
        </w:rPr>
      </w:pPr>
    </w:p>
    <w:p>
      <w:pPr>
        <w:jc w:val="both"/>
        <w:ind w:firstLine="450"/>
        <w:spacing w:after="0" w:line="298" w:lineRule="auto"/>
        <w:rPr>
          <w:sz w:val="20"/>
          <w:szCs w:val="20"/>
          <w:color w:val="auto"/>
        </w:rPr>
      </w:pPr>
      <w:r>
        <w:rPr>
          <w:rFonts w:ascii="Arial" w:cs="Arial" w:eastAsia="Arial" w:hAnsi="Arial"/>
          <w:sz w:val="16"/>
          <w:szCs w:val="16"/>
          <w:color w:val="auto"/>
        </w:rPr>
        <w:t>We will be required to make equitable adjustments to the extent determined by our board of directors or a committee thereof to the number and class of securities available under the 2019 ESPP, the share limitations under the 2019 ESPP, and the purchase price for an offering period under the 2019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67"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In connection with a merger or other reorganization event, as defined in the 2019 ESPP, our board of directors or a committee of our board of directors may take any one or more of the following actions as to outstanding options to purchase shares of our common stock under the 2019 ESPP on such terms as our board of directors or committee thereof determines:</w:t>
      </w:r>
    </w:p>
    <w:p>
      <w:pPr>
        <w:spacing w:after="0" w:line="208" w:lineRule="exact"/>
        <w:rPr>
          <w:sz w:val="20"/>
          <w:szCs w:val="20"/>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that options will be assumed, or substantially equivalent options will be substituted, by the acquiring or succeeding corporation (or an affiliate thereof);</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board of directors or committee thereof in such notice, which date will not be less than ten days preceding the effective date of the reorganization event;</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99" w:lineRule="exact"/>
        <w:rPr>
          <w:rFonts w:ascii="Arial" w:cs="Arial" w:eastAsia="Arial" w:hAnsi="Arial"/>
          <w:sz w:val="18"/>
          <w:szCs w:val="18"/>
          <w:color w:val="auto"/>
        </w:rPr>
      </w:pPr>
    </w:p>
    <w:p>
      <w:pPr>
        <w:jc w:val="both"/>
        <w:ind w:left="1080" w:hanging="532"/>
        <w:spacing w:after="0" w:line="289"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2019 ESPP minus (2) the result of multiplying such number of shares by the purchase price; and/or</w:t>
      </w:r>
    </w:p>
    <w:p>
      <w:pPr>
        <w:spacing w:after="0" w:line="199"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will convert into the right to receive liquidation proceeds (net of the purchase price thereof).</w:t>
      </w:r>
    </w:p>
    <w:p>
      <w:pPr>
        <w:spacing w:after="0" w:line="186" w:lineRule="exact"/>
        <w:rPr>
          <w:sz w:val="20"/>
          <w:szCs w:val="20"/>
          <w:color w:val="auto"/>
        </w:rPr>
      </w:pPr>
    </w:p>
    <w:p>
      <w:pPr>
        <w:ind w:firstLine="534"/>
        <w:spacing w:after="0" w:line="268" w:lineRule="auto"/>
        <w:rPr>
          <w:sz w:val="20"/>
          <w:szCs w:val="20"/>
          <w:color w:val="auto"/>
        </w:rPr>
      </w:pPr>
      <w:r>
        <w:rPr>
          <w:rFonts w:ascii="Arial" w:cs="Arial" w:eastAsia="Arial" w:hAnsi="Arial"/>
          <w:sz w:val="18"/>
          <w:szCs w:val="18"/>
          <w:color w:val="auto"/>
        </w:rPr>
        <w:t>Our board of directors may at any time, and from time to time, amend or suspend the 2019 ESPP or any portion of the 2019 ESPP. We will obtain stockholder approval for any amendment if such approval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required by Section 423 of the Code. Further, our board of directors may not make any amendment that would cause the 2019 ESPP to fail to comply with Section 423 of the Internal Revenue Code. The 2019 ESPP may be terminated at any time by our board of directors. Upon termination, we will refund all amounts in the accounts of participating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match.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Our certificate of incorporation, which will become effective upon the closing of this offering, limits the personal liability of directors for breach of fiduciary duty to the maximum extent permitted by the Delaware General Corporation Law, or the DGCL, and provides that no director will have personal liability to us or to our stockholders for monetary damages for breach of fiduciary duty as a director. However, these provisions do not eliminate or limit the liability of any of our directors:</w:t>
      </w:r>
    </w:p>
    <w:p>
      <w:pPr>
        <w:spacing w:after="0" w:line="211"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jc w:val="both"/>
        <w:ind w:firstLine="46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97" w:lineRule="exact"/>
        <w:rPr>
          <w:sz w:val="20"/>
          <w:szCs w:val="20"/>
          <w:color w:val="auto"/>
        </w:rPr>
      </w:pPr>
    </w:p>
    <w:p>
      <w:pPr>
        <w:jc w:val="both"/>
        <w:ind w:right="20" w:firstLine="374"/>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7"/>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all compensation to our non-employee directors during the year ended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 or</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paid in cash</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6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2"/>
                <w:szCs w:val="12"/>
                <w:color w:val="auto"/>
              </w:rPr>
            </w:pP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97"/>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780" w:type="dxa"/>
            <w:vAlign w:val="bottom"/>
            <w:gridSpan w:val="2"/>
          </w:tcPr>
          <w:p>
            <w:pPr>
              <w:jc w:val="right"/>
              <w:ind w:right="2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(2)(3)</w:t>
            </w:r>
          </w:p>
        </w:tc>
        <w:tc>
          <w:tcPr>
            <w:tcW w:w="7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J. Collins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Alan Ezekowitz</w:t>
            </w:r>
          </w:p>
        </w:tc>
        <w:tc>
          <w:tcPr>
            <w:tcW w:w="102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Geraghty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2"/>
                <w:szCs w:val="22"/>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82,459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99,959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Levin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James Tananbaum</w:t>
            </w:r>
            <w:r>
              <w:rPr>
                <w:rFonts w:ascii="Arial" w:cs="Arial" w:eastAsia="Arial" w:hAnsi="Arial"/>
                <w:sz w:val="29"/>
                <w:szCs w:val="29"/>
                <w:color w:val="auto"/>
                <w:vertAlign w:val="superscript"/>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held pursuant to restricted stock awards by each non-employee director was as follows: Dr. Collins, 165,000 shares; Mr. Ezekowitz, 165,000 shares; Mr. Geraghty, 565,000 shares; Ms. Haviland, 0 shares; Mr. Levin, 0 shares and Mr. Tananbaum, 0 shares.</w:t>
      </w:r>
    </w:p>
    <w:p>
      <w:pPr>
        <w:spacing w:after="0" w:line="221"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fair value of stock-based compensation awarded during the year computed in accordance with the provisions of ASC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directors upon the vesting of the stock options, the exercise of the stock options or the sale of the common underlying such stock options.</w:t>
      </w:r>
    </w:p>
    <w:p>
      <w:pPr>
        <w:spacing w:after="0" w:line="183"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subject to outstanding option awards for each non-employee director was as follows: Dr. Collins, 25,000 shares; Mr. Ezekowitz, 25,000 shares; Mr. Geraghty, 25,000 shares; Ms. Haviland, 165,000 shares; Mr. Levin, 0 shares and Mr. Tananbaum, 0 shares.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Kate Haviland joined our board of directors in June 2018.</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James Tananbaum resigned from our board of directors effective as of April 3, 2019.</w:t>
      </w:r>
    </w:p>
    <w:p>
      <w:pPr>
        <w:spacing w:after="0" w:line="225" w:lineRule="exact"/>
        <w:rPr>
          <w:sz w:val="20"/>
          <w:szCs w:val="20"/>
          <w:color w:val="auto"/>
        </w:rPr>
      </w:pPr>
    </w:p>
    <w:p>
      <w:pPr>
        <w:ind w:firstLine="361"/>
        <w:spacing w:after="0" w:line="268" w:lineRule="auto"/>
        <w:rPr>
          <w:sz w:val="20"/>
          <w:szCs w:val="20"/>
          <w:color w:val="auto"/>
        </w:rPr>
      </w:pPr>
      <w:r>
        <w:rPr>
          <w:rFonts w:ascii="Arial" w:cs="Arial" w:eastAsia="Arial" w:hAnsi="Arial"/>
          <w:sz w:val="18"/>
          <w:szCs w:val="18"/>
          <w:color w:val="auto"/>
        </w:rPr>
        <w:t>In January 2019, Mr. Collins and Mr. Ezekowitz were each granted options to purchase 25,000 shares of our common stock. In May 2019, Mr. Geraghty was granted an option to purchase 25,000 shares of our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Prior to this offering, we paid cash fees and granted restricted stock awards and options to purchase shares of our common stock to certain of our non-employee directors for their service on our board of directors pursuant to a non-employee and non-affiliate director compensation policy. We have historically reimbursed our non-employee directors for reasonable travel and out-of-pocket expenses incurred in connection with attending board of director and committee meetings.</w:t>
      </w:r>
    </w:p>
    <w:p>
      <w:pPr>
        <w:spacing w:after="0" w:line="197"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Dr. Gould, one of our directors who also serves as our president and chief executive officer, does not receive any additional compensation for his service as a director. Dr. Gould is one of our named executive officers and, accordingly, the compensation that we pay to Dr. Gould is discussed above under "—Summary Compensation Table" and "—Narrative to Summary Compensation Table."</w:t>
      </w:r>
    </w:p>
    <w:p>
      <w:pPr>
        <w:spacing w:after="0" w:line="194" w:lineRule="exact"/>
        <w:rPr>
          <w:sz w:val="20"/>
          <w:szCs w:val="20"/>
          <w:color w:val="auto"/>
        </w:rPr>
      </w:pPr>
    </w:p>
    <w:p>
      <w:pPr>
        <w:jc w:val="both"/>
        <w:ind w:firstLine="367"/>
        <w:spacing w:after="0" w:line="290" w:lineRule="auto"/>
        <w:rPr>
          <w:sz w:val="20"/>
          <w:szCs w:val="20"/>
          <w:color w:val="auto"/>
        </w:rPr>
      </w:pPr>
      <w:r>
        <w:rPr>
          <w:rFonts w:ascii="Arial" w:cs="Arial" w:eastAsia="Arial" w:hAnsi="Arial"/>
          <w:sz w:val="16"/>
          <w:szCs w:val="16"/>
          <w:color w:val="auto"/>
        </w:rPr>
        <w:t>In , 2019, our board of directors approved a director compensation program that will become effective on the effective date of the registration statements of which this prospectus is a part. Under this director compensation program, we will pay our non-employee directors a cash retainer for service on the board of directors and for service on each committee on which the director is a member. The chairman of the board and of each committee will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will be payable in respect of any period prior to the completion of this offering. The fees paid to non-employee directors for service on the board of directors and for service on each committee of the board of directors on which the director is a member are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Member</w:t>
            </w:r>
          </w:p>
        </w:tc>
        <w:tc>
          <w:tcPr>
            <w:tcW w:w="1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Chairman</w:t>
            </w:r>
          </w:p>
        </w:tc>
      </w:tr>
      <w:tr>
        <w:trPr>
          <w:trHeight w:val="161"/>
        </w:trPr>
        <w:tc>
          <w:tcPr>
            <w:tcW w:w="4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Annual Fee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Annual Fee</w:t>
            </w:r>
          </w:p>
        </w:tc>
        <w:tc>
          <w:tcPr>
            <w:tcW w:w="160" w:type="dxa"/>
            <w:vAlign w:val="bottom"/>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20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Audit Committee</w:t>
            </w: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0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0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under our director compensation program to be effective on the effective date of the registration statement of which this prospectus is a part,</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each non-employee director will receive, upon his or her initial election or appointment to our board of directors, an option to purchase shares of our common stock under the 2019 Plan. Each of these options will vest as to of the shares of our common stock underlying such option on the first anniversary of the grant, with the remainder vesting in equal monthly installments until the anniversary of the date of grant, subject to the non-employee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director's continued service as a director. Further, on the date of the first board meeting held after each annual meeting of stockholders, each non-employee</w:t>
      </w:r>
    </w:p>
    <w:p>
      <w:pPr>
        <w:spacing w:after="0" w:line="3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director that has served on our board of directors for at least six months will receive, under the 2019 Plan, an option to purchase shares of our common stock under the 2019 Plan. Each of these options will vest , subject to the non-employee director's continued service as a director. All</w:t>
      </w:r>
    </w:p>
    <w:p>
      <w:pPr>
        <w:ind w:right="20"/>
        <w:spacing w:after="0" w:line="261" w:lineRule="auto"/>
        <w:rPr>
          <w:sz w:val="20"/>
          <w:szCs w:val="20"/>
          <w:color w:val="auto"/>
        </w:rPr>
      </w:pPr>
      <w:r>
        <w:rPr>
          <w:rFonts w:ascii="Arial" w:cs="Arial" w:eastAsia="Arial" w:hAnsi="Arial"/>
          <w:sz w:val="18"/>
          <w:szCs w:val="18"/>
          <w:color w:val="auto"/>
        </w:rPr>
        <w:t>options issued to our non-employee directors under our director compensation program will be issued at exercise prices equal to the fair market value of our common stock on the date of grant and will become exercisable in full upon specified change in control events.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Since January 1, 2016,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 We believe that all of these transactions were on terms as favorable as could have been obtained from unrelated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w:t>
      </w:r>
    </w:p>
    <w:p>
      <w:pPr>
        <w:spacing w:after="0" w:line="231"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On April 14, 2016, we issued and sold a convertible promissory note to Third Rock Ventures III, L.P. in the aggregate principal amount of $3,500,000. The note accrued interest at a rate of 6% per annum. All principal and interest under the note was converted into shares of Series A preferred stock in connection with our initial closing of our Series A preferred stock financing in July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231" w:lineRule="exact"/>
        <w:rPr>
          <w:sz w:val="20"/>
          <w:szCs w:val="20"/>
          <w:color w:val="auto"/>
        </w:rPr>
      </w:pPr>
    </w:p>
    <w:p>
      <w:pPr>
        <w:jc w:val="both"/>
        <w:ind w:firstLine="462"/>
        <w:spacing w:after="0" w:line="294" w:lineRule="auto"/>
        <w:rPr>
          <w:sz w:val="20"/>
          <w:szCs w:val="20"/>
          <w:color w:val="auto"/>
        </w:rPr>
      </w:pPr>
      <w:r>
        <w:rPr>
          <w:rFonts w:ascii="Arial" w:cs="Arial" w:eastAsia="Arial" w:hAnsi="Arial"/>
          <w:sz w:val="16"/>
          <w:szCs w:val="16"/>
          <w:color w:val="auto"/>
        </w:rPr>
        <w:t>From July 18, 2016 to June 6, 2018, we issued and sold an aggregate of 60,000,000 shares of our Series A preferred stock, consisting of (i) 53,313,014 shares sold at a price per share of $1.00 in cash, for an aggregate purchase price of $53,313,014 and (ii) 6,686,986 shares issued upon conversion of $6,868,986 in outstanding principal and accrued and unpaid interest under the notes issued on October 15, 2015 and April 14, 2016, at a price per share of $1.00 in cash. The following table sets forth the aggregate numbers of shares of our Series A preferred stock that we issued and sold to our 5% stockholders and their affiliates in this transaction and the aggregate amount of consideration for such shares: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 Series 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Received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Funded by</w:t>
            </w:r>
          </w:p>
        </w:tc>
        <w:tc>
          <w:tcPr>
            <w:tcW w:w="0" w:type="dxa"/>
            <w:vAlign w:val="bottom"/>
          </w:tcPr>
          <w:p>
            <w:pPr>
              <w:spacing w:after="0"/>
              <w:rPr>
                <w:sz w:val="1"/>
                <w:szCs w:val="1"/>
                <w:color w:val="auto"/>
              </w:rPr>
            </w:pPr>
          </w:p>
        </w:tc>
      </w:tr>
      <w:tr>
        <w:trPr>
          <w:trHeight w:val="149"/>
        </w:trPr>
        <w:tc>
          <w:tcPr>
            <w:tcW w:w="3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(1)(2)</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Conversion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0" w:type="dxa"/>
            <w:vAlign w:val="bottom"/>
          </w:tcPr>
          <w:p>
            <w:pPr>
              <w:spacing w:after="0"/>
              <w:rPr>
                <w:sz w:val="1"/>
                <w:szCs w:val="1"/>
                <w:color w:val="auto"/>
              </w:rPr>
            </w:pPr>
          </w:p>
        </w:tc>
      </w:tr>
      <w:tr>
        <w:trPr>
          <w:trHeight w:val="161"/>
        </w:trPr>
        <w:tc>
          <w:tcPr>
            <w:tcW w:w="3140" w:type="dxa"/>
            <w:vAlign w:val="bottom"/>
            <w:gridSpan w:val="4"/>
            <w:vMerge w:val="continue"/>
          </w:tcPr>
          <w:p>
            <w:pPr>
              <w:spacing w:after="0"/>
              <w:rPr>
                <w:sz w:val="14"/>
                <w:szCs w:val="14"/>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Sold for 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Promissory Note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Promissory Note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7/18/2016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5,156,507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11/15/2016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5,156,507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5,156,507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6,333,333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6,333,333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Levin, a member of our board of directors, is a partner of Third Rock Ventures.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31" w:lineRule="exact"/>
        <w:rPr>
          <w:sz w:val="20"/>
          <w:szCs w:val="20"/>
          <w:color w:val="auto"/>
        </w:rPr>
      </w:pPr>
    </w:p>
    <w:p>
      <w:pPr>
        <w:ind w:firstLine="383"/>
        <w:spacing w:after="0" w:line="332" w:lineRule="auto"/>
        <w:rPr>
          <w:sz w:val="20"/>
          <w:szCs w:val="20"/>
          <w:color w:val="auto"/>
        </w:rPr>
      </w:pPr>
      <w:r>
        <w:rPr>
          <w:rFonts w:ascii="Arial" w:cs="Arial" w:eastAsia="Arial" w:hAnsi="Arial"/>
          <w:sz w:val="16"/>
          <w:szCs w:val="16"/>
          <w:color w:val="auto"/>
        </w:rPr>
        <w:t>In August 2018, we issued and sold an aggregate of 40,000,000 shares of our Series B preferred stock at a price per share of $2.00 in cash, for an aggregate purchase price of $80,000,000. The following table sets forth the aggregate numbers of shares of our Series B preferred stock that we sold to our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their affiliates in this transaction and the aggregate amount of consideration for such shares: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1"/>
              </w:rPr>
              <w:t>Shares of</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r>
              <w:rPr>
                <w:rFonts w:ascii="Arial" w:cs="Arial" w:eastAsia="Arial" w:hAnsi="Arial"/>
                <w:sz w:val="22"/>
                <w:szCs w:val="22"/>
                <w:b w:val="1"/>
                <w:bCs w:val="1"/>
                <w:color w:val="auto"/>
                <w:vertAlign w:val="superscript"/>
              </w:rPr>
              <w:t>(1)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6640" w:type="dxa"/>
            <w:vAlign w:val="bottom"/>
            <w:gridSpan w:val="4"/>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Foresite Capital Fund IV, L.P.</w:t>
            </w:r>
            <w:r>
              <w:rPr>
                <w:rFonts w:ascii="Arial" w:cs="Arial" w:eastAsia="Arial" w:hAnsi="Arial"/>
                <w:sz w:val="28"/>
                <w:szCs w:val="28"/>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w:t>
            </w:r>
          </w:p>
        </w:tc>
        <w:tc>
          <w:tcPr>
            <w:tcW w:w="11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  21,000,000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Tananbaum, a former member of our board of directors who served during this transaction, is founder and chief executive officer of Foresite Capital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GSK</w:t>
      </w:r>
    </w:p>
    <w:p>
      <w:pPr>
        <w:spacing w:after="0" w:line="231"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On February 8, 2019, we entered into a right of reference and license agreement with affiliates of GlaxoSmithKline plc, or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right of reference and license agreement.</w:t>
      </w:r>
    </w:p>
    <w:p>
      <w:pPr>
        <w:spacing w:after="0" w:line="170"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also agreed to provide GSK the opportunity to purchase shares of common stock in connection with this offering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 If GSK exercises its rights to purchase shares of common stock in connection with this offering, subject to certain conditions, GSK may purchase shares offered in this offering or may purchase shares of common stock in a private placement that is expected to close concurrently with this offering, in each case at the initial per share public offering price.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"Business—Right of Reference and License Agreement with GlaxoSmithKline" for additional information regarding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Provided by Third Rock Ventures, LLC</w:t>
      </w:r>
    </w:p>
    <w:p>
      <w:pPr>
        <w:spacing w:after="0" w:line="231" w:lineRule="exact"/>
        <w:rPr>
          <w:sz w:val="20"/>
          <w:szCs w:val="20"/>
          <w:color w:val="auto"/>
        </w:rPr>
      </w:pPr>
    </w:p>
    <w:p>
      <w:pPr>
        <w:jc w:val="both"/>
        <w:ind w:firstLine="355"/>
        <w:spacing w:after="0" w:line="310" w:lineRule="auto"/>
        <w:rPr>
          <w:sz w:val="20"/>
          <w:szCs w:val="20"/>
          <w:color w:val="auto"/>
        </w:rPr>
      </w:pPr>
      <w:r>
        <w:rPr>
          <w:rFonts w:ascii="Arial" w:cs="Arial" w:eastAsia="Arial" w:hAnsi="Arial"/>
          <w:sz w:val="15"/>
          <w:szCs w:val="15"/>
          <w:color w:val="auto"/>
        </w:rPr>
        <w:t>Since inception, we have received consulting and management services from Third Rock Ventures LLC, or Third Rock Ventures, which through its affiliates, has a significant interest in us. We have paid Third Rock Ventures $1.9 million for these services since January 1, 2016, including the reimbursement of expenses. We do not have a written agreement in place with Third Rock Ventures with respect to the provision of consulting and management services. The consulting and management services fees are payable to Third Rock Ventures pursuant to invoices submitted to us by Third Rock Ventures quarterly. The consulting and management services fees paid to Third Rock Ventures did not exceed 5% of the consolidated gross revenue of Third Rock Ventures during any of the past three fiscal years. From time to time and at our request, partners and associates of Third Rock Ventures provide us with certain strategic and ordinary course business operations consulting services. We have issued an aggregate of 996,000 shares of our common stock to these consultants in exchange for their continuing consulting services. We may continue to occassionally engage Third Rock Ventures or their partners or associates for consulting services following this offering.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are a party to an investor rights agreement with the holders of our preferred stock, including our 5% stockholders and their affiliates and entities affiliated with some of our directors. This investor rights agreement provides these holders the right, subject to certain conditions, beginning six months following the completion of this offering, to demand that we file a registration statement or to request that their shares be covered by a registration statement that we are otherwise filing.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"Description of Capital Stock—Registration Rights" for additional information regarding these registration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auto"/>
        </w:rPr>
        <w:t>Our certificate of incorporation, which will become effective upon the closing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1"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Our board of directors intends to adopt written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94" w:lineRule="exact"/>
        <w:rPr>
          <w:sz w:val="20"/>
          <w:szCs w:val="20"/>
          <w:color w:val="auto"/>
        </w:rPr>
      </w:pPr>
    </w:p>
    <w:p>
      <w:pPr>
        <w:jc w:val="both"/>
        <w:ind w:firstLine="463"/>
        <w:spacing w:after="0" w:line="253"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201"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53"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our best interests.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may impose any conditions on the related person transaction that it deems appropriate.</w:t>
      </w:r>
    </w:p>
    <w:p>
      <w:pPr>
        <w:spacing w:after="0" w:line="219"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221" w:lineRule="exact"/>
        <w:rPr>
          <w:sz w:val="20"/>
          <w:szCs w:val="20"/>
          <w:color w:val="auto"/>
        </w:rPr>
      </w:pPr>
    </w:p>
    <w:p>
      <w:pPr>
        <w:jc w:val="both"/>
        <w:ind w:left="1080" w:hanging="532"/>
        <w:spacing w:after="0" w:line="294"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86"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30, 2019 by:</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firstLine="576"/>
        <w:spacing w:after="0" w:line="286" w:lineRule="auto"/>
        <w:rPr>
          <w:sz w:val="20"/>
          <w:szCs w:val="20"/>
          <w:color w:val="auto"/>
        </w:rPr>
      </w:pPr>
      <w:r>
        <w:rPr>
          <w:rFonts w:ascii="Arial" w:cs="Arial" w:eastAsia="Arial" w:hAnsi="Arial"/>
          <w:sz w:val="16"/>
          <w:szCs w:val="16"/>
          <w:color w:val="auto"/>
        </w:rPr>
        <w:t>The column entitled "Percentage of Shares Beneficially Owned—Before Offering" is based on a total of 131,930,506 shares of our common stock outstanding as of April 30, 2019, assuming the automatic conversion of all outstanding shares of our preferred stock into an aggregate of 112,500,000 shares of</w:t>
      </w:r>
    </w:p>
    <w:p>
      <w:pPr>
        <w:jc w:val="both"/>
        <w:spacing w:after="0" w:line="250" w:lineRule="auto"/>
        <w:rPr>
          <w:sz w:val="20"/>
          <w:szCs w:val="20"/>
          <w:color w:val="auto"/>
        </w:rPr>
      </w:pPr>
      <w:r>
        <w:rPr>
          <w:rFonts w:ascii="Arial" w:cs="Arial" w:eastAsia="Arial" w:hAnsi="Arial"/>
          <w:sz w:val="18"/>
          <w:szCs w:val="18"/>
          <w:color w:val="auto"/>
        </w:rPr>
        <w:t>our common stock upon the closing of this offering. The column entitled "Percentage of Shares Beneficially Owned—After Offering" is based on shares of our common stock to be outstanding after this offering, including the shares of our common stock that we are selling in this offering,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but not including any additional shares issuable upon exercise of outstanding options.</w:t>
      </w:r>
    </w:p>
    <w:p>
      <w:pPr>
        <w:spacing w:after="0" w:line="219"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April 30, 2019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each beneficial owner is c/o Fulcrum Therapeutics, Inc., 26 Landsdowne Street, Cambridge, MA 02139.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auto"/>
                <w:w w:val="84"/>
              </w:rPr>
              <w:t>Shares Beneficially</w:t>
            </w: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Number of</w:t>
            </w:r>
          </w:p>
        </w:tc>
        <w:tc>
          <w:tcPr>
            <w:tcW w:w="27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5"/>
              </w:rPr>
              <w:t>Owned</w:t>
            </w:r>
          </w:p>
        </w:tc>
      </w:tr>
      <w:tr>
        <w:trPr>
          <w:trHeight w:val="129"/>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1300" w:type="dxa"/>
            <w:vAlign w:val="bottom"/>
            <w:gridSpan w:val="2"/>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2"/>
                <w:szCs w:val="12"/>
                <w:color w:val="auto"/>
              </w:rPr>
            </w:pPr>
          </w:p>
        </w:tc>
        <w:tc>
          <w:tcPr>
            <w:tcW w:w="196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Offering</w:t>
            </w:r>
          </w:p>
        </w:tc>
      </w:tr>
      <w:tr>
        <w:trPr>
          <w:trHeight w:val="168"/>
        </w:trPr>
        <w:tc>
          <w:tcPr>
            <w:tcW w:w="1140" w:type="dxa"/>
            <w:vAlign w:val="bottom"/>
          </w:tcPr>
          <w:p>
            <w:pPr>
              <w:spacing w:after="0"/>
              <w:rPr>
                <w:sz w:val="14"/>
                <w:szCs w:val="14"/>
                <w:color w:val="auto"/>
              </w:rPr>
            </w:pPr>
          </w:p>
        </w:tc>
        <w:tc>
          <w:tcPr>
            <w:tcW w:w="6440" w:type="dxa"/>
            <w:vAlign w:val="bottom"/>
            <w:gridSpan w:val="5"/>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Owned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4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Entities affiliated with Third Rock Ventures</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57,000,000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Glaxo Group Limited</w:t>
            </w:r>
            <w:r>
              <w:rPr>
                <w:rFonts w:ascii="Arial" w:cs="Arial" w:eastAsia="Arial" w:hAnsi="Arial"/>
                <w:sz w:val="29"/>
                <w:szCs w:val="29"/>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Foresite Capital Fund IV, L.P.</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10,500,000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Robert J. Gould</w:t>
            </w:r>
            <w:r>
              <w:rPr>
                <w:rFonts w:ascii="Arial" w:cs="Arial" w:eastAsia="Arial" w:hAnsi="Arial"/>
                <w:sz w:val="29"/>
                <w:szCs w:val="29"/>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3,901,415</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Bryan Stuart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Diego Cadavid</w:t>
            </w:r>
            <w:r>
              <w:rPr>
                <w:rFonts w:ascii="Arial" w:cs="Arial" w:eastAsia="Arial" w:hAnsi="Arial"/>
                <w:sz w:val="29"/>
                <w:szCs w:val="29"/>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556,343</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Mark Levin</w:t>
            </w:r>
            <w:r>
              <w:rPr>
                <w:rFonts w:ascii="Arial" w:cs="Arial" w:eastAsia="Arial" w:hAnsi="Arial"/>
                <w:sz w:val="29"/>
                <w:szCs w:val="29"/>
                <w:color w:val="auto"/>
                <w:vertAlign w:val="superscript"/>
              </w:rPr>
              <w:t>(6)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41,166,667</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James J. Collins</w:t>
            </w:r>
            <w:r>
              <w:rPr>
                <w:rFonts w:ascii="Arial" w:cs="Arial" w:eastAsia="Arial" w:hAnsi="Arial"/>
                <w:sz w:val="29"/>
                <w:szCs w:val="29"/>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196,250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Alan Ezekowitz</w:t>
            </w:r>
            <w:r>
              <w:rPr>
                <w:rFonts w:ascii="Arial" w:cs="Arial" w:eastAsia="Arial" w:hAnsi="Arial"/>
                <w:sz w:val="29"/>
                <w:szCs w:val="29"/>
                <w:color w:val="auto"/>
                <w:vertAlign w:val="superscript"/>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auto"/>
              </w:rPr>
              <w:t>James Geraghty</w:t>
            </w:r>
            <w:r>
              <w:rPr>
                <w:rFonts w:ascii="Arial" w:cs="Arial" w:eastAsia="Arial" w:hAnsi="Arial"/>
                <w:sz w:val="29"/>
                <w:szCs w:val="29"/>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590,000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Kate Haviland</w:t>
            </w:r>
            <w:r>
              <w:rPr>
                <w:rFonts w:ascii="Arial" w:cs="Arial" w:eastAsia="Arial" w:hAnsi="Arial"/>
                <w:sz w:val="29"/>
                <w:szCs w:val="29"/>
                <w:color w:val="auto"/>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36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All current executive officers and directors as a group (9 persons)</w:t>
            </w:r>
            <w:r>
              <w:rPr>
                <w:rFonts w:ascii="Arial" w:cs="Arial" w:eastAsia="Arial" w:hAnsi="Arial"/>
                <w:sz w:val="29"/>
                <w:szCs w:val="29"/>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47,544,044</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120" w:type="dxa"/>
            <w:vAlign w:val="bottom"/>
            <w:gridSpan w:val="3"/>
          </w:tcPr>
          <w:p>
            <w:pPr>
              <w:jc w:val="right"/>
              <w:ind w:right="4360"/>
              <w:spacing w:after="0"/>
              <w:rPr>
                <w:sz w:val="20"/>
                <w:szCs w:val="20"/>
                <w:color w:val="auto"/>
              </w:rPr>
            </w:pPr>
            <w:r>
              <w:rPr>
                <w:rFonts w:ascii="Arial" w:cs="Arial" w:eastAsia="Arial" w:hAnsi="Arial"/>
                <w:sz w:val="18"/>
                <w:szCs w:val="18"/>
                <w:color w:val="auto"/>
                <w:w w:val="97"/>
              </w:rPr>
              <w:t>Less than one percent</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gridSpan w:val="3"/>
          </w:tcPr>
          <w:p>
            <w:pPr>
              <w:jc w:val="right"/>
              <w:ind w:right="1740"/>
              <w:spacing w:after="0"/>
              <w:rPr>
                <w:sz w:val="20"/>
                <w:szCs w:val="20"/>
                <w:color w:val="auto"/>
              </w:rPr>
            </w:pPr>
            <w:r>
              <w:rPr>
                <w:rFonts w:ascii="Arial" w:cs="Arial" w:eastAsia="Arial" w:hAnsi="Arial"/>
                <w:sz w:val="18"/>
                <w:szCs w:val="18"/>
                <w:color w:val="auto"/>
              </w:rPr>
              <w:t>182</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Consists of (i) (a) 2,000,000 shares of common stock and (b) 39,166,667 shares of common stock issuable upon the conversion of preferred stock held by Third Rock Ventures III, L.P., or TRV III LP, and (ii) 15,833,333 shares of common stock issuable upon the conversion of preferred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200" w:lineRule="exact"/>
        <w:rPr>
          <w:sz w:val="20"/>
          <w:szCs w:val="20"/>
          <w:color w:val="auto"/>
        </w:rPr>
      </w:pPr>
    </w:p>
    <w:p>
      <w:pPr>
        <w:sectPr>
          <w:pgSz w:w="11900" w:h="16838" w:orient="portrait"/>
          <w:cols w:equalWidth="0" w:num="2">
            <w:col w:w="1360" w:space="320"/>
            <w:col w:w="9740"/>
          </w:cols>
          <w:pgMar w:left="240" w:top="131" w:right="239" w:bottom="1440" w:gutter="0" w:footer="0" w:header="0"/>
        </w:sectPr>
      </w:pPr>
    </w:p>
    <w:p>
      <w:pPr>
        <w:spacing w:after="0" w:line="8" w:lineRule="exact"/>
        <w:rPr>
          <w:sz w:val="20"/>
          <w:szCs w:val="20"/>
          <w:color w:val="auto"/>
        </w:rPr>
      </w:pPr>
    </w:p>
    <w:p>
      <w:pPr>
        <w:jc w:val="both"/>
        <w:ind w:left="1680" w:hanging="531"/>
        <w:spacing w:after="0" w:line="259"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12,500,000 shares of common stock issuable upon the conversion of preferred stock held by Glaxo Group Limited, an indirect wholly-owned subsidiary of GlaxoSmithKline plc, which beneficially owns the shares held by Glaxo Group Limited. The address of Glaxo Group Limited is 980 Great West Road, Brentford, Middlesex TW8 9GS England.</w:t>
      </w:r>
    </w:p>
    <w:p>
      <w:pPr>
        <w:spacing w:after="0" w:line="207" w:lineRule="exact"/>
        <w:rPr>
          <w:rFonts w:ascii="Arial" w:cs="Arial" w:eastAsia="Arial" w:hAnsi="Arial"/>
          <w:sz w:val="18"/>
          <w:szCs w:val="18"/>
          <w:color w:val="auto"/>
        </w:rPr>
      </w:pPr>
    </w:p>
    <w:p>
      <w:pPr>
        <w:jc w:val="both"/>
        <w:ind w:left="1680" w:hanging="531"/>
        <w:spacing w:after="0" w:line="254"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10,500,000 shares of common stock issuable upon the conversion of preferred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 pecuniary interest therein. The address of FCF IV is 600 Montgomery Street, Suite 4500, San Francisco, CA 94111.</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3,901,415 shares of common stock held by Dr. Gould.</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497,500 shares of common stock held by Dr. Cadavid and 58,843 shares of common stock underlying options held by Dr. Cadavid that are exercisable as of April 30, 2019 or will become exercisable within 60 days after such date.</w:t>
      </w:r>
    </w:p>
    <w:p>
      <w:pPr>
        <w:spacing w:after="0" w:line="199"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the shares described in Note 1 above held by TRV III LP.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210"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165,000 shares of common stock held by Dr. Collins and 31,250 shares of common stock underlying options held by Dr. Collins that are exercisable as of April 30, 2019 or will become exercisable within 60 days after such date.</w:t>
      </w:r>
    </w:p>
    <w:p>
      <w:pPr>
        <w:spacing w:after="0" w:line="212" w:lineRule="exact"/>
        <w:rPr>
          <w:rFonts w:ascii="Arial" w:cs="Arial" w:eastAsia="Arial" w:hAnsi="Arial"/>
          <w:sz w:val="18"/>
          <w:szCs w:val="18"/>
          <w:color w:val="auto"/>
        </w:rPr>
      </w:pPr>
    </w:p>
    <w:p>
      <w:pPr>
        <w:ind w:left="1680" w:right="20" w:hanging="531"/>
        <w:spacing w:after="0" w:line="332" w:lineRule="auto"/>
        <w:tabs>
          <w:tab w:leader="none" w:pos="16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165,000 shares of common stock held by Dr. Ezekowitz and 37,500 shares of common stock underlying options held by Dr. Ezekowitz that are exercisable as of April 30, 2019 or will become exercisable within 60 days after such date.</w:t>
      </w:r>
    </w:p>
    <w:p>
      <w:pPr>
        <w:spacing w:after="0" w:line="152" w:lineRule="exact"/>
        <w:rPr>
          <w:rFonts w:ascii="Arial" w:cs="Arial" w:eastAsia="Arial" w:hAnsi="Arial"/>
          <w:sz w:val="16"/>
          <w:szCs w:val="16"/>
          <w:color w:val="auto"/>
        </w:rPr>
      </w:pPr>
    </w:p>
    <w:p>
      <w:pPr>
        <w:ind w:left="1680" w:hanging="531"/>
        <w:spacing w:after="0" w:line="332" w:lineRule="auto"/>
        <w:tabs>
          <w:tab w:leader="none" w:pos="16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565,000 shares of common stock held by Mr. Geraghty and 25,000 shares of common stock underlying options held by Mr. Geraghty that are exercisable as of April 30, 2019 or will become exercisable within 60 days after such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line="268"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41,250 shares of common stock underlying options held by Ms. Haviland that are exercisable as of April 30, 2019 or will become exercisable within 60 days after such date.</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193,843 shares of common stock underlying options that are exercisable as of April 30, 2019 or will become exercisable within 60 days after such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and are qualified by reference to the certificate of incorporation and the bylaws that will be in effect upon the closing of this offering. We will file copies of these documents with the SEC as exhibits to our registration statement of which this prospectus is a part. The description of the capital stock reflects changes to our capital structure that will occur upon the closing of this offering.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 w:hanging="855"/>
        <w:spacing w:after="0" w:line="268" w:lineRule="auto"/>
        <w:rPr>
          <w:sz w:val="20"/>
          <w:szCs w:val="20"/>
          <w:color w:val="auto"/>
        </w:rPr>
      </w:pPr>
      <w:r>
        <w:rPr>
          <w:rFonts w:ascii="Arial" w:cs="Arial" w:eastAsia="Arial" w:hAnsi="Arial"/>
          <w:sz w:val="18"/>
          <w:szCs w:val="18"/>
          <w:color w:val="auto"/>
        </w:rPr>
        <w:t>Upon the closing of this offering, our authorized capital stock will consist of</w:t>
      </w:r>
      <w:r>
        <w:rPr>
          <w:sz w:val="20"/>
          <w:szCs w:val="20"/>
          <w:color w:val="auto"/>
        </w:rPr>
        <w:t xml:space="preserve"> </w:t>
      </w:r>
      <w:r>
        <w:rPr>
          <w:rFonts w:ascii="Arial" w:cs="Arial" w:eastAsia="Arial" w:hAnsi="Arial"/>
          <w:sz w:val="18"/>
          <w:szCs w:val="18"/>
          <w:color w:val="auto"/>
        </w:rPr>
        <w:t>shares of our common stock, par value $0.001 per share, shares of our preferred stock, par value $0.001 per share, all of which preferred stock will be undesignated.</w:t>
      </w:r>
    </w:p>
    <w:p>
      <w:pPr>
        <w:spacing w:after="0" w:line="186" w:lineRule="exact"/>
        <w:rPr>
          <w:sz w:val="20"/>
          <w:szCs w:val="20"/>
          <w:color w:val="auto"/>
        </w:rPr>
      </w:pPr>
    </w:p>
    <w:p>
      <w:pPr>
        <w:sectPr>
          <w:pgSz w:w="11900" w:h="16838" w:orient="portrait"/>
          <w:cols w:equalWidth="0" w:num="2">
            <w:col w:w="600" w:space="720"/>
            <w:col w:w="10100"/>
          </w:cols>
          <w:pgMar w:left="240" w:top="131"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As of April 30, 2019, we had issued and outstanding:</w:t>
      </w:r>
    </w:p>
    <w:p>
      <w:pPr>
        <w:spacing w:after="0" w:line="239"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19,430,506 shares of our common stock held by 77 stockholders of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60,000,000 shares of our Series A preferred stock held by 3 stockholders of record, convertible into 60,000,000 shares of our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52,500,000 shares of our Series B preferred stock held by 21 stockholders of record, convertible into 52,500,000 shares of our common stock;</w:t>
      </w:r>
    </w:p>
    <w:p>
      <w:pPr>
        <w:spacing w:after="0" w:line="2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Upon the closing of this offering, all of the outstanding shares of our preferred stock will automatically convert into an aggregate of 112,500,000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97"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Unvested Restricted Stock</w:t>
      </w:r>
    </w:p>
    <w:p>
      <w:pPr>
        <w:spacing w:after="0" w:line="231"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8"/>
          <w:szCs w:val="18"/>
          <w:color w:val="auto"/>
        </w:rPr>
        <w:t>As of April 30, 2019, options to purchase an aggregate of 10,503,582 shares of our common stock, at a weighted average exercise price of $1.09 per share, were outstanding, and 6,972,076 shares of unvested restricted common stock were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closing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divide our board of directors into three classes with staggered three-year terms. In addition, our certificate of incorporation and our bylaws to be effective upon the closing of this offering provide that directors may be removed only for cause and only by the affirmative vote of the holders of 75% of our shares of capital stock present in person or by proxy and entitled to vote. Under our certificate of incorporation and our bylaws to be effective upon the closing of this offering, any vacancy on our board of directors, including a vacancy resulting from an enlargement of our board of directors, may be filled only by vote of a majority of our directors then in office. Furthermore, our certificate of incorporation to be effective upon the closing of this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Our certificate of incorporation and our bylaws to be effective upon the closing of this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this offering also provide that, except as otherwise required by law, special meetings of the stockholders can only be called by our board of directors. In addition, our bylaws to be effective upon the closing of this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this offering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jc w:val="both"/>
        <w:ind w:firstLine="394"/>
        <w:spacing w:after="0" w:line="288" w:lineRule="auto"/>
        <w:rPr>
          <w:sz w:val="20"/>
          <w:szCs w:val="20"/>
          <w:color w:val="auto"/>
        </w:rPr>
      </w:pPr>
      <w:r>
        <w:rPr>
          <w:rFonts w:ascii="Arial" w:cs="Arial" w:eastAsia="Arial" w:hAnsi="Arial"/>
          <w:sz w:val="16"/>
          <w:szCs w:val="16"/>
          <w:color w:val="auto"/>
        </w:rPr>
        <w:t>Our certificate of incorporation to be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auto"/>
        </w:rPr>
        <w:t>We have entered into an amended and restated investor rights agreement dated as of August 24, 2018, or the investor rights agreement, with holders of our preferred stock. Beginning six months following the closing of this offering, holders of a total of 114,500,000 shares of our common stock will have the right to require us to register these shares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225"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Beginning 180 days after this offering, subject to specified limitations set forth in the investor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 million. We are not obligated to file a registration statement pursuant to this provision on more than two occasions.</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In addition, subject to specified limitations set forth in the investor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auto"/>
        </w:rPr>
        <w:t>If, at any time after the closing of this offering, we propose to register for our own account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94" w:lineRule="exact"/>
        <w:rPr>
          <w:sz w:val="20"/>
          <w:szCs w:val="20"/>
          <w:color w:val="auto"/>
        </w:rPr>
      </w:pPr>
    </w:p>
    <w:p>
      <w:pPr>
        <w:jc w:val="both"/>
        <w:ind w:firstLine="379"/>
        <w:spacing w:after="0" w:line="332" w:lineRule="auto"/>
        <w:rPr>
          <w:sz w:val="20"/>
          <w:szCs w:val="20"/>
          <w:color w:val="auto"/>
        </w:rPr>
      </w:pPr>
      <w:r>
        <w:rPr>
          <w:rFonts w:ascii="Arial" w:cs="Arial" w:eastAsia="Arial" w:hAnsi="Arial"/>
          <w:sz w:val="16"/>
          <w:szCs w:val="16"/>
          <w:color w:val="auto"/>
        </w:rPr>
        <w:t>In the event that any registration in which the holders of registrable securities participate pursuant to our investor rights agreement is an underwritten public offering, we have agreed to enter into an underwriting agreement in usual and customary form and use our reasonable best efforts to facilitate such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Pursuant to the investor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98"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investor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will be Computershare Trust Company 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have our common stock listed on the Nasdaq Global Market under the symbol "FULC."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auto"/>
        </w:rPr>
        <w:t>Upon the closing of this offering, we will have outstanding shares of our common stock, based on the 19,430,506 shares of our common stock that were outstanding on April 30, 2019, after giving effect to the issuance of shares of our common stock in this offering, assuming no exercise by</w:t>
      </w:r>
    </w:p>
    <w:p>
      <w:pPr>
        <w:jc w:val="both"/>
        <w:spacing w:after="0" w:line="281" w:lineRule="auto"/>
        <w:rPr>
          <w:sz w:val="20"/>
          <w:szCs w:val="20"/>
          <w:color w:val="auto"/>
        </w:rPr>
      </w:pPr>
      <w:r>
        <w:rPr>
          <w:rFonts w:ascii="Arial" w:cs="Arial" w:eastAsia="Arial" w:hAnsi="Arial"/>
          <w:sz w:val="16"/>
          <w:szCs w:val="16"/>
          <w:color w:val="auto"/>
        </w:rPr>
        <w:t>the underwriters of their option to purchase additional shares of our common stock, and the conversion of all outstanding shares of our preferred stock into an aggregate of 112,500,000 shares of our common stock upon the closing of this offering. Of these shares, all shares sold in this offering will be freely tradable without restriction under the Securities Act of 1933, as amended, or the Securities Act, unless purchased by our "affiliates," as that term is defined in Rule 144</w:t>
      </w:r>
    </w:p>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under the Securities Act. The remaining shares of our common stock will be "restricted securities" under Rule 144, and we expect that substantially all of these restricted securities will be subject to the 180-day lock-up period under the lock-up agreements as described below. These restricted securities may be sold in the public market upon release or waiver of any applicable lock-up agreements and only if registered or pursuant to an exemption from registration, such as Rule 144 or Rule 701 under the Securities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0" w:lineRule="exact"/>
        <w:rPr>
          <w:sz w:val="20"/>
          <w:szCs w:val="20"/>
          <w:color w:val="auto"/>
        </w:rPr>
      </w:pPr>
    </w:p>
    <w:p>
      <w:pPr>
        <w:jc w:val="both"/>
        <w:ind w:right="20" w:firstLine="384"/>
        <w:spacing w:after="0" w:line="259"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 of the number of shares of our common stock then outstanding, which will equal approximately and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 offering;</w:t>
      </w:r>
    </w:p>
    <w:p>
      <w:pPr>
        <w:spacing w:after="0" w:line="478" w:lineRule="exact"/>
        <w:rPr>
          <w:sz w:val="20"/>
          <w:szCs w:val="20"/>
          <w:color w:val="auto"/>
        </w:rPr>
      </w:pPr>
    </w:p>
    <w:p>
      <w:pPr>
        <w:sectPr>
          <w:pgSz w:w="11900" w:h="16838" w:orient="portrait"/>
          <w:cols w:equalWidth="0" w:num="3">
            <w:col w:w="600" w:space="480"/>
            <w:col w:w="7060" w:space="580"/>
            <w:col w:w="2700"/>
          </w:cols>
          <w:pgMar w:left="240" w:top="131" w:right="239" w:bottom="1440" w:gutter="0" w:footer="0" w:header="0"/>
          <w:type w:val="continuous"/>
        </w:sectPr>
      </w:pPr>
    </w:p>
    <w:p>
      <w:pPr>
        <w:spacing w:after="0" w:line="13" w:lineRule="exact"/>
        <w:rPr>
          <w:sz w:val="20"/>
          <w:szCs w:val="20"/>
          <w:color w:val="auto"/>
        </w:rPr>
      </w:pPr>
    </w:p>
    <w:p>
      <w:pPr>
        <w:ind w:left="10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86" w:lineRule="exact"/>
        <w:rPr>
          <w:sz w:val="20"/>
          <w:szCs w:val="20"/>
          <w:color w:val="auto"/>
        </w:rPr>
      </w:pPr>
    </w:p>
    <w:p>
      <w:pPr>
        <w:ind w:firstLine="533"/>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firstLine="364"/>
        <w:spacing w:after="0" w:line="332" w:lineRule="auto"/>
        <w:rPr>
          <w:sz w:val="20"/>
          <w:szCs w:val="20"/>
          <w:color w:val="auto"/>
        </w:rPr>
      </w:pPr>
      <w:r>
        <w:rPr>
          <w:rFonts w:ascii="Arial" w:cs="Arial" w:eastAsia="Arial" w:hAnsi="Arial"/>
          <w:sz w:val="16"/>
          <w:szCs w:val="16"/>
          <w:color w:val="auto"/>
        </w:rPr>
        <w:t>Upon waiver or expiration of the 180-day lock-up period described below, approximately shares of our common stock will be eligible for sale under Rule 144. We cannot estimate the number of shares of our common stock that our existing stockholders will elect to sell under Rule 144.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jc w:val="both"/>
        <w:ind w:firstLine="417"/>
        <w:spacing w:after="0" w:line="28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holding period and volume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limitations, contained in Rule 144. Subject to the 180-day lock-up period described below, approximately shares of our common stock, based on shares outstanding as of , 2019 will be eligible for sale in accordance with Rule 701.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each of our executive officers and directors and the holders of a majority of our outstanding securities have agreed that, without the prior written consent of Morgan Stanley &amp; Co. LLC, BofA Securities, Inc. and SVB Leerink LLC, on behalf of the underwriters, we and they will not, subject to limited exceptions, during the period ending 180 days after the date of this prospectus:</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is to be settled by delivery of common stock or such other securities, in cash or otherwise.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agreements are subject to certain exceptions, as described in the section of this prospectus entitled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Beginning six months after the closing of this offering, the holders of an aggregate of 114,500,000 shares of our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Form S-8 Registration Statement</w:t>
      </w:r>
    </w:p>
    <w:p>
      <w:pPr>
        <w:spacing w:after="0" w:line="231"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As of April 30, 2019, we had outstanding options to purchase an aggregate of 10,503,582 shares of our common stock under the 2016 Plan, of which options to purchase 354,098 shares were vested. Following this offering, we intend to file a registration statement on Form S-8 under the Securities Act to register all of the shares of our common stock subject to outstanding options and reserved for future options and other awards under the 2016 Plan, the 2019 Plan and the 2019 ESPP. See "Executive Compensation—Stock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firstLine="512"/>
        <w:spacing w:after="0" w:line="259"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208"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70"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There can be no assurance that the Internal Revenue Service, or the IRS, will not challenge one or more of the tax consequences described in this prospectus.</w:t>
      </w:r>
    </w:p>
    <w:p>
      <w:pPr>
        <w:spacing w:after="0" w:line="197"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jc w:val="both"/>
        <w:ind w:firstLine="702"/>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w:t>
      </w:r>
    </w:p>
    <w:p>
      <w:pPr>
        <w:spacing w:after="0" w:line="198"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auto"/>
        </w:rPr>
        <w:t>Subject to the discussions below under the headings "Information Reporting and Backup Withholding" and "FATCA", 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w:t>
      </w:r>
    </w:p>
    <w:p>
      <w:pPr>
        <w:spacing w:after="0" w:line="172"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gain recognized on the non-U.S. holder's sale, exchange or other disposition of our common stock unless:</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(as defined in the Code)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196"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jc w:val="both"/>
        <w:ind w:left="1080" w:hanging="532"/>
        <w:spacing w:after="0" w:line="286"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only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31"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such individual's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94"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1"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jc w:val="both"/>
        <w:ind w:right="20" w:firstLine="385"/>
        <w:spacing w:after="0" w:line="332" w:lineRule="auto"/>
        <w:rPr>
          <w:sz w:val="20"/>
          <w:szCs w:val="20"/>
          <w:color w:val="auto"/>
        </w:rPr>
      </w:pPr>
      <w:r>
        <w:rPr>
          <w:rFonts w:ascii="Arial" w:cs="Arial" w:eastAsia="Arial" w:hAnsi="Arial"/>
          <w:sz w:val="16"/>
          <w:szCs w:val="16"/>
          <w:color w:val="auto"/>
        </w:rPr>
        <w:t>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Provisions of the Code commonly referred to as the Foreign Account Tax Compliance Act, or FATCA, generally impose a 30% withholding tax on dividends on, and, subject to the discussion below with respect to proposed U.S. Treasury Regulations excluding gross proceeds from such required withholding,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excepted under FATCA.</w:t>
      </w:r>
    </w:p>
    <w:p>
      <w:pPr>
        <w:spacing w:after="0" w:line="170"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apply to payments of gross proceeds from a sale or other disposition of our common stock, under recently proposed U.S. Treasury Regulations withholding on payments of gross proceeds is not required. Although such regulations are not final, applicable withholding agents may rely on the proposed regulations until final regulations are issued.</w:t>
      </w:r>
    </w:p>
    <w:p>
      <w:pPr>
        <w:spacing w:after="0" w:line="19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2" w:lineRule="exact"/>
        <w:rPr>
          <w:sz w:val="20"/>
          <w:szCs w:val="20"/>
          <w:color w:val="auto"/>
        </w:rPr>
      </w:pPr>
    </w:p>
    <w:p>
      <w:pPr>
        <w:jc w:val="both"/>
        <w:ind w:firstLine="392"/>
        <w:spacing w:after="0" w:line="339" w:lineRule="auto"/>
        <w:rPr>
          <w:sz w:val="20"/>
          <w:szCs w:val="20"/>
          <w:color w:val="auto"/>
        </w:rPr>
      </w:pPr>
      <w:r>
        <w:rPr>
          <w:rFonts w:ascii="Arial" w:cs="Arial" w:eastAsia="Arial" w:hAnsi="Arial"/>
          <w:sz w:val="15"/>
          <w:szCs w:val="15"/>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to be dated the date of this prospectus, the underwriters named below, for whom Morgan Stanley &amp; Co. LLC, BofA Securities, Inc. and SVB Leerink LLC are acting as representatives, will severally agreed to purchase, and we will agree to sell to them, severally, the number of shares indicated below:</w:t>
      </w:r>
    </w:p>
    <w:p>
      <w:pPr>
        <w:spacing w:after="0" w:line="190" w:lineRule="exact"/>
        <w:rPr>
          <w:sz w:val="20"/>
          <w:szCs w:val="20"/>
          <w:color w:val="auto"/>
        </w:rPr>
      </w:pPr>
    </w:p>
    <w:p>
      <w:pPr>
        <w:ind w:left="1720"/>
        <w:spacing w:after="0"/>
        <w:tabs>
          <w:tab w:leader="none" w:pos="83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0</wp:posOffset>
            </wp:positionV>
            <wp:extent cx="7975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19" w:lineRule="exact"/>
        <w:rPr>
          <w:sz w:val="20"/>
          <w:szCs w:val="20"/>
          <w:color w:val="auto"/>
        </w:rPr>
      </w:pPr>
    </w:p>
    <w:p>
      <w:pPr>
        <w:jc w:val="both"/>
        <w:ind w:firstLine="368"/>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will offer the shares of common stock subject to their acceptance of the shares from us and subject to prior sale. The underwriting agreement will provide that the obligations of the several underwriters to pay for and accept delivery of the shares of common stock offered by this prospectus are subject to the approval of certain legal matters by their counsel and to certain other conditions. The underwriters will be obligated to take and pay for all of the shares of common stock offered by this prospectus if any such shares are taken. However, the underwriters will not be required to take or pay for the shares covered by the underwriters' over-allotment option described below.</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3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47"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We will grant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gridSpan w:val="5"/>
          </w:tcPr>
          <w:p>
            <w:pPr>
              <w:spacing w:after="0"/>
              <w:rPr>
                <w:sz w:val="20"/>
                <w:szCs w:val="20"/>
                <w:color w:val="auto"/>
              </w:rPr>
            </w:pPr>
            <w:r>
              <w:rPr>
                <w:rFonts w:ascii="Arial" w:cs="Arial" w:eastAsia="Arial" w:hAnsi="Arial"/>
                <w:sz w:val="18"/>
                <w:szCs w:val="18"/>
                <w:color w:val="auto"/>
                <w:w w:val="88"/>
              </w:rPr>
              <w:t>amounts are shown assuming both no exercise and full exercise of the underwriters' option to purchase up to an additional</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3"/>
          </w:tcPr>
          <w:p>
            <w:pPr>
              <w:ind w:left="200"/>
              <w:spacing w:after="0"/>
              <w:rPr>
                <w:sz w:val="20"/>
                <w:szCs w:val="20"/>
                <w:color w:val="auto"/>
              </w:rPr>
            </w:pPr>
            <w:r>
              <w:rPr>
                <w:rFonts w:ascii="Arial" w:cs="Arial" w:eastAsia="Arial" w:hAnsi="Arial"/>
                <w:sz w:val="18"/>
                <w:szCs w:val="18"/>
                <w:color w:val="auto"/>
              </w:rPr>
              <w:t>shares of common stock.</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Total</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No</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Full</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Exercise</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Exercise</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46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700" w:type="dxa"/>
            <w:vAlign w:val="bottom"/>
            <w:gridSpan w:val="9"/>
          </w:tcPr>
          <w:p>
            <w:pPr>
              <w:ind w:left="40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1720" w:type="dxa"/>
            <w:vAlign w:val="bottom"/>
          </w:tcPr>
          <w:p>
            <w:pPr>
              <w:jc w:val="right"/>
              <w:spacing w:after="0"/>
              <w:rPr>
                <w:sz w:val="20"/>
                <w:szCs w:val="20"/>
                <w:color w:val="auto"/>
              </w:rPr>
            </w:pPr>
            <w:r>
              <w:rPr>
                <w:rFonts w:ascii="Arial" w:cs="Arial" w:eastAsia="Arial" w:hAnsi="Arial"/>
                <w:sz w:val="18"/>
                <w:szCs w:val="18"/>
                <w:color w:val="auto"/>
              </w:rPr>
              <w:t>. We have agreed to</w:t>
            </w:r>
          </w:p>
        </w:tc>
        <w:tc>
          <w:tcPr>
            <w:tcW w:w="0" w:type="dxa"/>
            <w:vAlign w:val="bottom"/>
          </w:tcPr>
          <w:p>
            <w:pPr>
              <w:spacing w:after="0"/>
              <w:rPr>
                <w:sz w:val="1"/>
                <w:szCs w:val="1"/>
                <w:color w:val="auto"/>
              </w:rPr>
            </w:pPr>
          </w:p>
        </w:tc>
      </w:tr>
      <w:tr>
        <w:trPr>
          <w:trHeight w:val="222"/>
        </w:trPr>
        <w:tc>
          <w:tcPr>
            <w:tcW w:w="9700" w:type="dxa"/>
            <w:vAlign w:val="bottom"/>
            <w:gridSpan w:val="9"/>
          </w:tcPr>
          <w:p>
            <w:pPr>
              <w:spacing w:after="0"/>
              <w:rPr>
                <w:sz w:val="20"/>
                <w:szCs w:val="20"/>
                <w:color w:val="auto"/>
              </w:rPr>
            </w:pPr>
            <w:r>
              <w:rPr>
                <w:rFonts w:ascii="Arial" w:cs="Arial" w:eastAsia="Arial" w:hAnsi="Arial"/>
                <w:sz w:val="18"/>
                <w:szCs w:val="18"/>
                <w:color w:val="auto"/>
                <w:w w:val="92"/>
              </w:rPr>
              <w:t>reimburse the underwriters for expenses relating to clearance of this offering with the Financial Industry Regulatory Authority up to $</w:t>
            </w:r>
          </w:p>
        </w:tc>
        <w:tc>
          <w:tcPr>
            <w:tcW w:w="1720" w:type="dxa"/>
            <w:vAlign w:val="bottom"/>
          </w:tcPr>
          <w:p>
            <w:pPr>
              <w:jc w:val="right"/>
              <w:ind w:right="1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360" w:type="dxa"/>
            <w:vAlign w:val="bottom"/>
            <w:gridSpan w:val="2"/>
          </w:tcPr>
          <w:p>
            <w:pPr>
              <w:jc w:val="right"/>
              <w:ind w:right="1432"/>
              <w:spacing w:after="0"/>
              <w:rPr>
                <w:sz w:val="20"/>
                <w:szCs w:val="20"/>
                <w:color w:val="auto"/>
              </w:rPr>
            </w:pPr>
            <w:r>
              <w:rPr>
                <w:rFonts w:ascii="Arial" w:cs="Arial" w:eastAsia="Arial" w:hAnsi="Arial"/>
                <w:sz w:val="18"/>
                <w:szCs w:val="18"/>
                <w:color w:val="auto"/>
              </w:rPr>
              <w:t>195</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63"/>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common stock on the Nasdaq Global Market under the symbol "FULC".</w:t>
      </w:r>
    </w:p>
    <w:p>
      <w:pPr>
        <w:spacing w:after="0" w:line="225" w:lineRule="exact"/>
        <w:rPr>
          <w:sz w:val="20"/>
          <w:szCs w:val="20"/>
          <w:color w:val="auto"/>
        </w:rPr>
      </w:pPr>
    </w:p>
    <w:p>
      <w:pPr>
        <w:ind w:firstLine="516"/>
        <w:spacing w:after="0" w:line="332" w:lineRule="auto"/>
        <w:rPr>
          <w:sz w:val="20"/>
          <w:szCs w:val="20"/>
          <w:color w:val="auto"/>
        </w:rPr>
      </w:pPr>
      <w:r>
        <w:rPr>
          <w:rFonts w:ascii="Arial" w:cs="Arial" w:eastAsia="Arial" w:hAnsi="Arial"/>
          <w:sz w:val="16"/>
          <w:szCs w:val="16"/>
          <w:color w:val="auto"/>
        </w:rPr>
        <w:t>We and all of our directors and officers and the holders of all of our outstanding securities have agreed that, without the prior written consent of the representatives on behalf of the underwriters, we and they will not, during the period ending 180 days after the date of this prospectus (the "restricted period"):</w:t>
      </w:r>
    </w:p>
    <w:p>
      <w:pPr>
        <w:spacing w:after="0" w:line="153" w:lineRule="exact"/>
        <w:rPr>
          <w:sz w:val="20"/>
          <w:szCs w:val="20"/>
          <w:color w:val="auto"/>
        </w:rPr>
      </w:pPr>
    </w:p>
    <w:p>
      <w:pPr>
        <w:jc w:val="both"/>
        <w:ind w:left="1080" w:hanging="532"/>
        <w:spacing w:after="0" w:line="306"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restrictions on transfers or other dispositions by holders of our outstanding securities described in the immediately preceding paragraph do not apply to:</w:t>
      </w:r>
    </w:p>
    <w:p>
      <w:pPr>
        <w:spacing w:after="0" w:line="262" w:lineRule="exact"/>
        <w:rPr>
          <w:sz w:val="20"/>
          <w:szCs w:val="20"/>
          <w:color w:val="auto"/>
        </w:rPr>
      </w:pPr>
    </w:p>
    <w:p>
      <w:pPr>
        <w:jc w:val="both"/>
        <w:ind w:left="108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207"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of the signatory or (ii) solely by operation of law pursuant to a qualified domestic order or in connection with a divorce settlement;</w:t>
      </w:r>
    </w:p>
    <w:p>
      <w:pPr>
        <w:spacing w:after="0" w:line="187"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22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conversion of outstanding shares of preferred stock described in this prospectus and outstanding as of the date of this prospectus into shares of common stock as described in this prospectus, provided that the shares of common stock received upon conversion shall be subject to the restrictions set forth in the lock-up agreement;</w:t>
      </w:r>
    </w:p>
    <w:p>
      <w:pPr>
        <w:spacing w:after="0" w:line="207"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jc w:val="both"/>
        <w:ind w:left="10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 or</w:t>
      </w:r>
    </w:p>
    <w:p>
      <w:pPr>
        <w:spacing w:after="0" w:line="190"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96" w:lineRule="exact"/>
        <w:rPr>
          <w:rFonts w:ascii="Arial" w:cs="Arial" w:eastAsia="Arial" w:hAnsi="Arial"/>
          <w:sz w:val="18"/>
          <w:szCs w:val="18"/>
          <w:color w:val="auto"/>
        </w:rPr>
      </w:pPr>
    </w:p>
    <w:p>
      <w:pPr>
        <w:jc w:val="both"/>
        <w:ind w:left="1080"/>
        <w:spacing w:after="0" w:line="291" w:lineRule="auto"/>
        <w:rPr>
          <w:rFonts w:ascii="Arial" w:cs="Arial" w:eastAsia="Arial" w:hAnsi="Arial"/>
          <w:sz w:val="18"/>
          <w:szCs w:val="18"/>
          <w:color w:val="auto"/>
        </w:rPr>
      </w:pPr>
      <w:r>
        <w:rPr>
          <w:rFonts w:ascii="Arial" w:cs="Arial" w:eastAsia="Arial" w:hAnsi="Arial"/>
          <w:sz w:val="16"/>
          <w:szCs w:val="16"/>
          <w:color w:val="auto"/>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on transfers or other dispositions by us described in the paragraph above do not apply to:</w:t>
      </w:r>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shares to be sold in this offering; 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pursuant to stock plans disclosed in this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will agree to indemnify each other against certain liabilities, including liabilities under the Securities Act.</w:t>
      </w:r>
    </w:p>
    <w:p>
      <w:pPr>
        <w:spacing w:after="0" w:line="225" w:lineRule="exact"/>
        <w:rPr>
          <w:sz w:val="20"/>
          <w:szCs w:val="20"/>
          <w:color w:val="auto"/>
        </w:rPr>
      </w:pPr>
    </w:p>
    <w:p>
      <w:pPr>
        <w:jc w:val="both"/>
        <w:ind w:firstLine="583"/>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periods, and the price-earnings ratios, price-sales ratios, market prices of securities, and certain financial and operating information of companies engaged in activities similar to ours.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firstLine="38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jc w:val="both"/>
        <w:ind w:right="20" w:firstLine="373"/>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this offering may be publicly distributed or otherwise made publicly available in Switzerland. Neither this prospectus nor any other offering or marketing material relating to this offering, us, or the shares have been or will be filed with or approved by any Swiss regulatory authority. In particular, this prospectus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225" w:lineRule="exact"/>
        <w:rPr>
          <w:sz w:val="20"/>
          <w:szCs w:val="20"/>
          <w:color w:val="auto"/>
        </w:rPr>
      </w:pPr>
    </w:p>
    <w:p>
      <w:pPr>
        <w:jc w:val="both"/>
        <w:ind w:firstLine="404"/>
        <w:spacing w:after="0" w:line="294"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or ASIC, in relation to this offering. This prospectus does not constitute a prospectus, product disclosure statement or other disclosure document under the Corporations Act 2001, or the Corporations Act, and does not purport to include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for a prospectus, product disclosure statement or other disclosure document under the Corporations Act.</w:t>
      </w:r>
    </w:p>
    <w:p>
      <w:pPr>
        <w:spacing w:after="0" w:line="225"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 or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jc w:val="both"/>
        <w:ind w:firstLine="366"/>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our shares may not be circulated or distributed, nor may our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4"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Where our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accredited investor; shares, debentures and units of shares and debentures of that corporation or the beneficiaries' rights and interest (howsoever described) in that trust shall not be transferred within six months after that corporation or that trust has acquired the shares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Saudi Arabia</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86"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prospectus are required by the issuer and its representatives to observe these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w:t>
      </w:r>
    </w:p>
    <w:p>
      <w:pPr>
        <w:spacing w:after="0" w:line="225"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Taiwan</w:t>
      </w:r>
    </w:p>
    <w:p>
      <w:pPr>
        <w:spacing w:after="0" w:line="225" w:lineRule="exact"/>
        <w:rPr>
          <w:sz w:val="20"/>
          <w:szCs w:val="20"/>
          <w:color w:val="auto"/>
        </w:rPr>
      </w:pPr>
    </w:p>
    <w:p>
      <w:pPr>
        <w:jc w:val="both"/>
        <w:ind w:firstLine="550"/>
        <w:spacing w:after="0" w:line="298"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this offering and sale of the shares in Taiwan.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auto"/>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2017 and 2018, and for each of the two years in the period ended December 31, 2018, as set forth in their report (which contains an explanatory paragraph describing conditions that raise substantial doubt about the company's ability to continue as a going concern as described in Note 1 to the consolidated financial statements). We have included our financial statements in the prospectus and elsewhere in the registration statement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74" w:lineRule="exact"/>
        <w:rPr>
          <w:sz w:val="20"/>
          <w:szCs w:val="20"/>
          <w:color w:val="auto"/>
        </w:rPr>
      </w:pPr>
    </w:p>
    <w:p>
      <w:pPr>
        <w:jc w:val="both"/>
        <w:ind w:firstLine="600"/>
        <w:spacing w:after="0" w:line="290" w:lineRule="auto"/>
        <w:rPr>
          <w:sz w:val="20"/>
          <w:szCs w:val="20"/>
          <w:color w:val="auto"/>
        </w:rPr>
      </w:pPr>
      <w:r>
        <w:rPr>
          <w:rFonts w:ascii="Arial" w:cs="Arial" w:eastAsia="Arial" w:hAnsi="Arial"/>
          <w:sz w:val="16"/>
          <w:szCs w:val="16"/>
          <w:color w:val="auto"/>
        </w:rPr>
        <w:t>The SEC maintains an Internet website, which is located at http://www.sec.gov, that contains reports, proxy and information statements and other information regarding issuers that file electronically with the SEC. You may access the registration statement of which this prospectus is a part at the SEC's Internet website. Upon completion of this offering, we will be subject to the information reporting requirements of the Securities Exchange Act of 1934, as amended, and we will file reports, proxy statements and other information with the SEC. We plan to fulfill our obligations with respect to such requirements by filing periodic reports and other information with the SEC. We intend to furnish our stockholders with annual reports containing financial statements certified by an independent registered public accounting firm. Our website address is www.fulcrumtx.com. The information contained on, or that can be accessed through, our website is not a part of this prospectus. We have included our website address in this prospectus solely as an inactive textual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8"/>
            <w:vMerge w:val="restart"/>
          </w:tcPr>
          <w:p>
            <w:pPr>
              <w:ind w:left="1140"/>
              <w:spacing w:after="0"/>
              <w:rPr>
                <w:sz w:val="20"/>
                <w:szCs w:val="20"/>
                <w:color w:val="auto"/>
              </w:rPr>
            </w:pPr>
            <w:r>
              <w:rPr>
                <w:rFonts w:ascii="Arial" w:cs="Arial" w:eastAsia="Arial" w:hAnsi="Arial"/>
                <w:sz w:val="18"/>
                <w:szCs w:val="18"/>
                <w:color w:val="auto"/>
              </w:rPr>
              <w:t>Years Ended December 31, 2017 and 2018</w:t>
            </w: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9660" w:type="dxa"/>
            <w:vAlign w:val="bottom"/>
            <w:gridSpan w:val="8"/>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0000EE"/>
              </w:rPr>
            </w:pPr>
            <w:hyperlink w:anchor="page211">
              <w:r>
                <w:rPr>
                  <w:rFonts w:ascii="Arial" w:cs="Arial" w:eastAsia="Arial" w:hAnsi="Arial"/>
                  <w:sz w:val="18"/>
                  <w:szCs w:val="18"/>
                  <w:color w:val="0000EE"/>
                </w:rPr>
                <w:t>Report of Independent Registered Public Accounting Firm</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right"/>
              <w:ind w:right="1300"/>
              <w:spacing w:after="0" w:line="184" w:lineRule="exact"/>
              <w:rPr>
                <w:rFonts w:ascii="Arial" w:cs="Arial" w:eastAsia="Arial" w:hAnsi="Arial"/>
                <w:sz w:val="18"/>
                <w:szCs w:val="18"/>
                <w:color w:val="0000EE"/>
                <w:w w:val="81"/>
              </w:rPr>
            </w:pPr>
            <w:hyperlink w:anchor="page211">
              <w:r>
                <w:rPr>
                  <w:rFonts w:ascii="Arial" w:cs="Arial" w:eastAsia="Arial" w:hAnsi="Arial"/>
                  <w:sz w:val="18"/>
                  <w:szCs w:val="18"/>
                  <w:color w:val="0000EE"/>
                  <w:w w:val="81"/>
                </w:rPr>
                <w:t>F-2</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Consolidated Balance Sheets</w:t>
              </w:r>
            </w:hyperlink>
          </w:p>
        </w:tc>
        <w:tc>
          <w:tcPr>
            <w:tcW w:w="42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1"/>
              </w:rPr>
            </w:pPr>
            <w:hyperlink w:anchor="page212">
              <w:r>
                <w:rPr>
                  <w:rFonts w:ascii="Arial" w:cs="Arial" w:eastAsia="Arial" w:hAnsi="Arial"/>
                  <w:sz w:val="18"/>
                  <w:szCs w:val="18"/>
                  <w:color w:val="0000EE"/>
                  <w:w w:val="81"/>
                </w:rPr>
                <w:t>F-3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13">
              <w:r>
                <w:rPr>
                  <w:rFonts w:ascii="Arial" w:cs="Arial" w:eastAsia="Arial" w:hAnsi="Arial"/>
                  <w:sz w:val="18"/>
                  <w:szCs w:val="18"/>
                  <w:color w:val="0000EE"/>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213">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Consolidated Statements of Convertible Preferred Stock and Stockholders' (Deficit) Equity</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214">
              <w:r>
                <w:rPr>
                  <w:rFonts w:ascii="Arial" w:cs="Arial" w:eastAsia="Arial" w:hAnsi="Arial"/>
                  <w:sz w:val="18"/>
                  <w:szCs w:val="18"/>
                  <w:color w:val="0000EE"/>
                  <w:w w:val="81"/>
                </w:rPr>
                <w:t>F-5</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jc w:val="right"/>
              <w:spacing w:after="0" w:line="196" w:lineRule="exact"/>
              <w:rPr>
                <w:rFonts w:ascii="Arial" w:cs="Arial" w:eastAsia="Arial" w:hAnsi="Arial"/>
                <w:sz w:val="18"/>
                <w:szCs w:val="18"/>
                <w:color w:val="0000EE"/>
                <w:w w:val="81"/>
              </w:rPr>
            </w:pPr>
            <w:hyperlink w:anchor="page215">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Notes to Consolidated Financial Statements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0000EE"/>
                <w:w w:val="81"/>
              </w:rPr>
            </w:pPr>
            <w:hyperlink w:anchor="page216">
              <w:r>
                <w:rPr>
                  <w:rFonts w:ascii="Arial" w:cs="Arial" w:eastAsia="Arial" w:hAnsi="Arial"/>
                  <w:sz w:val="18"/>
                  <w:szCs w:val="18"/>
                  <w:color w:val="0000EE"/>
                  <w:w w:val="81"/>
                </w:rPr>
                <w:t>F-7</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60" w:type="dxa"/>
            <w:vAlign w:val="bottom"/>
            <w:gridSpan w:val="8"/>
          </w:tcPr>
          <w:p>
            <w:pPr>
              <w:ind w:left="1140"/>
              <w:spacing w:after="0"/>
              <w:rPr>
                <w:sz w:val="20"/>
                <w:szCs w:val="20"/>
                <w:color w:val="auto"/>
              </w:rPr>
            </w:pPr>
            <w:r>
              <w:rPr>
                <w:rFonts w:ascii="Arial" w:cs="Arial" w:eastAsia="Arial" w:hAnsi="Arial"/>
                <w:sz w:val="18"/>
                <w:szCs w:val="18"/>
                <w:color w:val="auto"/>
              </w:rPr>
              <w:t>Interim Financial Statements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0000EE"/>
              </w:rPr>
            </w:pPr>
            <w:hyperlink w:anchor="page242">
              <w:r>
                <w:rPr>
                  <w:rFonts w:ascii="Arial" w:cs="Arial" w:eastAsia="Arial" w:hAnsi="Arial"/>
                  <w:sz w:val="18"/>
                  <w:szCs w:val="18"/>
                  <w:color w:val="0000EE"/>
                </w:rPr>
                <w:t>Consolidated Balance Sheets</w:t>
              </w:r>
            </w:hyperlink>
          </w:p>
        </w:tc>
        <w:tc>
          <w:tcPr>
            <w:tcW w:w="120" w:type="dxa"/>
            <w:vAlign w:val="bottom"/>
          </w:tcPr>
          <w:p>
            <w:pPr>
              <w:spacing w:after="0"/>
              <w:rPr>
                <w:sz w:val="15"/>
                <w:szCs w:val="15"/>
                <w:color w:val="auto"/>
              </w:rPr>
            </w:pPr>
          </w:p>
        </w:tc>
        <w:tc>
          <w:tcPr>
            <w:tcW w:w="1640" w:type="dxa"/>
            <w:vAlign w:val="bottom"/>
            <w:gridSpan w:val="4"/>
          </w:tcPr>
          <w:p>
            <w:pPr>
              <w:jc w:val="right"/>
              <w:ind w:right="1300"/>
              <w:spacing w:after="0" w:line="184"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F-33</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43">
              <w:r>
                <w:rPr>
                  <w:rFonts w:ascii="Arial" w:cs="Arial" w:eastAsia="Arial" w:hAnsi="Arial"/>
                  <w:sz w:val="18"/>
                  <w:szCs w:val="18"/>
                  <w:color w:val="0000EE"/>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F-34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Consolidated Statements of Convertible Preferred Stock and Stockholders' (Deficit) Equity</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F-35</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F-36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Notes to Consolidated Financial Statements</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0000EE"/>
                <w:w w:val="86"/>
              </w:rPr>
            </w:pPr>
            <w:hyperlink w:anchor="page246">
              <w:r>
                <w:rPr>
                  <w:rFonts w:ascii="Arial" w:cs="Arial" w:eastAsia="Arial" w:hAnsi="Arial"/>
                  <w:sz w:val="18"/>
                  <w:szCs w:val="18"/>
                  <w:color w:val="0000EE"/>
                  <w:w w:val="86"/>
                </w:rPr>
                <w:t>F-37</w:t>
              </w:r>
            </w:hyperlink>
          </w:p>
        </w:tc>
        <w:tc>
          <w:tcPr>
            <w:tcW w:w="0" w:type="dxa"/>
            <w:vAlign w:val="bottom"/>
          </w:tcPr>
          <w:p>
            <w:pPr>
              <w:spacing w:after="0"/>
              <w:rPr>
                <w:sz w:val="1"/>
                <w:szCs w:val="1"/>
                <w:color w:val="auto"/>
              </w:rPr>
            </w:pPr>
          </w:p>
        </w:tc>
      </w:tr>
      <w:tr>
        <w:trPr>
          <w:trHeight w:val="451"/>
        </w:trPr>
        <w:tc>
          <w:tcPr>
            <w:tcW w:w="132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F-1</w:t>
            </w: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We have audited the accompanying consolidated balance sheets of Fulcrum Therapeutics, Inc. (the Company) as of December 31, 2018 and 2017, the related consolidated statements of operations and comprehensive loss, convertible preferred stock and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then ended,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31" w:lineRule="exact"/>
        <w:rPr>
          <w:sz w:val="20"/>
          <w:szCs w:val="20"/>
          <w:color w:val="auto"/>
        </w:rPr>
      </w:pPr>
    </w:p>
    <w:p>
      <w:pPr>
        <w:jc w:val="both"/>
        <w:ind w:firstLine="471"/>
        <w:spacing w:after="0" w:line="294"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a history of losses and negative operating cash flows, will require additional capital to fund its current operating plan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383"/>
        <w:spacing w:after="0" w:line="314" w:lineRule="auto"/>
        <w:rPr>
          <w:sz w:val="20"/>
          <w:szCs w:val="20"/>
          <w:color w:val="auto"/>
        </w:rPr>
      </w:pPr>
      <w:r>
        <w:rPr>
          <w:rFonts w:ascii="Arial" w:cs="Arial" w:eastAsia="Arial" w:hAnsi="Arial"/>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Deferred lease incentive,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Deferred rent, excluding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lease incentive, excluding current portion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Other liabilities, excluding current portion</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Series A convertible preferred stock, $0.001 par value; 60,000,000 shares authorized as of</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December 31, 2017 and 2018; 34,666,666 and 60,000,000 shares issued and outstanding as of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1"/>
              </w:rPr>
              <w:t>December 31, 2017 and 2018, respectively (liquidation preference of $67,187 as of December 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2018); no shares issued or outstanding,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34,587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59,909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spacing w:after="0" w:line="138" w:lineRule="exact"/>
              <w:rPr>
                <w:sz w:val="20"/>
                <w:szCs w:val="20"/>
                <w:color w:val="auto"/>
              </w:rPr>
            </w:pPr>
            <w:r>
              <w:rPr>
                <w:rFonts w:ascii="Arial" w:cs="Arial" w:eastAsia="Arial" w:hAnsi="Arial"/>
                <w:sz w:val="14"/>
                <w:szCs w:val="14"/>
                <w:color w:val="auto"/>
                <w:w w:val="86"/>
              </w:rPr>
              <w:t>Series B convertible preferred stock, $0.001 par value; no shares and 40,000,000 shares authorized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87"/>
              </w:rPr>
              <w:t>December 31, 2017 and 2018, respectively; no shares and 40,000,000 shares issued and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as of December 31, 2017 and 2018, respectively (liquidation preference of $82,261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w w:val="98"/>
              </w:rPr>
              <w:t>December 31, 2018); no shares issued or outstanding, pro forma as of December 31,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140"/>
              <w:spacing w:after="0" w:line="159"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79,761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ind w:left="140"/>
              <w:spacing w:after="0" w:line="138" w:lineRule="exact"/>
              <w:rPr>
                <w:sz w:val="20"/>
                <w:szCs w:val="20"/>
                <w:color w:val="auto"/>
              </w:rPr>
            </w:pPr>
            <w:r>
              <w:rPr>
                <w:rFonts w:ascii="Arial" w:cs="Arial" w:eastAsia="Arial" w:hAnsi="Arial"/>
                <w:sz w:val="14"/>
                <w:szCs w:val="14"/>
                <w:color w:val="auto"/>
                <w:w w:val="87"/>
              </w:rPr>
              <w:t>Common stock, $0.001 par value; 80,000,000 and 135,000,000 shares authorized as of 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9"/>
              </w:rPr>
              <w:t>2017 and 2018, respectively; 18,401,555 and 19,542,588 shares issued as of December 31, 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6"/>
              </w:rPr>
              <w:t>and 2018, respectively; 6,806,102 and 11,116,085 shares outstanding as of December 31, 2017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w w:val="89"/>
              </w:rPr>
              <w:t>2018, respectively; 119,542,588 and 111,116,085 shares issued and outstanding, pro forma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280"/>
              <w:spacing w:after="0" w:line="159" w:lineRule="exact"/>
              <w:rPr>
                <w:sz w:val="20"/>
                <w:szCs w:val="20"/>
                <w:color w:val="auto"/>
              </w:rPr>
            </w:pPr>
            <w:r>
              <w:rPr>
                <w:rFonts w:ascii="Arial" w:cs="Arial" w:eastAsia="Arial" w:hAnsi="Arial"/>
                <w:sz w:val="14"/>
                <w:szCs w:val="14"/>
                <w:color w:val="auto"/>
              </w:rPr>
              <w:t>December 31, 2018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88"/>
              </w:rPr>
              <w:t>Treasury stock, at cost; 56,250 and 469,169 shares as of December 31, 2017 and 2018, respectively;</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469,169 shares,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(68,124)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(68,124)</w:t>
            </w:r>
          </w:p>
        </w:tc>
        <w:tc>
          <w:tcPr>
            <w:tcW w:w="0" w:type="dxa"/>
            <w:vAlign w:val="bottom"/>
          </w:tcPr>
          <w:p>
            <w:pPr>
              <w:spacing w:after="0"/>
              <w:rPr>
                <w:sz w:val="1"/>
                <w:szCs w:val="1"/>
                <w:color w:val="auto"/>
              </w:rPr>
            </w:pPr>
          </w:p>
        </w:tc>
      </w:tr>
      <w:tr>
        <w:trPr>
          <w:trHeight w:val="142"/>
        </w:trPr>
        <w:tc>
          <w:tcPr>
            <w:tcW w:w="572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 convertible preferred stock, and stockholders' (deficit) equity</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18,494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(22,964)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(32,588)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(25,371)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(39,147)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1"/>
              </w:rPr>
              <w:t>Pro forma net loss per share attributable to common stockholders, basic and diluted (unaudited)</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 (unaudited)</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Series A</w:t>
            </w:r>
          </w:p>
        </w:tc>
        <w:tc>
          <w:tcPr>
            <w:tcW w:w="900" w:type="dxa"/>
            <w:vAlign w:val="bottom"/>
            <w:gridSpan w:val="4"/>
          </w:tcPr>
          <w:p>
            <w:pPr>
              <w:jc w:val="center"/>
              <w:ind w:left="332"/>
              <w:spacing w:after="0"/>
              <w:rPr>
                <w:sz w:val="20"/>
                <w:szCs w:val="20"/>
                <w:color w:val="auto"/>
              </w:rPr>
            </w:pPr>
            <w:r>
              <w:rPr>
                <w:rFonts w:ascii="Arial" w:cs="Arial" w:eastAsia="Arial" w:hAnsi="Arial"/>
                <w:sz w:val="14"/>
                <w:szCs w:val="14"/>
                <w:b w:val="1"/>
                <w:bCs w:val="1"/>
                <w:color w:val="auto"/>
                <w:w w:val="82"/>
              </w:rPr>
              <w:t>Series B</w:t>
            </w:r>
          </w:p>
        </w:tc>
        <w:tc>
          <w:tcPr>
            <w:tcW w:w="4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6"/>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60" w:type="dxa"/>
            <w:vAlign w:val="bottom"/>
            <w:tcBorders>
              <w:right w:val="single" w:sz="8" w:color="auto"/>
            </w:tcBorders>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1460" w:type="dxa"/>
            <w:vAlign w:val="bottom"/>
            <w:tcBorders>
              <w:right w:val="single" w:sz="8" w:color="auto"/>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8"/>
              </w:rPr>
              <w:t>Preferred Stock</w:t>
            </w:r>
          </w:p>
        </w:tc>
        <w:tc>
          <w:tcPr>
            <w:tcW w:w="1460" w:type="dxa"/>
            <w:vAlign w:val="bottom"/>
            <w:tcBorders>
              <w:right w:val="single" w:sz="8" w:color="auto"/>
            </w:tcBorders>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8"/>
                <w:szCs w:val="8"/>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Treasury Stock</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gridSpan w:val="6"/>
            <w:vMerge w:val="continue"/>
          </w:tcPr>
          <w:p>
            <w:pPr>
              <w:spacing w:after="0"/>
              <w:rPr>
                <w:sz w:val="5"/>
                <w:szCs w:val="5"/>
                <w:color w:val="auto"/>
              </w:rPr>
            </w:pPr>
          </w:p>
        </w:tc>
        <w:tc>
          <w:tcPr>
            <w:tcW w:w="1460" w:type="dxa"/>
            <w:vAlign w:val="bottom"/>
            <w:tcBorders>
              <w:right w:val="single" w:sz="8" w:color="auto"/>
            </w:tcBorders>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right"/>
              <w:ind w:right="72"/>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88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17,000,000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16,962</w:t>
            </w:r>
          </w:p>
        </w:tc>
        <w:tc>
          <w:tcPr>
            <w:tcW w:w="6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3,559,520</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887</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(12,572)</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(11,681)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$42</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17,666,666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17,625</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3,246,582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56,250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(22,964)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34,666,666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34,587</w:t>
            </w:r>
          </w:p>
        </w:tc>
        <w:tc>
          <w:tcPr>
            <w:tcW w:w="6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6,806,102</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56,250</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2,264</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(35,536)</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vMerge w:val="restart"/>
          </w:tcPr>
          <w:p>
            <w:pPr>
              <w:ind w:left="120"/>
              <w:spacing w:after="0" w:line="158" w:lineRule="exact"/>
              <w:rPr>
                <w:sz w:val="20"/>
                <w:szCs w:val="20"/>
                <w:color w:val="auto"/>
              </w:rPr>
            </w:pPr>
            <w:r>
              <w:rPr>
                <w:rFonts w:ascii="Arial" w:cs="Arial" w:eastAsia="Arial" w:hAnsi="Arial"/>
                <w:sz w:val="14"/>
                <w:szCs w:val="14"/>
                <w:color w:val="auto"/>
              </w:rPr>
              <w:t>Issuance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$11</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25,333,334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25,322</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stock at $2.00</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3"/>
              </w:rPr>
              <w:t>costs of $239</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4,309,983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655,980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(243,061)</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(32,588)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79,761</w:t>
            </w: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11,116,085</w:t>
            </w:r>
          </w:p>
        </w:tc>
        <w:tc>
          <w:tcPr>
            <w:tcW w:w="38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469,169</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4,443</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Pro forma</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and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stockholders'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equity</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into</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(unaudited)</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(60,000,000)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8"/>
              </w:rPr>
              <w:t>(59,909)</w:t>
            </w: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3"/>
              </w:rPr>
              <w:t>(40,000,000)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auto"/>
            </w:tcBorders>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4"/>
              </w:rPr>
              <w:t>(79,761)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100,000,000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100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139,570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139,670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w w:val="90"/>
              </w:rPr>
              <w:t>Pro forma balance</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at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2018</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5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89"/>
              </w:rPr>
              <w:t>111,116,085</w:t>
            </w:r>
          </w:p>
        </w:tc>
        <w:tc>
          <w:tcPr>
            <w:tcW w:w="3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85"/>
              </w:rPr>
              <w:t>111</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469,169</w:t>
            </w:r>
          </w:p>
        </w:tc>
        <w:tc>
          <w:tcPr>
            <w:tcW w:w="40" w:type="dxa"/>
            <w:vAlign w:val="bottom"/>
          </w:tcPr>
          <w:p>
            <w:pPr>
              <w:spacing w:after="0"/>
              <w:rPr>
                <w:sz w:val="13"/>
                <w:szCs w:val="13"/>
                <w:color w:val="auto"/>
              </w:rPr>
            </w:pPr>
          </w:p>
        </w:tc>
        <w:tc>
          <w:tcPr>
            <w:tcW w:w="42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144,013</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(68,124)</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76,000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147"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(22,964)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and deferred lease incentive</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6"/>
              </w:rPr>
              <w:t>Proceeds from issuance of Series A convertible preferred stock, net of issuance costs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6"/>
              </w:rPr>
              <w:t>Proceeds from issuance of Series B convertible preferred stock, net of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a reconciliation of the cash, cash equivalents, and restricted cash balances as of each of the periods shown above:</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Restricted cash</w:t>
            </w:r>
          </w:p>
        </w:tc>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issuance of convertible notes and convertible preferred stock. As of December 31, 2018, the Company had an accumulated deficit of $68.1 million. The Company expects its operating losses and negative operating cash flows to continue into the foreseeable future as it continues to expand its research and development efforts. As of May 1, 2019, the issuance date of the consolidated financial statements for the year ended December 31, 2018, the Company expected that its cash and cash equivalents as of December 31, 2018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6"/>
          <w:szCs w:val="16"/>
          <w:color w:val="auto"/>
        </w:rPr>
        <w:t>If the Company is unable to obtain additional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for the year ended December 31, 2018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The accompanying unaudited pro forma balance sheet and statement of stockholders' (deficit) equity as of December 31, 2018 has been prepared to give effect, upon the closing of a qualified IPO, to the automatic conversion of all shares of convertible preferred stock outstanding as of December 31, 2018 into 100,000,000 shares of Common Stock. In the accompanying consolidated statements of operations and comprehensive loss, the unaudited pro forma basic and diluted net loss per share attributable to common stockholders for the year ended December 31, 2018 have been prepared to give effect, upon the closing of a qualified IPO, to the automatic conversion of all outstanding shares of convertible preferred stock as if the proposed IPO had occurred on the later of January 1, 2018 or the issuance date of the convertible preferred stock (see Note 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These assets include investments in money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funds that invest in U.S. Treasury obligations. The Company maintains its bank accounts at major financial institutions. The Company had no cash equivalents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represents the cash held to secure a letter of credit associated with the Company's 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540" w:firstLine="390"/>
        <w:spacing w:after="0" w:line="268"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ind w:left="540" w:right="20" w:firstLine="501"/>
        <w:spacing w:after="0" w:line="268"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0" w:firstLine="485"/>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 (see Note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firstLine="390"/>
        <w:spacing w:after="0" w:line="332"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Estimated Useful Life (in years)</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Software</w:t>
            </w:r>
          </w:p>
        </w:tc>
        <w:tc>
          <w:tcPr>
            <w:tcW w:w="50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Shorter of useful life or remaining lease term</w:t>
            </w: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2017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were less than $0.1 million. No deferred issuance costs were capitalized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75"/>
        <w:spacing w:after="0" w:line="323" w:lineRule="auto"/>
        <w:rPr>
          <w:sz w:val="20"/>
          <w:szCs w:val="20"/>
          <w:color w:val="auto"/>
        </w:rPr>
      </w:pPr>
      <w:r>
        <w:rPr>
          <w:rFonts w:ascii="Arial" w:cs="Arial" w:eastAsia="Arial" w:hAnsi="Arial"/>
          <w:sz w:val="15"/>
          <w:szCs w:val="15"/>
          <w:color w:val="auto"/>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225"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including invoices received and contracted costs. Significant judgments and estimates are made in determining the accrued balances at each reporting period. Actual results could differ from the Company's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incurred are classified as general and administrative expenses in the accompanying statements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Series B Convertible Preferred Stock</w:t>
      </w:r>
    </w:p>
    <w:p>
      <w:pPr>
        <w:spacing w:after="0" w:line="225"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6"/>
          <w:szCs w:val="16"/>
          <w:color w:val="auto"/>
        </w:rPr>
        <w:t>The Company determined the estimated fair value of Common Stock and Series B convertible preferred stock (the "Series B Preferred Stock")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IPO,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included the guideline public company method and/or the precedent transaction method to estimate the equity value, and the option-pricing method ("OPM") or the hybrid method, which is a probability-weighted expected return method ("PWERM"), to allocate equity value to the Common Stock and Preferred Stock. The Company utilized the hybrid method to estimate the fair value of the Series B Preferred Stock. Significant changes to the key assumptions used in the valuations could result in different fair values of Common Stock and the Series B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67"/>
        <w:spacing w:after="0" w:line="314" w:lineRule="auto"/>
        <w:rPr>
          <w:sz w:val="20"/>
          <w:szCs w:val="20"/>
          <w:color w:val="auto"/>
        </w:rPr>
      </w:pPr>
      <w:r>
        <w:rPr>
          <w:rFonts w:ascii="Arial" w:cs="Arial" w:eastAsia="Arial" w:hAnsi="Arial"/>
          <w:sz w:val="15"/>
          <w:szCs w:val="15"/>
          <w:color w:val="auto"/>
        </w:rPr>
        <w:t>The Company measures stock-based awards based on the fair value on the date of grant. Compensation expense of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firstLine="447"/>
        <w:spacing w:after="0" w:line="288" w:lineRule="auto"/>
        <w:rPr>
          <w:sz w:val="20"/>
          <w:szCs w:val="20"/>
          <w:color w:val="auto"/>
        </w:rPr>
      </w:pPr>
      <w:r>
        <w:rPr>
          <w:rFonts w:ascii="Arial" w:cs="Arial" w:eastAsia="Arial" w:hAnsi="Arial"/>
          <w:sz w:val="16"/>
          <w:szCs w:val="16"/>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74" w:lineRule="exact"/>
        <w:rPr>
          <w:sz w:val="20"/>
          <w:szCs w:val="20"/>
          <w:color w:val="auto"/>
        </w:rPr>
      </w:pPr>
    </w:p>
    <w:p>
      <w:pPr>
        <w:jc w:val="both"/>
        <w:ind w:firstLine="412"/>
        <w:spacing w:after="0" w:line="332" w:lineRule="auto"/>
        <w:rPr>
          <w:sz w:val="20"/>
          <w:szCs w:val="20"/>
          <w:color w:val="auto"/>
        </w:rPr>
      </w:pPr>
      <w:r>
        <w:rPr>
          <w:rFonts w:ascii="Arial" w:cs="Arial" w:eastAsia="Arial" w:hAnsi="Arial"/>
          <w:sz w:val="16"/>
          <w:szCs w:val="16"/>
          <w:color w:val="auto"/>
        </w:rPr>
        <w:t>The Company accounts for forfeitures as they occur (refer to the "Recently Adopted Accounting Pronouncements" below). The Company classifies stock-based compensation expense in its statements of operations in the same manner in which the award recipient's payroll or service costs are classified.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52"/>
        <w:spacing w:after="0" w:line="306" w:lineRule="auto"/>
        <w:rPr>
          <w:sz w:val="20"/>
          <w:szCs w:val="20"/>
          <w:color w:val="auto"/>
        </w:rPr>
      </w:pPr>
      <w:r>
        <w:rPr>
          <w:rFonts w:ascii="Arial" w:cs="Arial" w:eastAsia="Arial" w:hAnsi="Arial"/>
          <w:sz w:val="16"/>
          <w:szCs w:val="16"/>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For the years ended December 31, 2017 and 2018, comprehensive loss was equal to net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72"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The standard replaces existing revenue recognition standards and significantly expands the disclosure requirements for revenue arrangements. The standard must be adopted using either a modified retrospective approach or a full retrospective approach for all periods presented. The Company adopted the standard as of January 1, 2017 under the full retrospective method. The Company does not have and has never had any contracts that are within the scope of ASU 2014-09 or its predecessor guidance,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Accordingly, adoption of the standard did not have an impact on the Company's financial position, results of operations or cash flows. However, the adoption of this standard will impact the accounting for potential future revenue transactions.</w:t>
      </w:r>
    </w:p>
    <w:p>
      <w:pPr>
        <w:spacing w:after="0" w:line="174"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("ASU 2016-09"), which amends ASC Topic 718, Compensation —Stock Compensation ("Topic 718"). The standard is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 Company adopted ASU 2016-09 effective as of January 1, 2016. The Company elected to account prospectively for forfeitures as they occur rather than apply an estimated forfeiture rate to stock-based compensation expense. The adoption of the standard did not have a material impact on the Company's consolidated financial statements or footnote disclosures.</w:t>
      </w:r>
    </w:p>
    <w:p>
      <w:pPr>
        <w:spacing w:after="0" w:line="174"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which simplifies certain elements of cash flow classification. The standard is intended to reduce diversity in practice in how certain transactions are classified in the statement of cash flows. The Company adopted the standard effective as of January 1, 2016. The adoption of the standard did not have a material impact on the Company's consolidated financial statements or footnote disclosures.</w:t>
      </w:r>
    </w:p>
    <w:p>
      <w:pPr>
        <w:spacing w:after="0" w:line="197"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The standard requires that amounts generally described as restricted cash be included within cash and cash equivalents when reconciling the beginning-of-period and end-of-period total amounts shown on the statement of cash flows. The Company adopted ASU 2016-18 effective as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January 1, 2016 using a full retrospective approach. The adoption of the standard did not have a material impact on the Company's consolidated financial statements or footnote disclosures.</w:t>
      </w:r>
    </w:p>
    <w:p>
      <w:pPr>
        <w:spacing w:after="0" w:line="186" w:lineRule="exact"/>
        <w:rPr>
          <w:sz w:val="20"/>
          <w:szCs w:val="20"/>
          <w:color w:val="auto"/>
        </w:rPr>
      </w:pPr>
    </w:p>
    <w:p>
      <w:pPr>
        <w:jc w:val="both"/>
        <w:ind w:firstLine="527"/>
        <w:spacing w:after="0" w:line="253"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The standard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Company adopted ASU 2017-01 effective as of January 1, 2018. The adoption of this standard did not have a material impact on the Company's consolidated financial statements or footnote disclosures.</w:t>
      </w:r>
    </w:p>
    <w:p>
      <w:pPr>
        <w:spacing w:after="0" w:line="201"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The standard is intended to reduce the diversity in practice and cost and complexity when applying the guidance in Topic 718 to a change to the terms or conditions of a share-based payment award. Under the guidance, modification accounting is required only if the fair value, the vesting conditions or the classification of the award (as equity or liability) changes as a result of the change in terms or conditions. The Company adopted ASU 2017-09 effective as of January 1, 2016.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("ASU 2018-07"). The standard is intended to simplify the accounting for share-based payments to non-employees by aligning it with the accounting for share-based payments to employees, with certain exceptions. Under the guidance, the measurement of equity-classified non-employee awards will be fixed at the grant date, which may lower their cost and reduce volatility in the income statement. The Company adopted ASU 2018-07 as of January 1, 2017.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650"/>
        <w:spacing w:after="0" w:line="256"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standard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Company adopted ASU 2018-13 as of January 1, 2018. The adoption of this standard did not have a material impact on the Company's consolidated financial statements or footnote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8"/>
          <w:szCs w:val="18"/>
          <w:i w:val="1"/>
          <w:iCs w:val="1"/>
          <w:color w:val="auto"/>
        </w:rPr>
        <w:t>Leases (Topic 842):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Targeted Improvements </w:t>
      </w:r>
      <w:r>
        <w:rPr>
          <w:rFonts w:ascii="Arial" w:cs="Arial" w:eastAsia="Arial" w:hAnsi="Arial"/>
          <w:sz w:val="16"/>
          <w:szCs w:val="16"/>
          <w:color w:val="auto"/>
        </w:rPr>
        <w:t>("ASU 2018-11"), which permits entities to continue applying legacy guidance in ASC 840,</w:t>
      </w:r>
      <w:r>
        <w:rPr>
          <w:rFonts w:ascii="Arial" w:cs="Arial" w:eastAsia="Arial" w:hAnsi="Arial"/>
          <w:sz w:val="16"/>
          <w:szCs w:val="16"/>
          <w:i w:val="1"/>
          <w:iCs w:val="1"/>
          <w:color w:val="auto"/>
        </w:rPr>
        <w:t xml:space="preserve"> Leases</w:t>
      </w:r>
      <w:r>
        <w:rPr>
          <w:rFonts w:ascii="Arial" w:cs="Arial" w:eastAsia="Arial" w:hAnsi="Arial"/>
          <w:sz w:val="16"/>
          <w:szCs w:val="16"/>
          <w:color w:val="auto"/>
        </w:rPr>
        <w:t>, including its disclosure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comparative periods presented in the year that the entity adopts the new leasing standard. The new standard will be effective for the Company on January 1, 2020 (refer to previous discussion under "Emerging Growth Company Status").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2"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standard requires that credit losses be reported using an expected losses model rather than the incurred losses model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(refer to previous discussion under "Emerging Growth Company Status"). The Company is currently evaluating the impact that the adoption of ASU 2017-11 will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 the level of the fair value hierarchy utilized to determine such fair values as of December 31, 2018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72,797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The Company had no cash equivalents as of December 31, 2017. There have been no transfers between fair value levels during the year ended December 31,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10,546</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8"/>
        <w:spacing w:after="0" w:line="335" w:lineRule="auto"/>
        <w:rPr>
          <w:sz w:val="20"/>
          <w:szCs w:val="20"/>
          <w:color w:val="auto"/>
        </w:rPr>
      </w:pPr>
      <w:r>
        <w:rPr>
          <w:rFonts w:ascii="Arial" w:cs="Arial" w:eastAsia="Arial" w:hAnsi="Arial"/>
          <w:sz w:val="15"/>
          <w:szCs w:val="15"/>
          <w:color w:val="auto"/>
        </w:rPr>
        <w:t>Depreciation expense for the years ended December 31, 2017 and 2018 was $0.7 million and $1.3 million, respectively. Total property and equipment, gross, as of December 31, 2017 and 2018 included zero and $0.2 million, respectively, of property and equipment recorded under capital leases. Accumulated depreciation, as of December 31, 2017 and 2018, included zero and less than $0.1 million, respectively, for property and equipment recorded under capital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88"/>
              </w:rPr>
              <w:t>Prepaid sign-on bonuses subject to vesting provisions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Leasehold improvement allowance receivable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receivable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prepaid expenses and other current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40" w:type="dxa"/>
            <w:vAlign w:val="bottom"/>
            <w:gridSpan w:val="2"/>
          </w:tcPr>
          <w:p>
            <w:pPr>
              <w:jc w:val="right"/>
              <w:ind w:right="1592"/>
              <w:spacing w:after="0"/>
              <w:rPr>
                <w:sz w:val="20"/>
                <w:szCs w:val="20"/>
                <w:color w:val="auto"/>
              </w:rPr>
            </w:pPr>
            <w:r>
              <w:rPr>
                <w:rFonts w:ascii="Arial" w:cs="Arial" w:eastAsia="Arial" w:hAnsi="Arial"/>
                <w:sz w:val="18"/>
                <w:szCs w:val="18"/>
                <w:color w:val="auto"/>
                <w:w w:val="91"/>
              </w:rPr>
              <w:t>F-17</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Future minimum lease payments associated with the Company's capital lease obligations are less than $0.1 million in each of the years ending December 31, 2019, 2020 and 2021. No minimum lease payments associated with the Company's capital lease obligations are due after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In July 2016, the Company entered into a Series A convertible preferred stock purchase agreement (the "2016 Stock Purchase Agreement"), which provided for the issuance and sale of up to 55,000,000 shares of Series A convertible preferred stock (the "Series A Preferred Stock") at a price of $1.00 per share in three tranches, each of which could occur in multiple closings. Included in the terms of the Series A Preferred Stock purchase agreement were tranche rights. The tranche rights obligated the investors in the Series A Preferred Stock to purchase, and the Company to sell, shares of Series A Preferred Stock at $1.00 per share, subject to the achievement of certain milestones related to the Company's research platform and organizational development. The specified milestones were waivable with the consent of the holders of a majority of the shares of Series A Preferred Stock.</w:t>
      </w:r>
    </w:p>
    <w:p>
      <w:pPr>
        <w:spacing w:after="0" w:line="174" w:lineRule="exact"/>
        <w:rPr>
          <w:sz w:val="20"/>
          <w:szCs w:val="20"/>
          <w:color w:val="auto"/>
        </w:rPr>
      </w:pPr>
    </w:p>
    <w:p>
      <w:pPr>
        <w:jc w:val="both"/>
        <w:ind w:right="20" w:firstLine="383"/>
        <w:spacing w:after="0" w:line="306" w:lineRule="auto"/>
        <w:rPr>
          <w:sz w:val="20"/>
          <w:szCs w:val="20"/>
          <w:color w:val="auto"/>
        </w:rPr>
      </w:pPr>
      <w:r>
        <w:rPr>
          <w:rFonts w:ascii="Arial" w:cs="Arial" w:eastAsia="Arial" w:hAnsi="Arial"/>
          <w:sz w:val="16"/>
          <w:szCs w:val="16"/>
          <w:color w:val="auto"/>
        </w:rPr>
        <w:t>During the year ended December 31, 2017, the Company sold 12,666,666 shares of Series A Preferred Stock under the 2016 Stock Purchase Agreement for aggregate proceeds of approximately $12.7 million. During the year ended December 31, 2018, the Company sold the remaining 25,333,334 shares of Series A Preferred Stock under the 2016 Stock Purchase Agreement for aggregate proceeds of approximately $25.3 million.</w:t>
      </w:r>
    </w:p>
    <w:p>
      <w:pPr>
        <w:spacing w:after="0" w:line="16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In April 2017, the Company increased the number of shares of Series A Preferred Stock authorized for issuance to 60,000,000 shares and entered into an additional Series A Preferred Stock purchase agreement (the "2017 Stock Purchase Agreement", and together with the 2016 Stock Purchase Agreement, the "Stock Purchase Agreements"), pursuant to which the Company sold 5,000,000 shares of Series A Preferred Stock for aggregate proceeds of $5.0 million. The Company incurred issuance costs associated with the Stock Purchase Agreements of less than $0.1 million during each of the years ended December 31, 2017 and 2018.</w:t>
      </w:r>
    </w:p>
    <w:p>
      <w:pPr>
        <w:spacing w:after="0" w:line="197"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Company determined that the tranche rights did not meet the definition of a freestanding financial instrument because, while separately exercisable, they were not legally detachable. Further, the Company determined that the embedded future tranche rights did not require bifurcation as they were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clearly and closely related to the economic characteristics and risks of the Series A Preferred Stock and did not meet the definition of a derivative on a standalone basis.</w:t>
      </w:r>
    </w:p>
    <w:p>
      <w:pPr>
        <w:spacing w:after="0" w:line="186" w:lineRule="exact"/>
        <w:rPr>
          <w:sz w:val="20"/>
          <w:szCs w:val="20"/>
          <w:color w:val="auto"/>
        </w:rPr>
      </w:pPr>
    </w:p>
    <w:p>
      <w:pPr>
        <w:jc w:val="both"/>
        <w:ind w:firstLine="388"/>
        <w:spacing w:after="0" w:line="323" w:lineRule="auto"/>
        <w:rPr>
          <w:sz w:val="20"/>
          <w:szCs w:val="20"/>
          <w:color w:val="auto"/>
        </w:rPr>
      </w:pPr>
      <w:r>
        <w:rPr>
          <w:rFonts w:ascii="Arial" w:cs="Arial" w:eastAsia="Arial" w:hAnsi="Arial"/>
          <w:sz w:val="15"/>
          <w:szCs w:val="15"/>
          <w:color w:val="auto"/>
        </w:rPr>
        <w:t>In August 2018, the Company entered into a Series B convertible preferred stock purchase agreement (the "Series B Stock Purchase Agreement"), pursuant to which the Company sold 40,000,000 shares of Series B Preferred Stock at a purchase price of $2.00 per share for gross proceeds of $80,000,000. In connection with the Series B Stock Purchase Agreement, the Company's Certificate of Incorporation was amended and restated to authorize the Company to issue 40,000,000 shares of Series B Preferred Stock. Refer to Note 14 for information regarding the issuance of Series B Preferred Stock subsequent to December 31, 2018.</w:t>
      </w:r>
    </w:p>
    <w:p>
      <w:pPr>
        <w:spacing w:after="0" w:line="152"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74"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As the Preferred Stock may become redeemable upon the occurrence of a Deemed Liquidation Event (as defined below), the Preferred Stock has been classified outside of stockholders' deficit. Since the Preferred Stock is not initially redeemable and the Company has determined that it is not probable that it will become redeemable, the carrying value of the Preferred Stock has not been adjusted.</w:t>
      </w:r>
    </w:p>
    <w:p>
      <w:pPr>
        <w:spacing w:after="0" w:line="194"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December 31, 2018 were $7.2 million and $2.3 million,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the Preferred Stock have the following rights, privileges,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429"/>
        <w:spacing w:after="0" w:line="294" w:lineRule="auto"/>
        <w:rPr>
          <w:sz w:val="20"/>
          <w:szCs w:val="20"/>
          <w:color w:val="auto"/>
        </w:rPr>
      </w:pPr>
      <w:r>
        <w:rPr>
          <w:rFonts w:ascii="Arial" w:cs="Arial" w:eastAsia="Arial" w:hAnsi="Arial"/>
          <w:sz w:val="16"/>
          <w:szCs w:val="16"/>
          <w:color w:val="auto"/>
        </w:rPr>
        <w:t>The holders of the Preferred Stock are entitled to vote on all matters submitted to stockholders for a vote and have the right to vote the number of shares equal to the number of shares of Common Stock into which such shares of Preferred Stock could convert on the record date for determination of stockholders entitled to vote. The holders of Preferred Stock will vote together with the holders of Common Stock as a single class, on an as-converted basis, unless otherwise specified by law or the Certificate of Incorporation. For example, the holders of Series A Preferred Stock, exclusively and as a separate class, are entitled to elect one director of the Company and the holders of Series B Preferred Stock, exclusively and as a separate class, are entitled to elect one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Each share of Preferred Stock is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Preferred Stock in effect at the time of conversion. The Original Issue Price is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is initially $1.00 per share for Series A Preferred Stock and $2.00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97" w:lineRule="exact"/>
        <w:rPr>
          <w:sz w:val="20"/>
          <w:szCs w:val="20"/>
          <w:color w:val="auto"/>
        </w:rPr>
      </w:pPr>
    </w:p>
    <w:p>
      <w:pPr>
        <w:jc w:val="both"/>
        <w:ind w:firstLine="355"/>
        <w:spacing w:after="0" w:line="289" w:lineRule="auto"/>
        <w:rPr>
          <w:sz w:val="20"/>
          <w:szCs w:val="20"/>
          <w:color w:val="auto"/>
        </w:rPr>
      </w:pPr>
      <w:r>
        <w:rPr>
          <w:rFonts w:ascii="Arial" w:cs="Arial" w:eastAsia="Arial" w:hAnsi="Arial"/>
          <w:sz w:val="16"/>
          <w:szCs w:val="16"/>
          <w:color w:val="auto"/>
        </w:rPr>
        <w:t>Each share of Preferred Stock will automatically convert into shares of Common Stock at the then-effective conversion ratio upon either (i) the closing of the sale of shares of Common Stock to the public in a firm-commitment underwritten public offering pursuant to an effective registration statement under the Securities Act of 1933, as amended (the "Securities Act"), provided that such offering results in at least $45 million of gross proceeds to the Company and, following such offering, the Common Stock is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 such a mandatory conversion in connection with a proposed Deemed Liquidation Event in which the holders of Series B Preferred Stock would receive less than the full liquidation preference applicable to the Series B Preferred Stock (as discussed below), then the mandatory conversion will also require the consent of the holders of a majority of the outstanding shares of Series B Preferred Stock, voting together as a separate class.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426"/>
        <w:spacing w:after="0" w:line="289" w:lineRule="auto"/>
        <w:rPr>
          <w:sz w:val="20"/>
          <w:szCs w:val="20"/>
          <w:color w:val="auto"/>
        </w:rPr>
      </w:pPr>
      <w:r>
        <w:rPr>
          <w:rFonts w:ascii="Arial" w:cs="Arial" w:eastAsia="Arial" w:hAnsi="Arial"/>
          <w:sz w:val="16"/>
          <w:szCs w:val="16"/>
          <w:color w:val="auto"/>
        </w:rPr>
        <w:t>From the date of issuance of the Series B Preferred Stock, dividends at an annual rate of $0.16 per share will accrue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will accrue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are cumulative and are payable only when and if declared by the board of directors of the Company or in the event of a liquidation, dissolution or winding up of the Company or a Deemed Liquidation Event. The Company cannot declare dividends on the Common Stock unless the holders of Preferred Stock first receive, or simultaneously receive, a dividend on each outstanding share of Preferred Stock. No dividends have been declared since inception.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ind w:firstLine="412"/>
        <w:spacing w:after="0" w:line="283" w:lineRule="auto"/>
        <w:rPr>
          <w:sz w:val="20"/>
          <w:szCs w:val="20"/>
          <w:color w:val="auto"/>
        </w:rPr>
      </w:pPr>
      <w:r>
        <w:rPr>
          <w:rFonts w:ascii="Arial" w:cs="Arial" w:eastAsia="Arial" w:hAnsi="Arial"/>
          <w:sz w:val="16"/>
          <w:szCs w:val="16"/>
          <w:color w:val="auto"/>
        </w:rPr>
        <w:t>In the event of any voluntary or involuntary liquidation, dissolution or winding up of the Company or Deemed Liquidation Event, the holders of shares of Preferred Stock then outstanding will be entitled to be paid out of the assets of the Company available for distribution to its stockholders before any payment will be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w:t>
      </w:r>
    </w:p>
    <w:p>
      <w:pPr>
        <w:spacing w:after="0" w:line="3" w:lineRule="exact"/>
        <w:rPr>
          <w:sz w:val="20"/>
          <w:szCs w:val="20"/>
          <w:color w:val="auto"/>
        </w:rPr>
      </w:pPr>
    </w:p>
    <w:p>
      <w:pPr>
        <w:ind w:left="5540" w:right="4860" w:hanging="5532"/>
        <w:spacing w:after="0" w:line="605" w:lineRule="auto"/>
        <w:tabs>
          <w:tab w:leader="none" w:pos="25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amount per share as would have been payable had all shares of Preferred Stock been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Common Stock immediately prior to such liquidation, dissolution, winding up or Deemed Liquidation Event.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After the payment of all preferential amounts required to be paid to the holders of shares of Preferred Stock, the remaining assets of the Company available for distribution to its stockholders will be distributed among the holders of the shares of Common Stock, pro rata based on the number of shares held by each such holder.</w:t>
      </w:r>
    </w:p>
    <w:p>
      <w:pPr>
        <w:spacing w:after="0" w:line="194"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Unless the holders of at least 65% of the outstanding shares of Preferred Stock, voting together as a single class, elect otherwise, a "Deemed Liquidation Event" will include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31" w:lineRule="exact"/>
        <w:rPr>
          <w:sz w:val="20"/>
          <w:szCs w:val="20"/>
          <w:color w:val="auto"/>
        </w:rPr>
      </w:pPr>
    </w:p>
    <w:p>
      <w:pPr>
        <w:jc w:val="both"/>
        <w:ind w:firstLine="476"/>
        <w:spacing w:after="0" w:line="291" w:lineRule="auto"/>
        <w:rPr>
          <w:sz w:val="20"/>
          <w:szCs w:val="20"/>
          <w:color w:val="auto"/>
        </w:rPr>
      </w:pPr>
      <w:r>
        <w:rPr>
          <w:rFonts w:ascii="Arial" w:cs="Arial" w:eastAsia="Arial" w:hAnsi="Arial"/>
          <w:sz w:val="16"/>
          <w:szCs w:val="16"/>
          <w:color w:val="auto"/>
        </w:rPr>
        <w:t>Each share of Common Stock entitles the holder to one vote on all matters submitted to a vote of the Company's stockholders provided, however, that, except as otherwise required by law, holders of Common Stock will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Common stockholders are entitled to receive dividends, as may be declared by the Company's board of directors, if any, subject to the preferential dividend rights of the Preferred Stock. No dividends have been declared or paid during the years ended December 31, 2017 or 2018.</w:t>
      </w:r>
    </w:p>
    <w:p>
      <w:pPr>
        <w:spacing w:after="0" w:line="174"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During the year ended December 31, 2018, the Company's Certificate of Incorporation was amended and restated to increase the number of authorized shares of Common Stock from 80,000,000 to 135,000,000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290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reserved for conversion of outstanding Series A Preferred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9"/>
              </w:rPr>
              <w:t>Shares reserved for conversion of outstanding Series B Preferred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40,000,000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reserved for future issuance under the 2016 Stock Incentive Plan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1,542,195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6,432,941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61,542,195</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106,432,941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225"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The 2016 Plan is administered by the board of directors or, at the discretion of the board of directors, by a subcommittee of the board of directors. The exercise prices, vesting and other restrictions are determined at the discretion of the board of directors, or their subcommittee if so delegated, except that the exercise price per share of the stock options may not be less than 100% of the fair market value of a share of the Company's Common Stock on the date of grant and the term of the stock options may not be greater than ten years.</w:t>
      </w:r>
    </w:p>
    <w:p>
      <w:pPr>
        <w:spacing w:after="0" w:line="197"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color w:val="auto"/>
        </w:rPr>
        <w:t>During the year ended December 31, 2018, the Company granted restricted stock awards and stock options. As of December 31, 2017, the Company had only granted restricted stock awards since its inception. The dates of the Company's valuations of Common Stock have not always coincided with the dates of the restricted stock awards. For financial reporting purposes, the Company performed Common Stock valuations with the assistance of a third-party specialist as of November 30, 2018, August 24, 2018, June 1, 2018, December 31, 2017 and December 31, 2016 to determine stock-based compensation expense for restricted stock awards and stock options.</w:t>
      </w:r>
    </w:p>
    <w:p>
      <w:pPr>
        <w:spacing w:after="0" w:line="197"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The total number of shares of Common Stock that were authorized for issuance under the 2016 Plan was 12,465,000 as of December 31, 2017. In January 2018, the 2016 Plan was amended to increase the number of shares of Common Stock reserved for issuance under the 2016 Plan by 3,000,000 shares. In August 2018, the 2016 Plan was amended to increase the number of shares of Common Stock reserved for issuance under the 2016 Plan by 7,000,000 shares. The total number of shares of Common Stock that were authorized for issuance under the 2016 Plan was 22,465,000 as of December 31, 2018. Refer to Note 14 for an additional increase to the number of shares issuable under the 2016 Plan that occurred subsequent to December 31, 2018.</w:t>
      </w:r>
    </w:p>
    <w:p>
      <w:pPr>
        <w:spacing w:after="0" w:line="170" w:lineRule="exact"/>
        <w:rPr>
          <w:sz w:val="20"/>
          <w:szCs w:val="20"/>
          <w:color w:val="auto"/>
        </w:rPr>
      </w:pPr>
    </w:p>
    <w:p>
      <w:pPr>
        <w:jc w:val="both"/>
        <w:ind w:firstLine="422"/>
        <w:spacing w:after="0" w:line="255" w:lineRule="auto"/>
        <w:rPr>
          <w:sz w:val="20"/>
          <w:szCs w:val="20"/>
          <w:color w:val="auto"/>
        </w:rPr>
      </w:pPr>
      <w:r>
        <w:rPr>
          <w:rFonts w:ascii="Arial" w:cs="Arial" w:eastAsia="Arial" w:hAnsi="Arial"/>
          <w:sz w:val="18"/>
          <w:szCs w:val="18"/>
          <w:color w:val="auto"/>
        </w:rPr>
        <w:t>During the year ended December 31, 2017, the Company issued 3,628,805 shares and 40,000 shares of Common Stock to employees and non-employees, respectively, under the 2016 Plan. During the year ended December 31, 2018, the Company issued 1,797,013 shares of Common Stock to employees under the 2016 Plan. The Company may repurchase unvested shares at the original purchase price if employees or non-employees are terminated or cease their employment or service relationship with the Company. The shares typically vest over a one-year or four-year period.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under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160" w:type="dxa"/>
            <w:vAlign w:val="bottom"/>
          </w:tcPr>
          <w:p>
            <w:pPr>
              <w:spacing w:after="0"/>
              <w:rPr>
                <w:sz w:val="14"/>
                <w:szCs w:val="14"/>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6,631,980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3,668,805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(2,561,582)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(56,250)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7,682,953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1,797,013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(3,524,983)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(655,980)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5,299,003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59"/>
        <w:spacing w:after="0" w:line="332" w:lineRule="auto"/>
        <w:rPr>
          <w:sz w:val="20"/>
          <w:szCs w:val="20"/>
          <w:color w:val="auto"/>
        </w:rPr>
      </w:pPr>
      <w:r>
        <w:rPr>
          <w:rFonts w:ascii="Arial" w:cs="Arial" w:eastAsia="Arial" w:hAnsi="Arial"/>
          <w:sz w:val="16"/>
          <w:szCs w:val="16"/>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Stock options granted by the Company typically vest over a four year period and have a ten year contractual term. The following table summarizes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stock option activity under the 2016 Plan since December 31, 2017:</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3,555,302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3,555,302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9.48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44,158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102,694</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515"/>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The weighted average grant date fair value of stock options granted in the year ended December 31, 2018 was $0.72 per share. As of December 31, 2018, no stock options have been exercised since inception.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stock options granted during the year ended December 31, 2018 under the 2016 Plan has been calculated on the date of grant using the following weighted average assumptions: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5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225"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During July 2016, the Company issued 5,075,000 shares and 460,000 shares of Common Stock outside of the Company's 2016 Plan to non-employee founders and certain advisors, respectively. The shares were issued under the terms of restricted stock agreements between the Company and such holders, and the unvested shares are subject to repurchase by the Company upon the termination of the holder's relationship with the Company. Of the total shares issued to non-employee founders, 575,000 vested immediately upon grant; 2,500,000 vest quarterly over a four-year period based on each holder's continued service relationship with the Company; and 2,000,000 vest in equal quarterly installments over a period of one year, commencing with the first quarter after the four-year anniversary of the date of the respective non-employee founder's agreement, based on each holder's continued service relationship with the Company. Of the shares issued to non-employee advisors, 240,000 shares vest in equal quarterly installments over four years, 200,000 of the shares vest in equal quarterly installments over a period of two years upon the achievement of certain performance-based milestones, and 20,000 shares vested immediately upon grant. Stock-based compensation expense associated with the performance-based awards is recognized if the performance condition is considered probable of achievement using management's best estimates.</w:t>
      </w:r>
    </w:p>
    <w:p>
      <w:pPr>
        <w:spacing w:after="0" w:line="177" w:lineRule="exact"/>
        <w:rPr>
          <w:sz w:val="20"/>
          <w:szCs w:val="20"/>
          <w:color w:val="auto"/>
        </w:rPr>
      </w:pPr>
    </w:p>
    <w:p>
      <w:pPr>
        <w:jc w:val="both"/>
        <w:ind w:firstLine="383"/>
        <w:spacing w:after="0" w:line="255" w:lineRule="auto"/>
        <w:rPr>
          <w:sz w:val="20"/>
          <w:szCs w:val="20"/>
          <w:color w:val="auto"/>
        </w:rPr>
      </w:pPr>
      <w:r>
        <w:rPr>
          <w:rFonts w:ascii="Arial" w:cs="Arial" w:eastAsia="Arial" w:hAnsi="Arial"/>
          <w:sz w:val="18"/>
          <w:szCs w:val="18"/>
          <w:color w:val="auto"/>
        </w:rPr>
        <w:t>During the year ended December 31, 2017, management concluded that the milestone associated with 200,000 shares of performance-based restricted stock was probable of achievement, and therefore the Company began to record stock-based compensation expense using the accelerated attribution method. The milestone was subsequently achieved during the year ended December 31, 2018. The Company recorded $0.1 million and less than $0.1 million of stock-based compensation expense for non-employee performance-based awards during the years ended December 31, 2017 and 2018, respectively.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outside of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75"/>
        <w:spacing w:after="0" w:line="268"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2017 and 2018 was $1.5 million and $3.4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5"/>
              </w:rPr>
              <w:t>December 31, 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1,035</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As of December 31, 2018, the Company had an aggregate of $5.6 million of unrecognized stock-based compensation expense, which is expected to be recognized over a weighted average period of 2.94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91"/>
        <w:spacing w:after="0" w:line="291" w:lineRule="auto"/>
        <w:rPr>
          <w:sz w:val="20"/>
          <w:szCs w:val="20"/>
          <w:color w:val="auto"/>
        </w:rPr>
      </w:pPr>
      <w:r>
        <w:rPr>
          <w:rFonts w:ascii="Arial" w:cs="Arial" w:eastAsia="Arial" w:hAnsi="Arial"/>
          <w:sz w:val="16"/>
          <w:szCs w:val="16"/>
          <w:color w:val="auto"/>
        </w:rPr>
        <w:t>In May 2016, the Company entered into a sublease agreement for approximately 8,143 square feet of office and laboratory space at its prior corporate headquarters in Cambridge, Massachusetts. The sublease commenced during June 2016. The Company had the option to extend the sublease until June 30, 2019, subject to the landlord's own need for the space. During June 2017, the Company exercised its option to extend the sublease through June 30, 2019. During February 2018, the Company amended its sublease agreement to reduce the term of the sublease to June 30, 2018. The Company recorded rent expense for this sublease on a straight-line basis. Rent expense associated with this sublease for the years ended December 31, 2017 and 2018 was $0.5 million and $0.3 million, respectively. The sublease for this space terminated on June 30,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commencing December 2017.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As of December 31, 2017, the Company had not incurred leasehold improvement costs that are subject to reimbursement by the landlord, and therefore no lease incentive obligation was recorded on the balance sheet. The lease agreement requires the Company to either pay a security deposit or maintain a letter of credit of $1.1 million. The Company obtained a letter of credit for this lease in April 2018 and has recorded the cash held to secure the letter of credit as restricted cash on the consolidated balance sheet as of December 31, 2018. The Company records rent expense for this lease on a straight-line basis. Rent expense associated with this lease for the years ended December 31, 2017 and 2018 was approximately $0.2 million and $1.9 million, respectively.</w:t>
      </w:r>
    </w:p>
    <w:p>
      <w:pPr>
        <w:spacing w:after="0" w:line="175"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2018 are as follows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12,187</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23,966</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2018,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2017 or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2017 and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research and development credits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2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Impact of U.S. tax reform</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During the years ended December 31, 2017 and 2018, the Company incurred book and tax losses and, because it maintains a full valuation allowance on its net deferred tax assets, did not recognize federal or state income tax expense or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8,493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16,566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2,503</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lease incentive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21,127</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(19,592)</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The Company considered its history of cumulative net losses incurred since inception and its lack of commercialization of any products since inception and has concluded that it is more likely than not that the Company will not realize the benefits of the deferred tax assets. Accordingly, a full valuation allowance has been established against the net deferred tax assets as of December 31, 2017 and 2018. The Company reevaluates the positive and negative evidence at each reporting period.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the Company had federal net operating loss carryforwards of approximately $60.7 million which begin to expire in 2035. Approximately $29.7 million of the federal net operating losses can be carried forward indefinitely. As of December 31, 2018, the Company also had state net operating loss carryforwards of approximately $60.5 million, which begin to expire in 2035.</w:t>
      </w:r>
    </w:p>
    <w:p>
      <w:pPr>
        <w:spacing w:after="0" w:line="194"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8"/>
          <w:szCs w:val="18"/>
          <w:color w:val="auto"/>
        </w:rPr>
        <w:t>As of December 31, 2018, the Company had federal research and development tax credit carryforwards of approximately $1.5 million, which begin to expire in 2035. As of December 31, 2018, the Company also had state research and development tax credit carryforwards of approximately $1.3 million, which begin to expire in 2035.</w:t>
      </w:r>
    </w:p>
    <w:p>
      <w:pPr>
        <w:spacing w:after="0" w:line="194" w:lineRule="exact"/>
        <w:rPr>
          <w:sz w:val="20"/>
          <w:szCs w:val="20"/>
          <w:color w:val="auto"/>
        </w:rPr>
      </w:pPr>
    </w:p>
    <w:p>
      <w:pPr>
        <w:jc w:val="both"/>
        <w:ind w:firstLine="482"/>
        <w:spacing w:after="0" w:line="287"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39"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2018, the Company's tax years are still open under statute from 2015 to the present.</w:t>
      </w:r>
    </w:p>
    <w:p>
      <w:pPr>
        <w:spacing w:after="0" w:line="194" w:lineRule="exact"/>
        <w:rPr>
          <w:sz w:val="20"/>
          <w:szCs w:val="20"/>
          <w:color w:val="auto"/>
        </w:rPr>
      </w:pPr>
    </w:p>
    <w:p>
      <w:pPr>
        <w:jc w:val="both"/>
        <w:ind w:firstLine="521"/>
        <w:spacing w:after="0" w:line="290"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the provision for income taxes. As of December 31, 2017 and 2018, the Company had no accrued interest or penalties related to uncertain tax positions and no amounts have been recognized in the Company's statements of operations. For the year ended December 31, 2018,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17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On December 22, 2017, the Tax Cuts and Jobs Act (the "Tax Reform Act") was enacted, which significantly reforms the Internal Revenue Code. The Tax Reform Act, among other things, contains significant changes to corporate taxation, including reduction of the corporate tax rate from a top marginal rate of 35% to a flat rate of 21%, effective as of January 1, 2018; limitation of the tax deduction for interest expense;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w:t>
      </w:r>
    </w:p>
    <w:p>
      <w:pPr>
        <w:spacing w:after="0" w:line="201" w:lineRule="exact"/>
        <w:rPr>
          <w:sz w:val="20"/>
          <w:szCs w:val="20"/>
          <w:color w:val="auto"/>
        </w:rPr>
      </w:pPr>
    </w:p>
    <w:p>
      <w:pPr>
        <w:jc w:val="both"/>
        <w:ind w:firstLine="528"/>
        <w:spacing w:after="0" w:line="254" w:lineRule="auto"/>
        <w:rPr>
          <w:sz w:val="20"/>
          <w:szCs w:val="20"/>
          <w:color w:val="auto"/>
        </w:rPr>
      </w:pPr>
      <w:r>
        <w:rPr>
          <w:rFonts w:ascii="Arial" w:cs="Arial" w:eastAsia="Arial" w:hAnsi="Arial"/>
          <w:sz w:val="18"/>
          <w:szCs w:val="18"/>
          <w:color w:val="auto"/>
        </w:rPr>
        <w:t>The staff of the Securities and Exchange Commission issued Staff Accounting Bulletin No. 118 ("SAB 118") to address the application of GAAP in situations when a registrant does not have the necessary information available, prepared, or analyzed (including computations) in reasonable detail to complete the accounting for certain income tax effects of the Tax Reform Act. The Company is applying the provisions of SAB 118. In connection with the initial analysis of the impact of the Tax Reform Act for the year ended December 31, 2017, the Company remeasured certain deferred tax assets and liabilities based on the revised U.S. federal corporate tax rate of 21%. The remeasurement of the Company's deferred tax assets and liabilities was offset by a corresponding change in the Company's valuation allowance.</w:t>
      </w:r>
    </w:p>
    <w:p>
      <w:pPr>
        <w:spacing w:after="0" w:line="198" w:lineRule="exact"/>
        <w:rPr>
          <w:sz w:val="20"/>
          <w:szCs w:val="20"/>
          <w:color w:val="auto"/>
        </w:rPr>
      </w:pPr>
    </w:p>
    <w:p>
      <w:pPr>
        <w:jc w:val="both"/>
        <w:ind w:firstLine="517"/>
        <w:spacing w:after="0" w:line="306" w:lineRule="auto"/>
        <w:rPr>
          <w:sz w:val="20"/>
          <w:szCs w:val="20"/>
          <w:color w:val="auto"/>
        </w:rPr>
      </w:pPr>
      <w:r>
        <w:rPr>
          <w:rFonts w:ascii="Arial" w:cs="Arial" w:eastAsia="Arial" w:hAnsi="Arial"/>
          <w:sz w:val="16"/>
          <w:szCs w:val="16"/>
          <w:color w:val="auto"/>
        </w:rPr>
        <w:t>As permitted by SAB 118, the Company recorded provisional estimates during the year ended December 31, 2017 and has subsequently finalized its accounting analysis based on the guidance, interpretations, and data available as of December 31, 2018. Adjustments made in the fourth quarter of 2018 upon finalization of the Company's accounting analysis were not material to the Company's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231" w:lineRule="exact"/>
        <w:rPr>
          <w:sz w:val="20"/>
          <w:szCs w:val="20"/>
          <w:color w:val="auto"/>
        </w:rPr>
      </w:pPr>
    </w:p>
    <w:p>
      <w:pPr>
        <w:jc w:val="both"/>
        <w:ind w:firstLine="425"/>
        <w:spacing w:after="0" w:line="306"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373"/>
        <w:spacing w:after="0" w:line="312" w:lineRule="auto"/>
        <w:rPr>
          <w:sz w:val="20"/>
          <w:szCs w:val="20"/>
          <w:color w:val="auto"/>
        </w:rPr>
      </w:pPr>
      <w:r>
        <w:rPr>
          <w:rFonts w:ascii="Arial" w:cs="Arial" w:eastAsia="Arial" w:hAnsi="Arial"/>
          <w:sz w:val="15"/>
          <w:szCs w:val="15"/>
          <w:color w:val="auto"/>
        </w:rPr>
        <w:t>Basic net loss per share attributable to common stockholders is calculated by dividing net loss attributable to common stockholders by the weighted average shares outstanding during the period, without consideration for Common Stock equivalents. Net loss attributable to common stockholders is calculated by adjusting the net loss of the Company for cumulative preferred stock dividends. Diluted net loss per share attributable to common stockholders is calculated by adjusting weighted average shares outstanding for the dilutive effect of Common Stock equivalents outstanding for the period. For purposes of the dilutive net loss per share attributable to common stockholders calculation, Preferred Stock, stock options, and unvested restricted stock are considered to be Common Stock equivalents but are excluded from the calculation of diluted net loss per share attributable to common stockholders, as their effect would be anti-dilutive. Therefore, basic and diluted net loss per share attributable to common stockholders were the same for all periods presented as a result of the Company's net loss.</w:t>
      </w:r>
    </w:p>
    <w:p>
      <w:pPr>
        <w:spacing w:after="0" w:line="159"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34,666,667</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40,000,000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3,555,302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280" w:type="dxa"/>
            <w:vAlign w:val="bottom"/>
          </w:tcPr>
          <w:p>
            <w:pPr>
              <w:jc w:val="right"/>
              <w:spacing w:after="0"/>
              <w:rPr>
                <w:sz w:val="20"/>
                <w:szCs w:val="20"/>
                <w:color w:val="auto"/>
              </w:rPr>
            </w:pPr>
            <w:r>
              <w:rPr>
                <w:rFonts w:ascii="Arial" w:cs="Arial" w:eastAsia="Arial" w:hAnsi="Arial"/>
                <w:sz w:val="18"/>
                <w:szCs w:val="18"/>
                <w:color w:val="auto"/>
              </w:rPr>
              <w:t>11,595,453</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8,426,503</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46,262,120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111,981,805</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2019, the Company issued 12,500,000 shares of Series B Preferred Stock as consideration for the GSK Agreement (as defined in Note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5" w:lineRule="exact"/>
        <w:rPr>
          <w:sz w:val="20"/>
          <w:szCs w:val="20"/>
          <w:color w:val="auto"/>
        </w:rPr>
      </w:pPr>
    </w:p>
    <w:p>
      <w:pPr>
        <w:jc w:val="both"/>
        <w:ind w:firstLine="473"/>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2018 give effect to adjustments arising upon the closing of a qualified IPO. The unaudited pro forma basic and diluted weighted average common shares outstanding used in the calculation of unaudited pro forma basic and diluted net loss per share attributable to common stockholders for the year ended December 31, 2018 give effect to the automatic conversion upon a qualified IPO of all outstanding shares of Preferred Stock into shares of Common Stock as if the conversion had occurred on the later of January 1, 2018 or the issuance date of the Preferred Stock. Accordingly, the pro forma basic and diluted net loss per share attributable to stockholders does not include the effects of the cumulative preferred stock dividends. Shares to be sold in the offering 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excluded from the unaudited pro forma basic and diluted loss per share attributable to common stockholders calculations.</w:t>
      </w:r>
    </w:p>
    <w:p>
      <w:pPr>
        <w:spacing w:after="0" w:line="22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The following table summarizes the Company's unaudited pro forma net loss per share attributable to common stockholders (in thousands, except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2018</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(39,147)</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convertible preferred stock dividends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6,559</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8,799</w:t>
            </w:r>
          </w:p>
        </w:tc>
      </w:tr>
      <w:tr>
        <w:trPr>
          <w:trHeight w:val="208"/>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Pro forma weighted average shares outstanding after giving effect to the conversion of</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67,856</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Pro forma weighted average shares outstanding</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76,655</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basic and diluted loss per share attributable to common stockholders, basic and</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31"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During the years ended December 31, 2017 and 2018, the Company paid fees to Third Rock Ventures, LLC ("TRV"), an affiliate of one of the Company's principal stockholders, in exchange for consulting services. The Company recorded expenses related to such fees of $0.1 million during each of the years ended December 31, 2017 and 2018. As of both December 31, 2017 and 2018, there was less than $0.1 million of amounts due to TRV for such services that were included in accounts payable and accrued expenses. Additionally, consultants that provide services to the Company are employees of TRV. The Company has issued an aggregate of 996,000 shares of Common Stock to these consultants in exchange for their continuing consulting services.</w:t>
      </w:r>
    </w:p>
    <w:p>
      <w:pPr>
        <w:spacing w:after="0" w:line="170"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During the year ended December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For its consolidated financial statements as of December 31, 2018 and for the year then ended, the Company evaluated subsequent events through May 1, 2019, the date on which those consolidated financial statements were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jc w:val="both"/>
        <w:ind w:firstLine="420"/>
        <w:spacing w:after="0" w:line="370" w:lineRule="auto"/>
        <w:rPr>
          <w:sz w:val="20"/>
          <w:szCs w:val="20"/>
          <w:color w:val="auto"/>
        </w:rPr>
      </w:pPr>
      <w:r>
        <w:rPr>
          <w:rFonts w:ascii="Arial" w:cs="Arial" w:eastAsia="Arial" w:hAnsi="Arial"/>
          <w:sz w:val="15"/>
          <w:szCs w:val="15"/>
          <w:color w:val="auto"/>
        </w:rPr>
        <w:t>In January 2019, the 2016 Plan was amended to increase the number of shares of Common Stock reserved for issuance under the 2016 Plan by 2,500,000 shares. In January 2019 and March 2019, the Company issued stock options to purchase an aggregate of 7,143,661 shares of Common Stock under the 2016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 Agreement</w:t>
      </w:r>
    </w:p>
    <w:p>
      <w:pPr>
        <w:spacing w:after="0" w:line="225"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will include in the total consideration for the transaction.</w:t>
      </w:r>
    </w:p>
    <w:p>
      <w:pPr>
        <w:spacing w:after="0" w:line="172"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will be recorded as in-process research and development expense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1"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In February 2019, in connection with the GSK Agreement, the Company's Certificate of Incorporation was amended and restated to increase the number of authorized shares of Series B Preferred Stock from 40,000,000 shares to 52,500,000 shares and to increase the number of authorized shares of Common Stock from 135,000,000 shares to 147,500,000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Deferred lease incentive, current portion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 rent, excluding current portion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incentive, excluding current portion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liabilities, excluding current portion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 $0.001 par value; 60,000,000 shares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authorized, issued and outstanding as of December 31, 2018 and March 31, 2019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(liquidation preference of $68,371 as of March 31, 2019); no shares issued 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0"/>
              </w:rPr>
              <w:t>Series B convertible preferred stock, $0.001 par value; 40,000,000 and 52,500,000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87"/>
              </w:rPr>
              <w:t>shares authorized, issued and outstanding as of December 31, 2018 and March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91"/>
              </w:rPr>
              <w:t>2019, respectively (liquidation preference of $109,119 as of March 31, 2019); no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shares issued or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88"/>
              </w:rPr>
              <w:t>Common stock, $0.001 par value; 135,000,000 and 147,500,000 shares authorized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3"/>
              </w:rPr>
              <w:t>as of December 31, 2018 and March 31, 2019, respectively; 19,542,588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7"/>
              </w:rPr>
              <w:t>19,235,125 shares issued as of December 31, 2018 and March 31, 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88"/>
              </w:rPr>
              <w:t>respectively; 11,116,085 and 12,054,235 shares outstanding as of 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1"/>
              </w:rPr>
              <w:t>2018 and March 31, 2019, respectively; 131,735,125 and 124,554,235 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issued and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Treasury stock, at cost; 469,169 and no shares as of December 31, 2018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March 31, 2019, respectively; no shares,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(104,967)</w:t>
            </w: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liabilities, convertible preferred stock, and stockholders' (deficit)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(7,310)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(7,768)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(39,884)</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Weighted average number of common shares used in net loss per share attributable to common</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weighted average number of common shares used in net loss per share attributable to</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118,580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36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9"/>
              </w:rPr>
              <w:t>Series A Convertible</w:t>
            </w:r>
          </w:p>
        </w:tc>
        <w:tc>
          <w:tcPr>
            <w:tcW w:w="1500" w:type="dxa"/>
            <w:vAlign w:val="bottom"/>
            <w:tcBorders>
              <w:right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1"/>
              </w:rPr>
              <w:t>Series B Convertible</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gridSpan w:val="6"/>
          </w:tcPr>
          <w:p>
            <w:pPr>
              <w:jc w:val="right"/>
              <w:ind w:right="260"/>
              <w:spacing w:after="0" w:line="149" w:lineRule="exact"/>
              <w:rPr>
                <w:sz w:val="20"/>
                <w:szCs w:val="20"/>
                <w:color w:val="auto"/>
              </w:rPr>
            </w:pPr>
            <w:r>
              <w:rPr>
                <w:rFonts w:ascii="Arial" w:cs="Arial" w:eastAsia="Arial" w:hAnsi="Arial"/>
                <w:sz w:val="14"/>
                <w:szCs w:val="14"/>
                <w:b w:val="1"/>
                <w:bCs w:val="1"/>
                <w:color w:val="auto"/>
              </w:rPr>
              <w:t>Preferred Stock</w:t>
            </w:r>
          </w:p>
        </w:tc>
        <w:tc>
          <w:tcPr>
            <w:tcW w:w="1500" w:type="dxa"/>
            <w:vAlign w:val="bottom"/>
            <w:tcBorders>
              <w:right w:val="single" w:sz="8" w:color="auto"/>
            </w:tcBorders>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8"/>
              </w:rPr>
              <w:t>Treasury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jc w:val="right"/>
              <w:ind w:right="52"/>
              <w:spacing w:after="0" w:line="123"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vMerge w:val="restart"/>
          </w:tcPr>
          <w:p>
            <w:pPr>
              <w:spacing w:after="0"/>
              <w:rPr>
                <w:sz w:val="2"/>
                <w:szCs w:val="2"/>
                <w:color w:val="auto"/>
              </w:rPr>
            </w:pPr>
          </w:p>
        </w:tc>
        <w:tc>
          <w:tcPr>
            <w:tcW w:w="860" w:type="dxa"/>
            <w:vAlign w:val="bottom"/>
            <w:gridSpan w:val="3"/>
            <w:vMerge w:val="restart"/>
          </w:tcPr>
          <w:p>
            <w:pPr>
              <w:jc w:val="right"/>
              <w:ind w:right="80"/>
              <w:spacing w:after="0" w:line="123"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40"/>
              <w:spacing w:after="0" w:line="123" w:lineRule="exact"/>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7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34,666,666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34,587</w:t>
            </w:r>
          </w:p>
        </w:tc>
        <w:tc>
          <w:tcPr>
            <w:tcW w:w="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6,806,102</w:t>
            </w:r>
          </w:p>
        </w:tc>
        <w:tc>
          <w:tcPr>
            <w:tcW w:w="4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56,250</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2,264</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(35,536)</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$7</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12,666,667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12,659</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876,019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88,194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(144,444)</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429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(6,940)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(6,940)</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w w:val="92"/>
              </w:rPr>
              <w:t>March 31, 2018</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47,333,333</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47,246</w:t>
            </w:r>
          </w:p>
        </w:tc>
        <w:tc>
          <w:tcPr>
            <w:tcW w:w="60" w:type="dxa"/>
            <w:vAlign w:val="bottom"/>
          </w:tcPr>
          <w:p>
            <w:pPr>
              <w:spacing w:after="0"/>
              <w:rPr>
                <w:sz w:val="13"/>
                <w:szCs w:val="13"/>
                <w:color w:val="auto"/>
              </w:rPr>
            </w:pPr>
          </w:p>
        </w:tc>
        <w:tc>
          <w:tcPr>
            <w:tcW w:w="8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7,682,121</w:t>
            </w:r>
          </w:p>
        </w:tc>
        <w:tc>
          <w:tcPr>
            <w:tcW w:w="4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2,696</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(42,476)</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Balance at</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40,000,000</w:t>
            </w: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79,761</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11,116,085</w:t>
            </w:r>
          </w:p>
        </w:tc>
        <w:tc>
          <w:tcPr>
            <w:tcW w:w="4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469,169</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w w:val="76"/>
              </w:rPr>
              <w:t>$</w:t>
            </w: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4,443</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(68,124)</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(63,670)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Series B</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stock in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connection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with asset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acquisition,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costs of $34</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12,500,000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25,466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938,150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307,463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(776,632)</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821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(36,843)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(36,843)</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w w:val="92"/>
              </w:rPr>
              <w:t>March 31, 2019</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6"/>
              </w:rPr>
              <w:t>60,000,000</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3"/>
              </w:rPr>
              <w:t>59,909</w:t>
            </w: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52,500,000</w:t>
            </w:r>
          </w:p>
        </w:tc>
        <w:tc>
          <w:tcPr>
            <w:tcW w:w="6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105,227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12,054,235</w:t>
            </w:r>
          </w:p>
        </w:tc>
        <w:tc>
          <w:tcPr>
            <w:tcW w:w="4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5,268</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(104,967)</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 forma</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stockholders'</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spacing w:after="0" w:line="138" w:lineRule="exact"/>
              <w:rPr>
                <w:sz w:val="20"/>
                <w:szCs w:val="20"/>
                <w:color w:val="auto"/>
              </w:rPr>
            </w:pPr>
            <w:r>
              <w:rPr>
                <w:rFonts w:ascii="Arial" w:cs="Arial" w:eastAsia="Arial" w:hAnsi="Arial"/>
                <w:sz w:val="14"/>
                <w:szCs w:val="14"/>
                <w:color w:val="auto"/>
              </w:rPr>
              <w:t>Conversion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w w:val="96"/>
              </w:rPr>
              <w:t>preferred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auto"/>
              </w:rPr>
              <w:t>into 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auto"/>
              </w:rPr>
              <w:t>stock</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(60,000,000)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8"/>
              </w:rPr>
              <w:t>(59,909)</w:t>
            </w: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3"/>
              </w:rPr>
              <w:t>(52,500,000)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80"/>
              <w:spacing w:after="0" w:line="159" w:lineRule="exact"/>
              <w:rPr>
                <w:sz w:val="20"/>
                <w:szCs w:val="20"/>
                <w:color w:val="auto"/>
              </w:rPr>
            </w:pPr>
            <w:r>
              <w:rPr>
                <w:rFonts w:ascii="Arial" w:cs="Arial" w:eastAsia="Arial" w:hAnsi="Arial"/>
                <w:sz w:val="14"/>
                <w:szCs w:val="14"/>
                <w:color w:val="auto"/>
                <w:w w:val="86"/>
              </w:rPr>
              <w:t>(105,227)</w:t>
            </w: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2"/>
              </w:rPr>
              <w:t>112,500,000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85"/>
              </w:rPr>
              <w:t>113</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165,023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165,136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89"/>
              </w:rPr>
              <w:t>Pro forma balance</w:t>
            </w: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at March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2019</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 $</w:t>
            </w:r>
          </w:p>
        </w:tc>
        <w:tc>
          <w:tcPr>
            <w:tcW w:w="620" w:type="dxa"/>
            <w:vAlign w:val="bottom"/>
            <w:tcBorders>
              <w:right w:val="single" w:sz="8" w:color="auto"/>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2"/>
              </w:rPr>
              <w:t>124,554,235</w:t>
            </w:r>
          </w:p>
        </w:tc>
        <w:tc>
          <w:tcPr>
            <w:tcW w:w="400" w:type="dxa"/>
            <w:vAlign w:val="bottom"/>
            <w:gridSpan w:val="2"/>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125</w:t>
            </w:r>
          </w:p>
        </w:tc>
        <w:tc>
          <w:tcPr>
            <w:tcW w:w="6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 $</w:t>
            </w:r>
          </w:p>
        </w:tc>
        <w:tc>
          <w:tcPr>
            <w:tcW w:w="3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170,291</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(104,967)</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65,449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In-process research and development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Deferred rent and deferred lease incentive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Transaction costs associated with asset acquisition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issuance of Series A convertible preferred stock, net of issuance costs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costs associated with issuance of Series B convertible preferred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Proceeds from issuance of common stock (repurchases of common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Acquisition of in process research and development through issuance of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offering costs unpaid at end of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provides a reconciliation of the cash, cash equivalents, and restricted cash balances as of each of the periods shown above: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jc w:val="both"/>
        <w:ind w:firstLine="408"/>
        <w:spacing w:after="0" w:line="254" w:lineRule="auto"/>
        <w:rPr>
          <w:sz w:val="20"/>
          <w:szCs w:val="20"/>
          <w:color w:val="auto"/>
        </w:rPr>
      </w:pPr>
      <w:r>
        <w:rPr>
          <w:rFonts w:ascii="Arial" w:cs="Arial" w:eastAsia="Arial" w:hAnsi="Arial"/>
          <w:sz w:val="18"/>
          <w:szCs w:val="18"/>
          <w:color w:val="auto"/>
        </w:rPr>
        <w:t>The accompanying unaudited consolidated financial statements and footnotes to the financial statements have been prepared on the same basis as the most recently audited annual financial statements and, in the opinion of management, reflect all normal recurring adjustments necessary for the fair presentation of the Company's financial position as of March 31, 2019 and the results of its operations and its cash flows for the three months ended March 31, 2018 and 2019. The results for the three months ended March 31, 2019 are not necessarily indicative of results to be expected for the year ending December 31, 2019, any other interim periods, or any future year or period. These consolidated financial statements should be read in conjunction with the Company's audited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issuance of convertible notes and convertible preferred stock. As of March 31, 2019, the Company had an accumulated deficit of $105.0 million. The Company expects its operating losses and negative operating cash flows to continue into the foreseeable future as it continues to expand its research and development efforts. As of June 5, 2019, the issuance date of the consolidated financial statements for the three months ended March 31, 2019, the Company expected that its cash and cash equivalents as of March 31, 2019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auto"/>
        </w:rPr>
        <w:t>If the Company is unable to obtain additional funding, the Company could be forced to delay, reduce or eliminate some or all of its research and development programs, product portfolio expansion,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0"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as of and for the three months ended March 31, 2019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ind w:right="20" w:firstLine="441"/>
        <w:spacing w:after="0" w:line="332" w:lineRule="auto"/>
        <w:rPr>
          <w:sz w:val="20"/>
          <w:szCs w:val="20"/>
          <w:color w:val="auto"/>
        </w:rPr>
      </w:pPr>
      <w:r>
        <w:rPr>
          <w:rFonts w:ascii="Arial" w:cs="Arial" w:eastAsia="Arial" w:hAnsi="Arial"/>
          <w:sz w:val="16"/>
          <w:szCs w:val="16"/>
          <w:color w:val="auto"/>
        </w:rPr>
        <w:t>The significant accounting policies and estimates used in the preparation of the consolidated financial statements are described in the Company's audited financial statements. There have been no material changes in the Company's significant accounting policies during the three months ended March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color w:val="auto"/>
        </w:rPr>
        <w:t>The accompanying pro forma balance sheet and statement of stockholders' (deficit) equity as of March 31, 2019 has been prepared to give effect, upon the closing of a qualified IPO, to the automatic conversion of all shares of convertible preferred stock outstanding as of March 31, 2019 into 112,500,000 shares of Common Stock. In the accompanying consolidated statements of operations and comprehensive loss, the pro forma basic and diluted net loss per share attributable to common stockholders for the three months ended March 31, 2019 have been prepared to give effect, upon the closing of a qualified IPO, to the automatic conversion of all outstanding shares of convertible preferred stock as if the proposed IPO had occurred on the later of January 1, 2019 or the issuance date of the convertible preferred stock (see Note 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and March 31, 2019 were less than $0.1 million and $0.2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both"/>
        <w:ind w:firstLine="401"/>
        <w:spacing w:after="0" w:line="332" w:lineRule="auto"/>
        <w:rPr>
          <w:sz w:val="20"/>
          <w:szCs w:val="20"/>
          <w:color w:val="auto"/>
        </w:rPr>
      </w:pPr>
      <w:r>
        <w:rPr>
          <w:rFonts w:ascii="Arial" w:cs="Arial" w:eastAsia="Arial" w:hAnsi="Arial"/>
          <w:sz w:val="16"/>
          <w:szCs w:val="16"/>
          <w:color w:val="auto"/>
        </w:rPr>
        <w:t>Research and development expenses also include in-process research and development ("IPR&amp;D") expenses, which relate to IPR&amp;D acquired as part of an asset acquisition for which there is no alternative future use. Research and development with no future alternative use is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jc w:val="both"/>
        <w:ind w:firstLine="516"/>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The new standard will be effective for the Company on January 1, 2020.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5"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standard requires that credit losses be reported using an expected losses model rather than the incurred losses model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The Company is currently evaluating the impact that the adoption of ASU 2017-11 may have on its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1" w:lineRule="exact"/>
        <w:rPr>
          <w:sz w:val="20"/>
          <w:szCs w:val="20"/>
          <w:color w:val="auto"/>
        </w:rPr>
      </w:pPr>
    </w:p>
    <w:p>
      <w:pPr>
        <w:ind w:firstLine="412"/>
        <w:spacing w:after="0" w:line="268"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72,797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72,797</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72,797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72,797</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62,452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62,452</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62,452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62,452</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transfers between fair value levels during the three months ended March 31, 2018 or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4,847</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10,546</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10,225</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for the three months ended March 31, 2018 and 2019 was $0.2 million and $0.5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 allowance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Total prepaid expenses and other current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Preferred Stock</w:t>
      </w:r>
    </w:p>
    <w:p>
      <w:pPr>
        <w:spacing w:after="0" w:line="231"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6"/>
          <w:szCs w:val="16"/>
          <w:color w:val="auto"/>
        </w:rPr>
        <w:t>As of December 31, 2018, 100,000,000 shares of convertible preferred stock were authorized, issued, and outstanding, of which 60,000,000 shares were designated as $0.001 par value Series A convertible preferred stock (the "Series A Preferred Stock"), and 40,000,000 shares were designated as $0.001 par value Series B convertible preferred stock (the "Series B Preferred Stock", and together with the Series A Preferred Stock, the "Preferred Stock"). As of March 31, 2019, 112,500,000 shares of Preferred Stock were authorized, issued, and outstanding, of which 60,000,000 shares were designated as $0.001 par value Series A Preferred Stock, and 52,500,000 shares were designated as $0.001 par value Series B Preferred Stock.</w:t>
      </w:r>
    </w:p>
    <w:p>
      <w:pPr>
        <w:spacing w:after="0" w:line="170"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6"/>
          <w:szCs w:val="16"/>
          <w:color w:val="auto"/>
        </w:rPr>
        <w:t>During the three months ended March 31, 2019, the Company issued 12,500,000 shares of Series B Preferred Stock in connection with the GSK Agreement (Note 9).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61"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No dividends have been declared since inception. Aggregate cumulative dividends associated with the Series A Preferred Stock and the Series B Preferred Stock as of December 31, 2018 were $7.2 million and $2.3 million, respectively. Aggregate cumulative dividends associated with the Series A Preferred Stock and the Series B Preferred Stock as of March 31, 2019 were $8.4 million and $4.1 million,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31" w:lineRule="exact"/>
        <w:rPr>
          <w:sz w:val="20"/>
          <w:szCs w:val="20"/>
          <w:color w:val="auto"/>
        </w:rPr>
      </w:pPr>
    </w:p>
    <w:p>
      <w:pPr>
        <w:jc w:val="both"/>
        <w:ind w:firstLine="390"/>
        <w:spacing w:after="0" w:line="332" w:lineRule="auto"/>
        <w:rPr>
          <w:sz w:val="20"/>
          <w:szCs w:val="20"/>
          <w:color w:val="auto"/>
        </w:rPr>
      </w:pPr>
      <w:r>
        <w:rPr>
          <w:rFonts w:ascii="Arial" w:cs="Arial" w:eastAsia="Arial" w:hAnsi="Arial"/>
          <w:sz w:val="16"/>
          <w:szCs w:val="16"/>
          <w:color w:val="auto"/>
        </w:rPr>
        <w:t>Common stockholders are entitled to receive dividends, as may be declared by the Company's board of directors, if any, subject to the preferential dividend rights of the Preferred Stock. No dividends have been declared or paid during the three months ended March 31, 2018 or 2019.</w:t>
      </w:r>
    </w:p>
    <w:p>
      <w:pPr>
        <w:spacing w:after="0" w:line="13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During the three months ended March 31, 2019, the Company's Certificate of Incorporation was amended and restated to increase the number of authorized shares of Common Stock from 135,000,000 to 147,500,000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5640" w:type="dxa"/>
            <w:vAlign w:val="bottom"/>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reserved for conversion of outstanding Series A Preferred Stock</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w w:val="98"/>
              </w:rPr>
              <w:t>Shares reserved for conversion of outstanding Series B Preferred Stock</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40,000,000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52,500,000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reserved for future issuance under the 2016 Stock Incentive Plan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6,432,941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2,565,912</w:t>
            </w:r>
          </w:p>
        </w:tc>
      </w:tr>
      <w:tr>
        <w:trPr>
          <w:trHeight w:val="210"/>
        </w:trPr>
        <w:tc>
          <w:tcPr>
            <w:tcW w:w="56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106,432,941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115,065,912</w:t>
            </w:r>
          </w:p>
        </w:tc>
        <w:tc>
          <w:tcPr>
            <w:tcW w:w="16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Under the 2016 Stock Incentive Plan</w:t>
      </w:r>
    </w:p>
    <w:p>
      <w:pPr>
        <w:spacing w:after="0" w:line="225"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In July 2016, the Company adopted the 2016 Plan, under which it may grant restricted stock awards, restricted stock units, incentive stock options, non-statutory stock options, and other stock-based awards to eligible employees, officers, directors, consultants, and advisors. The total number of shares of Common Stock that were authorized for issuance under the 2016 Plan was 22,465,000 as of December 31, 2018. In January 2019, the 2016 Plan was amended to increase the number of shares of Common Stock reserved for issuance under the 2016 Plan by 2,500,000 shares. The total number of shares of Common Stock that were authorized for issuance under the 2016 Plan was 24,965,000 as of March 31, 2019.</w:t>
      </w:r>
    </w:p>
    <w:p>
      <w:pPr>
        <w:spacing w:after="0" w:line="170"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March 15, 2019, November 30, 2018, August 24, 2018, June 1, 2018, December 31, 2017, and December 31, 2016 to determine stock-based compensation expense for restricted stock awards and stock options.</w:t>
      </w:r>
    </w:p>
    <w:p>
      <w:pPr>
        <w:spacing w:after="0" w:line="194"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auto"/>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under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5,299,003</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(741,900)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(307,463)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r>
      <w:tr>
        <w:trPr>
          <w:trHeight w:val="20"/>
        </w:trPr>
        <w:tc>
          <w:tcPr>
            <w:tcW w:w="5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4,249,640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option activity under the 2016 Plan since December 31,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7,143,661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10,698,963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2019</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0.97</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9.62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113,092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522,930</w:t>
            </w:r>
          </w:p>
        </w:tc>
        <w:tc>
          <w:tcPr>
            <w:tcW w:w="2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5"/>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auto"/>
        </w:rPr>
        <w:t>The weighted average grant date fair value of stock options granted during the three months ended March 31, 2019 was $0.79 per share. As of March 31, 2019, no stock options have been exercised since inception. The fair value of stock options granted during the three months ended March 31, 2019 under the 2016 Plan has been calculated on the date of grant using the following weighted 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2019</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auto"/>
              </w:rPr>
              <w:t>81.4%</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20" w:type="dxa"/>
            <w:vAlign w:val="bottom"/>
            <w:gridSpan w:val="4"/>
          </w:tcPr>
          <w:p>
            <w:pPr>
              <w:ind w:left="840"/>
              <w:spacing w:after="0"/>
              <w:rPr>
                <w:sz w:val="20"/>
                <w:szCs w:val="20"/>
                <w:color w:val="auto"/>
              </w:rPr>
            </w:pPr>
            <w:r>
              <w:rPr>
                <w:rFonts w:ascii="Arial" w:cs="Arial" w:eastAsia="Arial" w:hAnsi="Arial"/>
                <w:sz w:val="18"/>
                <w:szCs w:val="18"/>
                <w:color w:val="auto"/>
              </w:rPr>
              <w:t>F-44</w:t>
            </w:r>
          </w:p>
        </w:tc>
      </w:tr>
      <w:tr>
        <w:trPr>
          <w:trHeight w:val="228"/>
        </w:trPr>
        <w:tc>
          <w:tcPr>
            <w:tcW w:w="1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Expense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the 2016 Stock Incentive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activity outside of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3,127,500</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Repurchased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2,931,250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intrinsic value of all restricted stock awards that vested during the three months ended March 31, 2019 was $1.4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March 31, 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8"/>
              </w:rPr>
              <w:t>March 31, 2019</w:t>
            </w:r>
          </w:p>
        </w:tc>
        <w:tc>
          <w:tcPr>
            <w:tcW w:w="16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As of March 31, 2019, the Company had an aggregate of $10.5 million of unrecognized stock-based compensation expense, which is expected to be recognized over a weighted average period of 3.26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Acquisition</w:t>
      </w:r>
    </w:p>
    <w:p>
      <w:pPr>
        <w:spacing w:after="0" w:line="231"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Acquisition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w:t>
      </w:r>
    </w:p>
    <w:p>
      <w:pPr>
        <w:spacing w:after="0" w:line="167"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In May 2016, the Company entered into a sublease agreement for approximately 8,143 square feet of office and laboratory space at its prior corporate headquarters in Cambridge, Massachusetts. The sublease for this space terminated on June 30, 2018. Rent expense associated with this sublease for the three months ended March 31, 2018 was $0.1 million.</w:t>
      </w:r>
    </w:p>
    <w:p>
      <w:pPr>
        <w:spacing w:after="0" w:line="194"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2018 and March 31, 2019. Rent expense associated with this lease for the three months ended March 31, 2018 and 2019 was approximately $0.5 million and $0.5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future minimum lease payments associated with the lease for the Company's current headquarters as of March 31, 2019, are as follows (in thousands):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333"/>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2019</w:t>
            </w:r>
            <w:r>
              <w:rPr>
                <w:rFonts w:ascii="Arial" w:cs="Arial" w:eastAsia="Arial" w:hAnsi="Arial"/>
                <w:sz w:val="29"/>
                <w:szCs w:val="29"/>
                <w:color w:val="auto"/>
                <w:vertAlign w:val="superscript"/>
              </w:rPr>
              <w:t>(1)</w:t>
            </w:r>
          </w:p>
        </w:tc>
        <w:tc>
          <w:tcPr>
            <w:tcW w:w="3840" w:type="dxa"/>
            <w:vAlign w:val="bottom"/>
            <w:shd w:val="clear" w:color="auto" w:fill="CCEEFF"/>
          </w:tcPr>
          <w:p>
            <w:pPr>
              <w:spacing w:after="0"/>
              <w:rPr>
                <w:sz w:val="24"/>
                <w:szCs w:val="24"/>
                <w:color w:val="auto"/>
              </w:rPr>
            </w:pP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2020</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2,285</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2022</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12,187</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23,420</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82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Amounts are for the nine months ending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March 31, 2019,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2018 or March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2018 or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231"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compensation on a pretax basis. As currently established, the Company is not required to make and has not made any contributions to the 401(k)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5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5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2018</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2019</w:t>
            </w:r>
          </w:p>
        </w:tc>
        <w:tc>
          <w:tcPr>
            <w:tcW w:w="16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47,333,333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52,500,000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10,698,963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12,381,253</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7,180,890</w:t>
            </w:r>
          </w:p>
        </w:tc>
      </w:tr>
      <w:tr>
        <w:trPr>
          <w:trHeight w:val="20"/>
        </w:trPr>
        <w:tc>
          <w:tcPr>
            <w:tcW w:w="5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59,714,586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130,379,853</w:t>
            </w:r>
          </w:p>
        </w:tc>
      </w:tr>
      <w:tr>
        <w:trPr>
          <w:trHeight w:val="20"/>
        </w:trPr>
        <w:tc>
          <w:tcPr>
            <w:tcW w:w="5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225" w:lineRule="exact"/>
        <w:rPr>
          <w:sz w:val="20"/>
          <w:szCs w:val="20"/>
          <w:color w:val="auto"/>
        </w:rPr>
      </w:pPr>
    </w:p>
    <w:p>
      <w:pPr>
        <w:jc w:val="both"/>
        <w:ind w:firstLine="348"/>
        <w:spacing w:after="0" w:line="290" w:lineRule="auto"/>
        <w:rPr>
          <w:sz w:val="20"/>
          <w:szCs w:val="20"/>
          <w:color w:val="auto"/>
        </w:rPr>
      </w:pPr>
      <w:r>
        <w:rPr>
          <w:rFonts w:ascii="Arial" w:cs="Arial" w:eastAsia="Arial" w:hAnsi="Arial"/>
          <w:sz w:val="16"/>
          <w:szCs w:val="16"/>
          <w:color w:val="auto"/>
        </w:rPr>
        <w:t>The pro forma basic and diluted net loss per share attributable to common stockholders for the three months ended March 31, 2019 give effect to adjustments arising upon the closing of a qualified IPO. The pro forma basic and diluted weighted average common shares outstanding used in the calculation of pro forma basic and diluted net loss per share attributable to common stockholders for the three months ended March 31, 2019 give effect to the automatic conversion upon a qualified IPO of all outstanding shares of Preferred Stock into shares of Common Stock as if the conversion had occurred on the later of January 1, 2019 or the issuance date of the Preferred Stock. Accordingly, the pro forma basic and diluted net loss per share attributable to stockholders does not include the effects of the cumulative preferred stock dividends. Shares to be sold in the offering are excluded from the pro forma basic and diluted loss per share attributable to common stockholders calculations.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Pro Forma Net Loss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Company's pro forma net loss per share attributable to common stockholders (in thousands, except per share data):</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Three Months Ended</w:t>
            </w:r>
          </w:p>
        </w:tc>
      </w:t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(39,884)</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convertible preferred stock dividends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3,041</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auto"/>
              </w:rPr>
              <w:t>Pro forma net loss attributable to common stockholders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31"/>
        </w:trPr>
        <w:tc>
          <w:tcPr>
            <w:tcW w:w="62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11,497</w:t>
            </w:r>
          </w:p>
        </w:tc>
      </w:tr>
      <w:tr>
        <w:trPr>
          <w:trHeight w:val="20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Pro forma weighted average shares outstanding after giving effect to the conversion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Preferred Stock</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107,083</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auto"/>
              </w:rPr>
              <w:t>Pro forma weighted average shares outstanding</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118,580</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Pro forma basic and diluted loss per share attributable to common stockholders, basic</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31" w:lineRule="exact"/>
        <w:rPr>
          <w:sz w:val="20"/>
          <w:szCs w:val="20"/>
          <w:color w:val="auto"/>
        </w:rPr>
      </w:pPr>
    </w:p>
    <w:p>
      <w:pPr>
        <w:jc w:val="both"/>
        <w:ind w:firstLine="544"/>
        <w:spacing w:after="0" w:line="318" w:lineRule="auto"/>
        <w:rPr>
          <w:sz w:val="20"/>
          <w:szCs w:val="20"/>
          <w:color w:val="auto"/>
        </w:rPr>
      </w:pPr>
      <w:r>
        <w:rPr>
          <w:rFonts w:ascii="Arial" w:cs="Arial" w:eastAsia="Arial" w:hAnsi="Arial"/>
          <w:sz w:val="15"/>
          <w:szCs w:val="15"/>
          <w:color w:val="auto"/>
        </w:rPr>
        <w:t>During the three months ended March 31, 2018 and 2019, the Company paid fees to Third Rock Ventures, LLC ("TRV"), an affiliate of one of the Company's principal stockholders, in exchange for consulting services. The Company recorded expenses related to such fees of less than $0.1 million during each of the three months ended March 31, 2018 and 2019. As of both December 31, 2018 and March 31, 2019, there was less than $0.1 million of amounts due to TRV for such services that were included in accounts payable and accrued expenses. Additionally, consultants that provide services to the Company are employees of TRV. The Company has issued an aggregate of 996,000 shares of Common Stock to these consultants in exchange for their continuing consulting services.</w:t>
      </w:r>
    </w:p>
    <w:p>
      <w:pPr>
        <w:spacing w:after="0" w:line="154"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During the three months ended March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jc w:val="both"/>
        <w:ind w:right="20" w:firstLine="474"/>
        <w:spacing w:after="0" w:line="268" w:lineRule="auto"/>
        <w:rPr>
          <w:sz w:val="20"/>
          <w:szCs w:val="20"/>
          <w:color w:val="auto"/>
        </w:rPr>
      </w:pPr>
      <w:r>
        <w:rPr>
          <w:rFonts w:ascii="Arial" w:cs="Arial" w:eastAsia="Arial" w:hAnsi="Arial"/>
          <w:sz w:val="18"/>
          <w:szCs w:val="18"/>
          <w:color w:val="auto"/>
        </w:rPr>
        <w:t>For its consolidated financial statements as of March 31, 2019 and for the three months then ended, the Company evaluated subsequent events through June 5, 2019, the date on which those consolidated financial statements were issued.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MORGAN STANLEY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BofA MERRILL LYNCH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auto"/>
        </w:rPr>
        <w:t>SVB LEERINK</w:t>
      </w:r>
    </w:p>
    <w:p>
      <w:pPr>
        <w:spacing w:after="0" w:line="236"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 2019</w:t>
      </w:r>
    </w:p>
    <w:p>
      <w:pPr>
        <w:spacing w:after="0" w:line="225"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2019 (25 days after the date of this prospectus), all dealers that effect transactions in these securities, whether or not participating in this</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jc w:val="both"/>
        <w:ind w:firstLine="406"/>
        <w:spacing w:after="0" w:line="306"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Securities and Exchange Commission, or SEC, registration fee, the Financial Industry Regulatory Authority, Inc. filing fee and the Nasdaq Global Market initial listing fee.</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r>
      <w:tr>
        <w:trPr>
          <w:trHeight w:val="210"/>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Accountants' fees and expenses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Transfer agent's fees and expenses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1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400"/>
              <w:spacing w:after="0"/>
              <w:rPr>
                <w:sz w:val="20"/>
                <w:szCs w:val="20"/>
                <w:color w:val="auto"/>
              </w:rPr>
            </w:pPr>
            <w:r>
              <w:rPr>
                <w:rFonts w:ascii="Arial" w:cs="Arial" w:eastAsia="Arial" w:hAnsi="Arial"/>
                <w:sz w:val="18"/>
                <w:szCs w:val="18"/>
                <w:color w:val="auto"/>
              </w:rPr>
              <w:t>To be filed by amendment.</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firstLine="557"/>
        <w:spacing w:after="0" w:line="253" w:lineRule="auto"/>
        <w:rPr>
          <w:sz w:val="20"/>
          <w:szCs w:val="20"/>
          <w:color w:val="auto"/>
        </w:rPr>
      </w:pPr>
      <w:r>
        <w:rPr>
          <w:rFonts w:ascii="Arial" w:cs="Arial" w:eastAsia="Arial" w:hAnsi="Arial"/>
          <w:sz w:val="18"/>
          <w:szCs w:val="18"/>
          <w:color w:val="auto"/>
        </w:rPr>
        <w:t>Section 102 of the Delaware General Corporation Law, or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that will be effective upon the closing of this offering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Our certificate of incorporation that will be effective upon the closing of the offering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7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certificate of incorporation that will be effective upon the closing of the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81"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97"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jc w:val="both"/>
        <w:ind w:firstLine="388"/>
        <w:spacing w:after="0" w:line="332" w:lineRule="auto"/>
        <w:rPr>
          <w:sz w:val="20"/>
          <w:szCs w:val="20"/>
          <w:color w:val="auto"/>
        </w:rPr>
      </w:pPr>
      <w:r>
        <w:rPr>
          <w:rFonts w:ascii="Arial" w:cs="Arial" w:eastAsia="Arial" w:hAnsi="Arial"/>
          <w:sz w:val="16"/>
          <w:szCs w:val="16"/>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3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 such indemnification is against public policy as expressed in the Securities Act and is therefore unenforceable.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Set forth below is information regarding shares of our common stock, shares of our preferred stock and stock options granted by us within the past three years that were not registered under the Securities Act. Also included is the consideration, if any, received by us for such shares and options and information relating to the section of the Securities Act, or rule of the SEC, under which exemption from registration was claimed.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Preferred Stock and Convertible Promissory Notes</w:t>
      </w:r>
    </w:p>
    <w:p>
      <w:pPr>
        <w:spacing w:after="0" w:line="225" w:lineRule="exact"/>
        <w:rPr>
          <w:sz w:val="20"/>
          <w:szCs w:val="20"/>
          <w:color w:val="auto"/>
        </w:rPr>
      </w:pPr>
    </w:p>
    <w:p>
      <w:pPr>
        <w:jc w:val="both"/>
        <w:ind w:right="20" w:firstLine="452"/>
        <w:spacing w:after="0" w:line="259" w:lineRule="auto"/>
        <w:rPr>
          <w:sz w:val="20"/>
          <w:szCs w:val="20"/>
          <w:color w:val="auto"/>
        </w:rPr>
      </w:pPr>
      <w:r>
        <w:rPr>
          <w:rFonts w:ascii="Arial" w:cs="Arial" w:eastAsia="Arial" w:hAnsi="Arial"/>
          <w:sz w:val="18"/>
          <w:szCs w:val="18"/>
          <w:color w:val="auto"/>
        </w:rPr>
        <w:t>On April 14, 2016, we issued and sold a convertible promissory note to one investor in the aggregate principal amount of $3,500,000. The note accrued interest at a rate of 6% per annum. On July 18, 2016, all principal and accrued but unpaid interest under the note was converted into shares of Series A preferred stock, at a price per share of $1.00.</w:t>
      </w:r>
    </w:p>
    <w:p>
      <w:pPr>
        <w:spacing w:after="0" w:line="194"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On July 18, 2016, we issued and sold 11,843,493 shares of our Series A preferred stock to one investor, consisting of (i) 5,156,507 shares sold for cash at a price per share of $1.00, for an aggregate purchase price of $5,156,507 and (ii) 6,686,986 shares issued upon conversion of $6,686,986 in outstanding principal and accrued but unpaid interest under our convertible promissory notes issued on October 15, 2015 and April 14, 2016, at a price per share of $1.00.</w:t>
      </w:r>
    </w:p>
    <w:p>
      <w:pPr>
        <w:spacing w:after="0" w:line="16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November 15, 2016, we issued and sold 5,156,507 shares of our Series A preferred stock to one investor at a price per share of $1.00 in cash, for an aggregate purchase price of $5,156,507.</w:t>
      </w:r>
    </w:p>
    <w:p>
      <w:pPr>
        <w:spacing w:after="0" w:line="186" w:lineRule="exact"/>
        <w:rPr>
          <w:sz w:val="20"/>
          <w:szCs w:val="20"/>
          <w:color w:val="auto"/>
        </w:rPr>
      </w:pPr>
    </w:p>
    <w:p>
      <w:pPr>
        <w:jc w:val="both"/>
        <w:ind w:firstLine="468"/>
        <w:spacing w:after="0" w:line="268" w:lineRule="auto"/>
        <w:rPr>
          <w:sz w:val="20"/>
          <w:szCs w:val="20"/>
          <w:color w:val="auto"/>
        </w:rPr>
      </w:pPr>
      <w:r>
        <w:rPr>
          <w:rFonts w:ascii="Arial" w:cs="Arial" w:eastAsia="Arial" w:hAnsi="Arial"/>
          <w:sz w:val="18"/>
          <w:szCs w:val="18"/>
          <w:color w:val="auto"/>
        </w:rPr>
        <w:t>On February 17, 2017, we issued and sold 6,333,333 shares of our Series A preferred stock to one investor at a price per share of $1.00 in cash, for an aggregate purchase price of $6,333,333.</w:t>
      </w:r>
    </w:p>
    <w:p>
      <w:pPr>
        <w:spacing w:after="0" w:line="186" w:lineRule="exact"/>
        <w:rPr>
          <w:sz w:val="20"/>
          <w:szCs w:val="20"/>
          <w:color w:val="auto"/>
        </w:rPr>
      </w:pPr>
    </w:p>
    <w:p>
      <w:pPr>
        <w:jc w:val="both"/>
        <w:ind w:firstLine="368"/>
        <w:spacing w:after="0" w:line="268" w:lineRule="auto"/>
        <w:rPr>
          <w:sz w:val="20"/>
          <w:szCs w:val="20"/>
          <w:color w:val="auto"/>
        </w:rPr>
      </w:pPr>
      <w:r>
        <w:rPr>
          <w:rFonts w:ascii="Arial" w:cs="Arial" w:eastAsia="Arial" w:hAnsi="Arial"/>
          <w:sz w:val="18"/>
          <w:szCs w:val="18"/>
          <w:color w:val="auto"/>
        </w:rPr>
        <w:t>On April 28, 2017, we issued and sold 5,000,000 shares of our Series A preferred stock to one investor at a price per share of $1.00 in cash, for an aggregate purchase price of $5,000,000.</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3, 2017,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January 4,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On March 13,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May 9, 2018, we issued and sold 6,333,333 shares of our Series A preferred stock to two investors at a price per share of $1.00 in cash, for an aggregate purchase price of $6,333,333.</w:t>
      </w:r>
    </w:p>
    <w:p>
      <w:pPr>
        <w:spacing w:after="0" w:line="186"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On June 6, 2018, we issued and sold 6,333,334 shares of our Series A preferred stock to two investors at a price per share of $1.00 in cash, for an aggregate purchase price of $6,333,334.</w:t>
      </w:r>
    </w:p>
    <w:p>
      <w:pPr>
        <w:spacing w:after="0" w:line="186"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On August 24, 2018, we issued and sold 40,000,000 shares of our Series B preferred stock to 20 investors at a price per share of $2.00 in cash, for an aggregate purchase price of $80,000,000.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2019 we issued 12,500,000 shares of our Series B preferred stock to one investor in exchange for a license.</w:t>
      </w:r>
    </w:p>
    <w:p>
      <w:pPr>
        <w:spacing w:after="0" w:line="225"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Common Stock</w:t>
      </w:r>
    </w:p>
    <w:p>
      <w:pPr>
        <w:spacing w:after="0" w:line="22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Between June 5, 2016 and June 5, 2019, we issued an aggregate of 18,254,818 shares of restricted common stock, for cash with purchase prices ranging from $0.001 to $0.01 per share, to employees, directors, advisors and consultants, including 12,719,818 shares issued pursuant to our 2016 Stock Incentive Plan, as amended.</w:t>
      </w:r>
    </w:p>
    <w:p>
      <w:pPr>
        <w:spacing w:after="0" w:line="194" w:lineRule="exact"/>
        <w:rPr>
          <w:sz w:val="20"/>
          <w:szCs w:val="20"/>
          <w:color w:val="auto"/>
        </w:rPr>
      </w:pPr>
    </w:p>
    <w:p>
      <w:pPr>
        <w:jc w:val="both"/>
        <w:ind w:firstLine="550"/>
        <w:spacing w:after="0" w:line="255" w:lineRule="auto"/>
        <w:rPr>
          <w:sz w:val="20"/>
          <w:szCs w:val="20"/>
          <w:color w:val="auto"/>
        </w:rPr>
      </w:pPr>
      <w:r>
        <w:rPr>
          <w:rFonts w:ascii="Arial" w:cs="Arial" w:eastAsia="Arial" w:hAnsi="Arial"/>
          <w:sz w:val="18"/>
          <w:szCs w:val="18"/>
          <w:color w:val="auto"/>
        </w:rPr>
        <w:t>The shares of common stock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Grants and Exercises</w:t>
      </w:r>
    </w:p>
    <w:p>
      <w:pPr>
        <w:spacing w:after="0" w:line="225"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Between June 5, 2016 and June 5, 2019, we granted options to purchase an aggregate of 11,356,963 shares of common stock, with exercise prices ranging from $0.69 to $1.58 per share, to our employees, directors, advisors and consultants pursuant to our 2016 Stock Incentive Plan. Between June 5, 2016 and June 5, 2019, we issued 197,448 shares of our common stock upon the exercise of stock options outstanding under our 2016 Stock Incentive Plan for aggregate consideration of $220,315.</w:t>
      </w:r>
    </w:p>
    <w:p>
      <w:pPr>
        <w:spacing w:after="0" w:line="197"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stock options and the shares of common stock issued upon the exercise of stock options described in this section (c)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r>
      <w:tr>
        <w:trPr>
          <w:trHeight w:val="161"/>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tcPr>
          <w:p>
            <w:pPr>
              <w:ind w:left="344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424"/>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Amended and Restated Certificate of Incorporation, as amended, of the Registrant</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Bylaws of the Registrant</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3"/>
              </w:rPr>
              <w:t>Form of Restated Certificate of Incorporation of the Registrant (to be effective upon the closing of this offering)</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7"/>
              </w:rPr>
              <w:t>Form of Amended and Restated Bylaws of the Registrant (to be effective upon the closing of this offering)</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Opinion of Wilmer Cutler Pickering Hale and Dorr LLP</w:t>
            </w:r>
          </w:p>
        </w:tc>
      </w:tr>
      <w:tr>
        <w:trPr>
          <w:trHeight w:val="426"/>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88"/>
              </w:rPr>
              <w:t>Amended and Restated Investors' Rights Agreement, dated as of August 24, 2018, by and among the Registrant and</w:t>
            </w:r>
          </w:p>
        </w:tc>
      </w:tr>
      <w:tr>
        <w:trPr>
          <w:trHeight w:val="222"/>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the other parties thereto</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2016 Stock Incentive Plan, as amended</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Incentive Stock Option Agreement under the 2016 Stock Incentive Plan</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Non-Statutory Stock Option Agreement under the 2016 Stock Incentive Plan</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Restricted Stock Agreement under the 2016 Stock Incentive Plan</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2019 Stock Incentive Plan</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Stock Option Agreement under the 2019 Stock Incentive Plan</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2019 Employee Stock Purchase Plan</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Summary of Non-Employee Director Compensation Program</w:t>
            </w:r>
          </w:p>
        </w:tc>
      </w:tr>
      <w:tr>
        <w:trPr>
          <w:trHeight w:val="426"/>
        </w:trPr>
        <w:tc>
          <w:tcPr>
            <w:tcW w:w="9120" w:type="dxa"/>
            <w:vAlign w:val="bottom"/>
            <w:gridSpan w:val="5"/>
          </w:tcPr>
          <w:p>
            <w:pPr>
              <w:ind w:left="220"/>
              <w:spacing w:after="0"/>
              <w:rPr>
                <w:sz w:val="20"/>
                <w:szCs w:val="20"/>
                <w:color w:val="auto"/>
              </w:rPr>
            </w:pPr>
            <w:r>
              <w:rPr>
                <w:rFonts w:ascii="Arial" w:cs="Arial" w:eastAsia="Arial" w:hAnsi="Arial"/>
                <w:sz w:val="18"/>
                <w:szCs w:val="18"/>
                <w:color w:val="auto"/>
                <w:w w:val="97"/>
              </w:rPr>
              <w:t xml:space="preserve">10.10 </w:t>
            </w:r>
            <w:r>
              <w:rPr>
                <w:rFonts w:ascii="Arial" w:cs="Arial" w:eastAsia="Arial" w:hAnsi="Arial"/>
                <w:sz w:val="29"/>
                <w:szCs w:val="29"/>
                <w:color w:val="auto"/>
                <w:w w:val="97"/>
                <w:vertAlign w:val="superscript"/>
              </w:rPr>
              <w:t>†</w:t>
            </w:r>
            <w:r>
              <w:rPr>
                <w:rFonts w:ascii="Arial" w:cs="Arial" w:eastAsia="Arial" w:hAnsi="Arial"/>
                <w:sz w:val="35"/>
                <w:szCs w:val="35"/>
                <w:color w:val="auto"/>
                <w:w w:val="97"/>
                <w:vertAlign w:val="subscript"/>
              </w:rPr>
              <w:t>**</w:t>
            </w:r>
            <w:r>
              <w:rPr>
                <w:rFonts w:ascii="Arial" w:cs="Arial" w:eastAsia="Arial" w:hAnsi="Arial"/>
                <w:sz w:val="18"/>
                <w:szCs w:val="18"/>
                <w:color w:val="auto"/>
                <w:w w:val="97"/>
              </w:rPr>
              <w:t>Right of Reference and License Agreement, dated as of February 8, 2019, by and among the Registrant,</w:t>
            </w:r>
          </w:p>
        </w:tc>
      </w:tr>
      <w:tr>
        <w:trPr>
          <w:trHeight w:val="222"/>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GlaxoSmithKline Intellectual Property (No. 2) Limited, GlaxoSmithKline LLC and Glaxo Group Limited</w:t>
            </w:r>
          </w:p>
        </w:tc>
      </w:tr>
      <w:tr>
        <w:trPr>
          <w:trHeight w:val="426"/>
        </w:trPr>
        <w:tc>
          <w:tcPr>
            <w:tcW w:w="62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89"/>
              </w:rPr>
              <w:t>Lease for 26 Landsdowne Street, dated November 22, 2017, by and between the UP 26 Landsdowne, LLC and the</w:t>
            </w:r>
          </w:p>
        </w:tc>
      </w:tr>
      <w:tr>
        <w:trPr>
          <w:trHeight w:val="222"/>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Registrant</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Offer of Employment, dated June 13, 2016, by and between the Registrant and Robert Gould</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Offer of Employment, dated December 6, 2018, by and between the Registrant and Bryan Stuart</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10.14**</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Offer of Employment, dated August 10, 2016, by and between the Registrant and Diego Cadavid</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5"/>
              </w:rPr>
              <w:t>Form of Indemnification Agreement between the Registrant and each of its Executive Officers and Directors</w:t>
            </w:r>
          </w:p>
        </w:tc>
      </w:tr>
      <w:tr>
        <w:trPr>
          <w:trHeight w:val="432"/>
        </w:trPr>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Subsidiary of the Registrant</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432"/>
        </w:trPr>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180" w:type="dxa"/>
            <w:vAlign w:val="bottom"/>
          </w:tcPr>
          <w:p>
            <w:pPr>
              <w:spacing w:after="0"/>
              <w:rPr>
                <w:sz w:val="9"/>
                <w:szCs w:val="9"/>
                <w:color w:val="auto"/>
              </w:rPr>
            </w:pPr>
          </w:p>
        </w:tc>
      </w:tr>
    </w:tbl>
    <w:p>
      <w:pPr>
        <w:spacing w:after="0" w:line="235" w:lineRule="exact"/>
        <w:rPr>
          <w:sz w:val="20"/>
          <w:szCs w:val="20"/>
          <w:color w:val="auto"/>
        </w:rPr>
      </w:pPr>
    </w:p>
    <w:p>
      <w:pPr>
        <w:ind w:left="1680" w:hanging="531"/>
        <w:spacing w:after="0"/>
        <w:tabs>
          <w:tab w:leader="none" w:pos="1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3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Certain portions of the exhibit are subject to confidential treatment.</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958"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jc w:val="both"/>
        <w:ind w:firstLine="415"/>
        <w:spacing w:after="0" w:line="290" w:lineRule="auto"/>
        <w:tabs>
          <w:tab w:leader="none" w:pos="75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2"/>
          <w:numId w:val="12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50" w:lineRule="exact"/>
        <w:rPr>
          <w:sz w:val="20"/>
          <w:szCs w:val="20"/>
          <w:color w:val="auto"/>
        </w:rPr>
      </w:pPr>
    </w:p>
    <w:p>
      <w:pPr>
        <w:spacing w:after="0"/>
        <w:tabs>
          <w:tab w:leader="none" w:pos="8600" w:val="left"/>
          <w:tab w:leader="none" w:pos="10620" w:val="left"/>
        </w:tabs>
        <w:rPr>
          <w:sz w:val="20"/>
          <w:szCs w:val="20"/>
          <w:color w:val="auto"/>
        </w:rPr>
      </w:pPr>
      <w:r>
        <w:rPr>
          <w:rFonts w:ascii="Arial" w:cs="Arial" w:eastAsia="Arial" w:hAnsi="Arial"/>
          <w:sz w:val="16"/>
          <w:szCs w:val="16"/>
          <w:color w:val="auto"/>
        </w:rPr>
        <w:t>by the undersigned, thereunto duly authorized, in the City of Cambridge, Commonwealth of Massachusetts,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2019.</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FULCRUM THERAPEUTICS, INC.</w:t>
      </w: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Robert J. Gould, Ph.D.</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231"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6"/>
          <w:szCs w:val="16"/>
          <w:color w:val="auto"/>
        </w:rPr>
        <w:t>We, the undersigned officers and directors of Fulcrum Therapeutics, Inc., hereby severally constitute and appoint Robert J. Gould and Bryan Stuart,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any other registration statement for the same offering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172" w:lineRule="exact"/>
        <w:rPr>
          <w:sz w:val="20"/>
          <w:szCs w:val="20"/>
          <w:color w:val="auto"/>
        </w:rPr>
      </w:pPr>
    </w:p>
    <w:p>
      <w:pPr>
        <w:jc w:val="both"/>
        <w:ind w:right="20" w:firstLine="36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Robert J. Gould, Ph.D.</w:t>
            </w:r>
          </w:p>
        </w:tc>
        <w:tc>
          <w:tcPr>
            <w:tcW w:w="4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(Principal Executive Officer)</w:t>
            </w: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4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Chief Operating Officer (Principal Financial</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Bryan Stuart</w:t>
            </w:r>
          </w:p>
        </w:tc>
        <w:tc>
          <w:tcPr>
            <w:tcW w:w="4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Officer)</w:t>
            </w: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4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Vice President, Finance &amp; Accounting</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Peter Thomson</w:t>
            </w:r>
          </w:p>
        </w:tc>
        <w:tc>
          <w:tcPr>
            <w:tcW w:w="4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(Principal Accounting Officer)</w:t>
            </w: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4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5"/>
              </w:rPr>
              <w:t>Mark Levin</w:t>
            </w:r>
          </w:p>
        </w:tc>
        <w:tc>
          <w:tcPr>
            <w:tcW w:w="428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4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2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8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7"/>
              </w:rPr>
              <w:t>James J. Collins, Ph.D.</w:t>
            </w:r>
          </w:p>
        </w:tc>
        <w:tc>
          <w:tcPr>
            <w:tcW w:w="428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4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93"/>
              </w:rPr>
              <w:t>Alan Ezekowitz, MBChB, D. Phil</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84"/>
              </w:rPr>
              <w:t>James Geraghty</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116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vMerge w:val="restart"/>
          </w:tcPr>
          <w:p>
            <w:pPr>
              <w:jc w:val="right"/>
              <w:ind w:right="1292"/>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900" w:type="dxa"/>
            <w:vAlign w:val="bottom"/>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300" w:type="dxa"/>
            <w:vAlign w:val="bottom"/>
            <w:gridSpan w:val="2"/>
          </w:tcPr>
          <w:p>
            <w:pPr>
              <w:jc w:val="center"/>
              <w:ind w:right="2872"/>
              <w:spacing w:after="0"/>
              <w:rPr>
                <w:sz w:val="20"/>
                <w:szCs w:val="20"/>
                <w:color w:val="auto"/>
              </w:rPr>
            </w:pPr>
            <w:r>
              <w:rPr>
                <w:rFonts w:ascii="Arial" w:cs="Arial" w:eastAsia="Arial" w:hAnsi="Arial"/>
                <w:sz w:val="18"/>
                <w:szCs w:val="18"/>
                <w:color w:val="auto"/>
                <w:w w:val="90"/>
              </w:rPr>
              <w:t>Kate Haviland</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7" w:name="page268"/>
    <w:bookmarkEnd w:id="2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LEASE FOR</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26 LANDSDOWNE STREET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Cambridge, Massachusetts</w:t>
      </w: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LANDLORD</w:t>
      </w:r>
    </w:p>
    <w:p>
      <w:pPr>
        <w:spacing w:after="0" w:line="5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UP 26 LANDSDOWNE,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TENANT</w:t>
      </w:r>
    </w:p>
    <w:p>
      <w:pPr>
        <w:spacing w:after="0" w:line="3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Dated: November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5" w:right="239" w:bottom="1440" w:gutter="0" w:footer="0" w:header="0"/>
        </w:sectPr>
      </w:pPr>
    </w:p>
    <w:bookmarkStart w:id="269" w:name="page270"/>
    <w:bookmarkEnd w:id="269"/>
    <w:p>
      <w:pPr>
        <w:jc w:val="center"/>
        <w:ind w:right="40"/>
        <w:spacing w:after="0"/>
        <w:rPr>
          <w:sz w:val="20"/>
          <w:szCs w:val="20"/>
          <w:color w:val="auto"/>
        </w:rPr>
      </w:pPr>
      <w:r>
        <w:rPr>
          <w:rFonts w:ascii="Arial" w:cs="Arial" w:eastAsia="Arial" w:hAnsi="Arial"/>
          <w:sz w:val="18"/>
          <w:szCs w:val="18"/>
          <w:b w:val="1"/>
          <w:bCs w:val="1"/>
          <w:u w:val="single" w:color="auto"/>
          <w:color w:val="auto"/>
        </w:rPr>
        <w:t>26 LANDSDOWNE STREET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500" w:type="dxa"/>
            <w:vAlign w:val="bottom"/>
          </w:tcPr>
          <w:p>
            <w:pPr>
              <w:spacing w:after="0"/>
              <w:rPr>
                <w:sz w:val="20"/>
                <w:szCs w:val="20"/>
                <w:color w:val="auto"/>
              </w:rPr>
            </w:pPr>
            <w:r>
              <w:rPr>
                <w:rFonts w:ascii="Arial" w:cs="Arial" w:eastAsia="Arial" w:hAnsi="Arial"/>
                <w:sz w:val="18"/>
                <w:szCs w:val="18"/>
                <w:color w:val="auto"/>
              </w:rPr>
              <w:t>ARTICLE 1</w:t>
            </w:r>
          </w:p>
        </w:tc>
        <w:tc>
          <w:tcPr>
            <w:tcW w:w="8980" w:type="dxa"/>
            <w:vAlign w:val="bottom"/>
          </w:tcPr>
          <w:p>
            <w:pPr>
              <w:ind w:left="120"/>
              <w:spacing w:after="0"/>
              <w:rPr>
                <w:sz w:val="20"/>
                <w:szCs w:val="20"/>
                <w:color w:val="auto"/>
              </w:rPr>
            </w:pPr>
            <w:r>
              <w:rPr>
                <w:rFonts w:ascii="Arial" w:cs="Arial" w:eastAsia="Arial" w:hAnsi="Arial"/>
                <w:sz w:val="18"/>
                <w:szCs w:val="18"/>
                <w:color w:val="auto"/>
              </w:rPr>
              <w:t>RECITALS, DEFINITIONS AND BASE LEASE TERMS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8980" w:type="dxa"/>
            <w:vAlign w:val="bottom"/>
          </w:tcPr>
          <w:p>
            <w:pPr>
              <w:ind w:left="800"/>
              <w:spacing w:after="0"/>
              <w:rPr>
                <w:sz w:val="20"/>
                <w:szCs w:val="20"/>
                <w:color w:val="auto"/>
              </w:rPr>
            </w:pPr>
            <w:r>
              <w:rPr>
                <w:rFonts w:ascii="Arial" w:cs="Arial" w:eastAsia="Arial" w:hAnsi="Arial"/>
                <w:sz w:val="18"/>
                <w:szCs w:val="18"/>
                <w:color w:val="auto"/>
              </w:rPr>
              <w:t>Recitals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8980" w:type="dxa"/>
            <w:vAlign w:val="bottom"/>
          </w:tcPr>
          <w:p>
            <w:pPr>
              <w:ind w:left="800"/>
              <w:spacing w:after="0"/>
              <w:rPr>
                <w:sz w:val="20"/>
                <w:szCs w:val="20"/>
                <w:color w:val="auto"/>
              </w:rPr>
            </w:pPr>
            <w:r>
              <w:rPr>
                <w:rFonts w:ascii="Arial" w:cs="Arial" w:eastAsia="Arial" w:hAnsi="Arial"/>
                <w:sz w:val="18"/>
                <w:szCs w:val="18"/>
                <w:color w:val="auto"/>
              </w:rPr>
              <w:t>Definitions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8980" w:type="dxa"/>
            <w:vAlign w:val="bottom"/>
          </w:tcPr>
          <w:p>
            <w:pPr>
              <w:ind w:left="800"/>
              <w:spacing w:after="0"/>
              <w:rPr>
                <w:sz w:val="20"/>
                <w:szCs w:val="20"/>
                <w:color w:val="auto"/>
              </w:rPr>
            </w:pPr>
            <w:r>
              <w:rPr>
                <w:rFonts w:ascii="Arial" w:cs="Arial" w:eastAsia="Arial" w:hAnsi="Arial"/>
                <w:sz w:val="18"/>
                <w:szCs w:val="18"/>
                <w:color w:val="auto"/>
              </w:rPr>
              <w:t>Base Lease Terms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2</w:t>
            </w:r>
          </w:p>
        </w:tc>
        <w:tc>
          <w:tcPr>
            <w:tcW w:w="8980" w:type="dxa"/>
            <w:vAlign w:val="bottom"/>
          </w:tcPr>
          <w:p>
            <w:pPr>
              <w:ind w:left="120"/>
              <w:spacing w:after="0"/>
              <w:rPr>
                <w:sz w:val="20"/>
                <w:szCs w:val="20"/>
                <w:color w:val="auto"/>
              </w:rPr>
            </w:pPr>
            <w:r>
              <w:rPr>
                <w:rFonts w:ascii="Arial" w:cs="Arial" w:eastAsia="Arial" w:hAnsi="Arial"/>
                <w:sz w:val="18"/>
                <w:szCs w:val="18"/>
                <w:color w:val="auto"/>
              </w:rPr>
              <w:t>PREMISES AND TERM</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8980" w:type="dxa"/>
            <w:vAlign w:val="bottom"/>
          </w:tcPr>
          <w:p>
            <w:pPr>
              <w:ind w:left="800"/>
              <w:spacing w:after="0"/>
              <w:rPr>
                <w:sz w:val="20"/>
                <w:szCs w:val="20"/>
                <w:color w:val="auto"/>
              </w:rPr>
            </w:pPr>
            <w:r>
              <w:rPr>
                <w:rFonts w:ascii="Arial" w:cs="Arial" w:eastAsia="Arial" w:hAnsi="Arial"/>
                <w:sz w:val="18"/>
                <w:szCs w:val="18"/>
                <w:color w:val="auto"/>
              </w:rPr>
              <w:t>Premises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8980" w:type="dxa"/>
            <w:vAlign w:val="bottom"/>
          </w:tcPr>
          <w:p>
            <w:pPr>
              <w:ind w:left="800"/>
              <w:spacing w:after="0"/>
              <w:rPr>
                <w:sz w:val="20"/>
                <w:szCs w:val="20"/>
                <w:color w:val="auto"/>
              </w:rPr>
            </w:pPr>
            <w:r>
              <w:rPr>
                <w:rFonts w:ascii="Arial" w:cs="Arial" w:eastAsia="Arial" w:hAnsi="Arial"/>
                <w:sz w:val="18"/>
                <w:szCs w:val="18"/>
                <w:color w:val="auto"/>
              </w:rPr>
              <w:t>Appurtenant Rights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8980" w:type="dxa"/>
            <w:vAlign w:val="bottom"/>
          </w:tcPr>
          <w:p>
            <w:pPr>
              <w:ind w:left="800"/>
              <w:spacing w:after="0"/>
              <w:rPr>
                <w:sz w:val="20"/>
                <w:szCs w:val="20"/>
                <w:color w:val="auto"/>
              </w:rPr>
            </w:pPr>
            <w:r>
              <w:rPr>
                <w:rFonts w:ascii="Arial" w:cs="Arial" w:eastAsia="Arial" w:hAnsi="Arial"/>
                <w:sz w:val="18"/>
                <w:szCs w:val="18"/>
                <w:color w:val="auto"/>
              </w:rPr>
              <w:t>Landlord’s Reservations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8980" w:type="dxa"/>
            <w:vAlign w:val="bottom"/>
          </w:tcPr>
          <w:p>
            <w:pPr>
              <w:ind w:left="800"/>
              <w:spacing w:after="0"/>
              <w:rPr>
                <w:sz w:val="20"/>
                <w:szCs w:val="20"/>
                <w:color w:val="auto"/>
              </w:rPr>
            </w:pPr>
            <w:r>
              <w:rPr>
                <w:rFonts w:ascii="Arial" w:cs="Arial" w:eastAsia="Arial" w:hAnsi="Arial"/>
                <w:sz w:val="18"/>
                <w:szCs w:val="18"/>
                <w:color w:val="auto"/>
              </w:rPr>
              <w:t>Parking Passes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8980" w:type="dxa"/>
            <w:vAlign w:val="bottom"/>
          </w:tcPr>
          <w:p>
            <w:pPr>
              <w:ind w:left="800"/>
              <w:spacing w:after="0"/>
              <w:rPr>
                <w:sz w:val="20"/>
                <w:szCs w:val="20"/>
                <w:color w:val="auto"/>
              </w:rPr>
            </w:pPr>
            <w:r>
              <w:rPr>
                <w:rFonts w:ascii="Arial" w:cs="Arial" w:eastAsia="Arial" w:hAnsi="Arial"/>
                <w:sz w:val="18"/>
                <w:szCs w:val="18"/>
                <w:color w:val="auto"/>
              </w:rPr>
              <w:t>Lease Commencement Date and Term</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8980" w:type="dxa"/>
            <w:vAlign w:val="bottom"/>
          </w:tcPr>
          <w:p>
            <w:pPr>
              <w:ind w:left="800"/>
              <w:spacing w:after="0"/>
              <w:rPr>
                <w:sz w:val="20"/>
                <w:szCs w:val="20"/>
                <w:color w:val="auto"/>
              </w:rPr>
            </w:pPr>
            <w:r>
              <w:rPr>
                <w:rFonts w:ascii="Arial" w:cs="Arial" w:eastAsia="Arial" w:hAnsi="Arial"/>
                <w:sz w:val="18"/>
                <w:szCs w:val="18"/>
                <w:color w:val="auto"/>
              </w:rPr>
              <w:t>Extension Options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3</w:t>
            </w:r>
          </w:p>
        </w:tc>
        <w:tc>
          <w:tcPr>
            <w:tcW w:w="8980" w:type="dxa"/>
            <w:vAlign w:val="bottom"/>
          </w:tcPr>
          <w:p>
            <w:pPr>
              <w:ind w:left="120"/>
              <w:spacing w:after="0"/>
              <w:rPr>
                <w:sz w:val="20"/>
                <w:szCs w:val="20"/>
                <w:color w:val="auto"/>
              </w:rPr>
            </w:pPr>
            <w:r>
              <w:rPr>
                <w:rFonts w:ascii="Arial" w:cs="Arial" w:eastAsia="Arial" w:hAnsi="Arial"/>
                <w:sz w:val="18"/>
                <w:szCs w:val="18"/>
                <w:color w:val="auto"/>
              </w:rPr>
              <w:t>RENT AND OTHER PAYMENTS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8980" w:type="dxa"/>
            <w:vAlign w:val="bottom"/>
          </w:tcPr>
          <w:p>
            <w:pPr>
              <w:ind w:left="800"/>
              <w:spacing w:after="0"/>
              <w:rPr>
                <w:sz w:val="20"/>
                <w:szCs w:val="20"/>
                <w:color w:val="auto"/>
              </w:rPr>
            </w:pPr>
            <w:r>
              <w:rPr>
                <w:rFonts w:ascii="Arial" w:cs="Arial" w:eastAsia="Arial" w:hAnsi="Arial"/>
                <w:sz w:val="18"/>
                <w:szCs w:val="18"/>
                <w:color w:val="auto"/>
              </w:rPr>
              <w:t>Annual Fixed Rent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8980" w:type="dxa"/>
            <w:vAlign w:val="bottom"/>
          </w:tcPr>
          <w:p>
            <w:pPr>
              <w:ind w:left="800"/>
              <w:spacing w:after="0"/>
              <w:rPr>
                <w:sz w:val="20"/>
                <w:szCs w:val="20"/>
                <w:color w:val="auto"/>
              </w:rPr>
            </w:pPr>
            <w:r>
              <w:rPr>
                <w:rFonts w:ascii="Arial" w:cs="Arial" w:eastAsia="Arial" w:hAnsi="Arial"/>
                <w:sz w:val="18"/>
                <w:szCs w:val="18"/>
                <w:color w:val="auto"/>
              </w:rPr>
              <w:t>Real Estate Taxes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8980" w:type="dxa"/>
            <w:vAlign w:val="bottom"/>
          </w:tcPr>
          <w:p>
            <w:pPr>
              <w:ind w:left="800"/>
              <w:spacing w:after="0"/>
              <w:rPr>
                <w:sz w:val="20"/>
                <w:szCs w:val="20"/>
                <w:color w:val="auto"/>
              </w:rPr>
            </w:pPr>
            <w:r>
              <w:rPr>
                <w:rFonts w:ascii="Arial" w:cs="Arial" w:eastAsia="Arial" w:hAnsi="Arial"/>
                <w:sz w:val="18"/>
                <w:szCs w:val="18"/>
                <w:color w:val="auto"/>
              </w:rPr>
              <w:t>Operating Expenses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8980" w:type="dxa"/>
            <w:vAlign w:val="bottom"/>
          </w:tcPr>
          <w:p>
            <w:pPr>
              <w:ind w:left="800"/>
              <w:spacing w:after="0"/>
              <w:rPr>
                <w:sz w:val="20"/>
                <w:szCs w:val="20"/>
                <w:color w:val="auto"/>
              </w:rPr>
            </w:pPr>
            <w:r>
              <w:rPr>
                <w:rFonts w:ascii="Arial" w:cs="Arial" w:eastAsia="Arial" w:hAnsi="Arial"/>
                <w:sz w:val="18"/>
                <w:szCs w:val="18"/>
                <w:color w:val="auto"/>
              </w:rPr>
              <w:t>Utility Charges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8980" w:type="dxa"/>
            <w:vAlign w:val="bottom"/>
          </w:tcPr>
          <w:p>
            <w:pPr>
              <w:ind w:left="800"/>
              <w:spacing w:after="0"/>
              <w:rPr>
                <w:sz w:val="20"/>
                <w:szCs w:val="20"/>
                <w:color w:val="auto"/>
              </w:rPr>
            </w:pPr>
            <w:r>
              <w:rPr>
                <w:rFonts w:ascii="Arial" w:cs="Arial" w:eastAsia="Arial" w:hAnsi="Arial"/>
                <w:sz w:val="18"/>
                <w:szCs w:val="18"/>
                <w:color w:val="auto"/>
              </w:rPr>
              <w:t>Above Standard Services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8980" w:type="dxa"/>
            <w:vAlign w:val="bottom"/>
          </w:tcPr>
          <w:p>
            <w:pPr>
              <w:ind w:left="800"/>
              <w:spacing w:after="0"/>
              <w:rPr>
                <w:sz w:val="20"/>
                <w:szCs w:val="20"/>
                <w:color w:val="auto"/>
              </w:rPr>
            </w:pPr>
            <w:r>
              <w:rPr>
                <w:rFonts w:ascii="Arial" w:cs="Arial" w:eastAsia="Arial" w:hAnsi="Arial"/>
                <w:sz w:val="18"/>
                <w:szCs w:val="18"/>
                <w:color w:val="auto"/>
              </w:rPr>
              <w:t>No Offsets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4</w:t>
            </w:r>
          </w:p>
        </w:tc>
        <w:tc>
          <w:tcPr>
            <w:tcW w:w="8980" w:type="dxa"/>
            <w:vAlign w:val="bottom"/>
          </w:tcPr>
          <w:p>
            <w:pPr>
              <w:ind w:left="120"/>
              <w:spacing w:after="0"/>
              <w:rPr>
                <w:sz w:val="20"/>
                <w:szCs w:val="20"/>
                <w:color w:val="auto"/>
              </w:rPr>
            </w:pPr>
            <w:r>
              <w:rPr>
                <w:rFonts w:ascii="Arial" w:cs="Arial" w:eastAsia="Arial" w:hAnsi="Arial"/>
                <w:sz w:val="18"/>
                <w:szCs w:val="18"/>
                <w:color w:val="auto"/>
              </w:rPr>
              <w:t>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8980" w:type="dxa"/>
            <w:vAlign w:val="bottom"/>
          </w:tcPr>
          <w:p>
            <w:pPr>
              <w:ind w:left="800"/>
              <w:spacing w:after="0"/>
              <w:rPr>
                <w:sz w:val="20"/>
                <w:szCs w:val="20"/>
                <w:color w:val="auto"/>
              </w:rPr>
            </w:pPr>
            <w:r>
              <w:rPr>
                <w:rFonts w:ascii="Arial" w:cs="Arial" w:eastAsia="Arial" w:hAnsi="Arial"/>
                <w:sz w:val="18"/>
                <w:szCs w:val="18"/>
                <w:color w:val="auto"/>
              </w:rPr>
              <w:t>Consent Required for Tenant’s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8980" w:type="dxa"/>
            <w:vAlign w:val="bottom"/>
          </w:tcPr>
          <w:p>
            <w:pPr>
              <w:ind w:left="800"/>
              <w:spacing w:after="0"/>
              <w:rPr>
                <w:sz w:val="20"/>
                <w:szCs w:val="20"/>
                <w:color w:val="auto"/>
              </w:rPr>
            </w:pPr>
            <w:r>
              <w:rPr>
                <w:rFonts w:ascii="Arial" w:cs="Arial" w:eastAsia="Arial" w:hAnsi="Arial"/>
                <w:sz w:val="18"/>
                <w:szCs w:val="18"/>
                <w:color w:val="auto"/>
              </w:rPr>
              <w:t>Ownership of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8980" w:type="dxa"/>
            <w:vAlign w:val="bottom"/>
          </w:tcPr>
          <w:p>
            <w:pPr>
              <w:ind w:left="800"/>
              <w:spacing w:after="0"/>
              <w:rPr>
                <w:sz w:val="20"/>
                <w:szCs w:val="20"/>
                <w:color w:val="auto"/>
              </w:rPr>
            </w:pPr>
            <w:r>
              <w:rPr>
                <w:rFonts w:ascii="Arial" w:cs="Arial" w:eastAsia="Arial" w:hAnsi="Arial"/>
                <w:sz w:val="18"/>
                <w:szCs w:val="18"/>
                <w:color w:val="auto"/>
              </w:rPr>
              <w:t>Construction Requirements for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8980" w:type="dxa"/>
            <w:vAlign w:val="bottom"/>
          </w:tcPr>
          <w:p>
            <w:pPr>
              <w:ind w:left="800"/>
              <w:spacing w:after="0"/>
              <w:rPr>
                <w:sz w:val="20"/>
                <w:szCs w:val="20"/>
                <w:color w:val="auto"/>
              </w:rPr>
            </w:pPr>
            <w:r>
              <w:rPr>
                <w:rFonts w:ascii="Arial" w:cs="Arial" w:eastAsia="Arial" w:hAnsi="Arial"/>
                <w:sz w:val="18"/>
                <w:szCs w:val="18"/>
                <w:color w:val="auto"/>
              </w:rPr>
              <w:t>Payment for Tenant Alterations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8980" w:type="dxa"/>
            <w:vAlign w:val="bottom"/>
          </w:tcPr>
          <w:p>
            <w:pPr>
              <w:ind w:left="800"/>
              <w:spacing w:after="0"/>
              <w:rPr>
                <w:sz w:val="20"/>
                <w:szCs w:val="20"/>
                <w:color w:val="auto"/>
              </w:rPr>
            </w:pPr>
            <w:r>
              <w:rPr>
                <w:rFonts w:ascii="Arial" w:cs="Arial" w:eastAsia="Arial" w:hAnsi="Arial"/>
                <w:sz w:val="18"/>
                <w:szCs w:val="18"/>
                <w:color w:val="auto"/>
              </w:rPr>
              <w:t>Initial Leasehold Improvements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5</w:t>
            </w:r>
          </w:p>
        </w:tc>
        <w:tc>
          <w:tcPr>
            <w:tcW w:w="8980" w:type="dxa"/>
            <w:vAlign w:val="bottom"/>
          </w:tcPr>
          <w:p>
            <w:pPr>
              <w:ind w:left="120"/>
              <w:spacing w:after="0"/>
              <w:rPr>
                <w:sz w:val="20"/>
                <w:szCs w:val="20"/>
                <w:color w:val="auto"/>
              </w:rPr>
            </w:pPr>
            <w:r>
              <w:rPr>
                <w:rFonts w:ascii="Arial" w:cs="Arial" w:eastAsia="Arial" w:hAnsi="Arial"/>
                <w:sz w:val="18"/>
                <w:szCs w:val="18"/>
                <w:color w:val="auto"/>
              </w:rPr>
              <w:t>RESPONSIBILITY FOR CONDITION OF BUILDING AND PREMISES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8980" w:type="dxa"/>
            <w:vAlign w:val="bottom"/>
          </w:tcPr>
          <w:p>
            <w:pPr>
              <w:ind w:left="800"/>
              <w:spacing w:after="0"/>
              <w:rPr>
                <w:sz w:val="20"/>
                <w:szCs w:val="20"/>
                <w:color w:val="auto"/>
              </w:rPr>
            </w:pPr>
            <w:r>
              <w:rPr>
                <w:rFonts w:ascii="Arial" w:cs="Arial" w:eastAsia="Arial" w:hAnsi="Arial"/>
                <w:sz w:val="18"/>
                <w:szCs w:val="18"/>
                <w:color w:val="auto"/>
              </w:rPr>
              <w:t>Maintenance of Building and Common Areas by Landlord</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8980" w:type="dxa"/>
            <w:vAlign w:val="bottom"/>
          </w:tcPr>
          <w:p>
            <w:pPr>
              <w:ind w:left="800"/>
              <w:spacing w:after="0"/>
              <w:rPr>
                <w:sz w:val="20"/>
                <w:szCs w:val="20"/>
                <w:color w:val="auto"/>
              </w:rPr>
            </w:pPr>
            <w:r>
              <w:rPr>
                <w:rFonts w:ascii="Arial" w:cs="Arial" w:eastAsia="Arial" w:hAnsi="Arial"/>
                <w:sz w:val="18"/>
                <w:szCs w:val="18"/>
                <w:color w:val="auto"/>
              </w:rPr>
              <w:t>Maintenance of Premises by Tenant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8980" w:type="dxa"/>
            <w:vAlign w:val="bottom"/>
          </w:tcPr>
          <w:p>
            <w:pPr>
              <w:ind w:left="800"/>
              <w:spacing w:after="0"/>
              <w:rPr>
                <w:sz w:val="20"/>
                <w:szCs w:val="20"/>
                <w:color w:val="auto"/>
              </w:rPr>
            </w:pPr>
            <w:r>
              <w:rPr>
                <w:rFonts w:ascii="Arial" w:cs="Arial" w:eastAsia="Arial" w:hAnsi="Arial"/>
                <w:sz w:val="18"/>
                <w:szCs w:val="18"/>
                <w:color w:val="auto"/>
              </w:rPr>
              <w:t>Delays in Landlord’s Services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8980" w:type="dxa"/>
            <w:vAlign w:val="bottom"/>
          </w:tcPr>
          <w:p>
            <w:pPr>
              <w:ind w:left="800"/>
              <w:spacing w:after="0"/>
              <w:rPr>
                <w:sz w:val="20"/>
                <w:szCs w:val="20"/>
                <w:color w:val="auto"/>
              </w:rPr>
            </w:pPr>
            <w:r>
              <w:rPr>
                <w:rFonts w:ascii="Arial" w:cs="Arial" w:eastAsia="Arial" w:hAnsi="Arial"/>
                <w:sz w:val="18"/>
                <w:szCs w:val="18"/>
                <w:color w:val="auto"/>
              </w:rPr>
              <w:t>Tenant’s Responsibilities Regarding Hazardous Materials</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348"/>
        </w:trPr>
        <w:tc>
          <w:tcPr>
            <w:tcW w:w="150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Responsibilities Regarding Hazardous Materials</w:t>
            </w: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6</w:t>
            </w:r>
          </w:p>
        </w:tc>
        <w:tc>
          <w:tcPr>
            <w:tcW w:w="7820" w:type="dxa"/>
            <w:vAlign w:val="bottom"/>
          </w:tcPr>
          <w:p>
            <w:pPr>
              <w:ind w:left="120"/>
              <w:spacing w:after="0"/>
              <w:rPr>
                <w:sz w:val="20"/>
                <w:szCs w:val="20"/>
                <w:color w:val="auto"/>
              </w:rPr>
            </w:pPr>
            <w:r>
              <w:rPr>
                <w:rFonts w:ascii="Arial" w:cs="Arial" w:eastAsia="Arial" w:hAnsi="Arial"/>
                <w:sz w:val="18"/>
                <w:szCs w:val="18"/>
                <w:color w:val="auto"/>
              </w:rPr>
              <w:t>TENANT COVENANTS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7820" w:type="dxa"/>
            <w:vAlign w:val="bottom"/>
          </w:tcPr>
          <w:p>
            <w:pPr>
              <w:ind w:left="800"/>
              <w:spacing w:after="0"/>
              <w:rPr>
                <w:sz w:val="20"/>
                <w:szCs w:val="20"/>
                <w:color w:val="auto"/>
              </w:rPr>
            </w:pPr>
            <w:r>
              <w:rPr>
                <w:rFonts w:ascii="Arial" w:cs="Arial" w:eastAsia="Arial" w:hAnsi="Arial"/>
                <w:sz w:val="18"/>
                <w:szCs w:val="18"/>
                <w:color w:val="auto"/>
              </w:rPr>
              <w:t>Permitted Uses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7820" w:type="dxa"/>
            <w:vAlign w:val="bottom"/>
          </w:tcPr>
          <w:p>
            <w:pPr>
              <w:ind w:left="800"/>
              <w:spacing w:after="0"/>
              <w:rPr>
                <w:sz w:val="20"/>
                <w:szCs w:val="20"/>
                <w:color w:val="auto"/>
              </w:rPr>
            </w:pPr>
            <w:r>
              <w:rPr>
                <w:rFonts w:ascii="Arial" w:cs="Arial" w:eastAsia="Arial" w:hAnsi="Arial"/>
                <w:sz w:val="18"/>
                <w:szCs w:val="18"/>
                <w:color w:val="auto"/>
              </w:rPr>
              <w:t>Laws and Regulations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7820" w:type="dxa"/>
            <w:vAlign w:val="bottom"/>
          </w:tcPr>
          <w:p>
            <w:pPr>
              <w:ind w:left="800"/>
              <w:spacing w:after="0"/>
              <w:rPr>
                <w:sz w:val="20"/>
                <w:szCs w:val="20"/>
                <w:color w:val="auto"/>
              </w:rPr>
            </w:pPr>
            <w:r>
              <w:rPr>
                <w:rFonts w:ascii="Arial" w:cs="Arial" w:eastAsia="Arial" w:hAnsi="Arial"/>
                <w:sz w:val="18"/>
                <w:szCs w:val="18"/>
                <w:color w:val="auto"/>
              </w:rPr>
              <w:t>Rules and Regulations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7820" w:type="dxa"/>
            <w:vAlign w:val="bottom"/>
          </w:tcPr>
          <w:p>
            <w:pPr>
              <w:ind w:left="800"/>
              <w:spacing w:after="0"/>
              <w:rPr>
                <w:sz w:val="20"/>
                <w:szCs w:val="20"/>
                <w:color w:val="auto"/>
              </w:rPr>
            </w:pPr>
            <w:r>
              <w:rPr>
                <w:rFonts w:ascii="Arial" w:cs="Arial" w:eastAsia="Arial" w:hAnsi="Arial"/>
                <w:sz w:val="18"/>
                <w:szCs w:val="18"/>
                <w:color w:val="auto"/>
              </w:rPr>
              <w:t>Safety Compliance</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6.5</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Entry</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6.6</w:t>
            </w:r>
          </w:p>
        </w:tc>
        <w:tc>
          <w:tcPr>
            <w:tcW w:w="7820" w:type="dxa"/>
            <w:vAlign w:val="bottom"/>
          </w:tcPr>
          <w:p>
            <w:pPr>
              <w:ind w:left="800"/>
              <w:spacing w:after="0"/>
              <w:rPr>
                <w:sz w:val="20"/>
                <w:szCs w:val="20"/>
                <w:color w:val="auto"/>
              </w:rPr>
            </w:pPr>
            <w:r>
              <w:rPr>
                <w:rFonts w:ascii="Arial" w:cs="Arial" w:eastAsia="Arial" w:hAnsi="Arial"/>
                <w:sz w:val="18"/>
                <w:szCs w:val="18"/>
                <w:color w:val="auto"/>
              </w:rPr>
              <w:t>Floor Load</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6.7</w:t>
            </w:r>
          </w:p>
        </w:tc>
        <w:tc>
          <w:tcPr>
            <w:tcW w:w="7820" w:type="dxa"/>
            <w:vAlign w:val="bottom"/>
          </w:tcPr>
          <w:p>
            <w:pPr>
              <w:ind w:left="800"/>
              <w:spacing w:after="0"/>
              <w:rPr>
                <w:sz w:val="20"/>
                <w:szCs w:val="20"/>
                <w:color w:val="auto"/>
              </w:rPr>
            </w:pPr>
            <w:r>
              <w:rPr>
                <w:rFonts w:ascii="Arial" w:cs="Arial" w:eastAsia="Arial" w:hAnsi="Arial"/>
                <w:sz w:val="18"/>
                <w:szCs w:val="18"/>
                <w:color w:val="auto"/>
              </w:rPr>
              <w:t>Personal Property Tax</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6.8</w:t>
            </w:r>
          </w:p>
        </w:tc>
        <w:tc>
          <w:tcPr>
            <w:tcW w:w="7820" w:type="dxa"/>
            <w:vAlign w:val="bottom"/>
          </w:tcPr>
          <w:p>
            <w:pPr>
              <w:ind w:left="800"/>
              <w:spacing w:after="0"/>
              <w:rPr>
                <w:sz w:val="20"/>
                <w:szCs w:val="20"/>
                <w:color w:val="auto"/>
              </w:rPr>
            </w:pPr>
            <w:r>
              <w:rPr>
                <w:rFonts w:ascii="Arial" w:cs="Arial" w:eastAsia="Arial" w:hAnsi="Arial"/>
                <w:sz w:val="18"/>
                <w:szCs w:val="18"/>
                <w:color w:val="auto"/>
              </w:rPr>
              <w:t>Assignment and Subleases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7</w:t>
            </w:r>
          </w:p>
        </w:tc>
        <w:tc>
          <w:tcPr>
            <w:tcW w:w="7820" w:type="dxa"/>
            <w:vAlign w:val="bottom"/>
          </w:tcPr>
          <w:p>
            <w:pPr>
              <w:ind w:left="120"/>
              <w:spacing w:after="0"/>
              <w:rPr>
                <w:sz w:val="20"/>
                <w:szCs w:val="20"/>
                <w:color w:val="auto"/>
              </w:rPr>
            </w:pPr>
            <w:r>
              <w:rPr>
                <w:rFonts w:ascii="Arial" w:cs="Arial" w:eastAsia="Arial" w:hAnsi="Arial"/>
                <w:sz w:val="18"/>
                <w:szCs w:val="18"/>
                <w:color w:val="auto"/>
              </w:rPr>
              <w:t>INDEMNITY AND 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7820" w:type="dxa"/>
            <w:vAlign w:val="bottom"/>
          </w:tcPr>
          <w:p>
            <w:pPr>
              <w:ind w:left="800"/>
              <w:spacing w:after="0"/>
              <w:rPr>
                <w:sz w:val="20"/>
                <w:szCs w:val="20"/>
                <w:color w:val="auto"/>
              </w:rPr>
            </w:pPr>
            <w:r>
              <w:rPr>
                <w:rFonts w:ascii="Arial" w:cs="Arial" w:eastAsia="Arial" w:hAnsi="Arial"/>
                <w:sz w:val="18"/>
                <w:szCs w:val="18"/>
                <w:color w:val="auto"/>
              </w:rPr>
              <w:t>Indemnity</w:t>
            </w: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7820" w:type="dxa"/>
            <w:vAlign w:val="bottom"/>
          </w:tcPr>
          <w:p>
            <w:pPr>
              <w:ind w:left="800"/>
              <w:spacing w:after="0"/>
              <w:rPr>
                <w:sz w:val="20"/>
                <w:szCs w:val="20"/>
                <w:color w:val="auto"/>
              </w:rPr>
            </w:pPr>
            <w:r>
              <w:rPr>
                <w:rFonts w:ascii="Arial" w:cs="Arial" w:eastAsia="Arial" w:hAnsi="Arial"/>
                <w:sz w:val="18"/>
                <w:szCs w:val="18"/>
                <w:color w:val="auto"/>
              </w:rPr>
              <w:t>Liability 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7820" w:type="dxa"/>
            <w:vAlign w:val="bottom"/>
          </w:tcPr>
          <w:p>
            <w:pPr>
              <w:ind w:left="800"/>
              <w:spacing w:after="0"/>
              <w:rPr>
                <w:sz w:val="20"/>
                <w:szCs w:val="20"/>
                <w:color w:val="auto"/>
              </w:rPr>
            </w:pPr>
            <w:r>
              <w:rPr>
                <w:rFonts w:ascii="Arial" w:cs="Arial" w:eastAsia="Arial" w:hAnsi="Arial"/>
                <w:sz w:val="18"/>
                <w:szCs w:val="18"/>
                <w:color w:val="auto"/>
              </w:rPr>
              <w:t>Alterations, Improvements and Betterments; Personal Property at Risk</w:t>
            </w:r>
          </w:p>
        </w:tc>
        <w:tc>
          <w:tcPr>
            <w:tcW w:w="2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7820" w:type="dxa"/>
            <w:vAlign w:val="bottom"/>
          </w:tcPr>
          <w:p>
            <w:pPr>
              <w:ind w:left="800"/>
              <w:spacing w:after="0"/>
              <w:rPr>
                <w:sz w:val="20"/>
                <w:szCs w:val="20"/>
                <w:color w:val="auto"/>
              </w:rPr>
            </w:pPr>
            <w:r>
              <w:rPr>
                <w:rFonts w:ascii="Arial" w:cs="Arial" w:eastAsia="Arial" w:hAnsi="Arial"/>
                <w:sz w:val="18"/>
                <w:szCs w:val="18"/>
                <w:color w:val="auto"/>
              </w:rPr>
              <w:t>Waiver of Subrogation</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8</w:t>
            </w:r>
          </w:p>
        </w:tc>
        <w:tc>
          <w:tcPr>
            <w:tcW w:w="7820" w:type="dxa"/>
            <w:vAlign w:val="bottom"/>
          </w:tcPr>
          <w:p>
            <w:pPr>
              <w:ind w:left="120"/>
              <w:spacing w:after="0"/>
              <w:rPr>
                <w:sz w:val="20"/>
                <w:szCs w:val="20"/>
                <w:color w:val="auto"/>
              </w:rPr>
            </w:pPr>
            <w:r>
              <w:rPr>
                <w:rFonts w:ascii="Arial" w:cs="Arial" w:eastAsia="Arial" w:hAnsi="Arial"/>
                <w:sz w:val="18"/>
                <w:szCs w:val="18"/>
                <w:color w:val="auto"/>
              </w:rPr>
              <w:t>CASUALTY AND EMINENT DOMAIN</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7820" w:type="dxa"/>
            <w:vAlign w:val="bottom"/>
          </w:tcPr>
          <w:p>
            <w:pPr>
              <w:ind w:left="800"/>
              <w:spacing w:after="0"/>
              <w:rPr>
                <w:sz w:val="20"/>
                <w:szCs w:val="20"/>
                <w:color w:val="auto"/>
              </w:rPr>
            </w:pPr>
            <w:r>
              <w:rPr>
                <w:rFonts w:ascii="Arial" w:cs="Arial" w:eastAsia="Arial" w:hAnsi="Arial"/>
                <w:sz w:val="18"/>
                <w:szCs w:val="18"/>
                <w:color w:val="auto"/>
              </w:rPr>
              <w:t>Restoration Following Casualties</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Termination Election</w:t>
            </w:r>
          </w:p>
        </w:tc>
        <w:tc>
          <w:tcPr>
            <w:tcW w:w="2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7820" w:type="dxa"/>
            <w:vAlign w:val="bottom"/>
          </w:tcPr>
          <w:p>
            <w:pPr>
              <w:ind w:left="800"/>
              <w:spacing w:after="0"/>
              <w:rPr>
                <w:sz w:val="20"/>
                <w:szCs w:val="20"/>
                <w:color w:val="auto"/>
              </w:rPr>
            </w:pPr>
            <w:r>
              <w:rPr>
                <w:rFonts w:ascii="Arial" w:cs="Arial" w:eastAsia="Arial" w:hAnsi="Arial"/>
                <w:sz w:val="18"/>
                <w:szCs w:val="18"/>
                <w:color w:val="auto"/>
              </w:rPr>
              <w:t>Tenant’s Termination Elections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7820" w:type="dxa"/>
            <w:vAlign w:val="bottom"/>
          </w:tcPr>
          <w:p>
            <w:pPr>
              <w:ind w:left="800"/>
              <w:spacing w:after="0"/>
              <w:rPr>
                <w:sz w:val="20"/>
                <w:szCs w:val="20"/>
                <w:color w:val="auto"/>
              </w:rPr>
            </w:pPr>
            <w:r>
              <w:rPr>
                <w:rFonts w:ascii="Arial" w:cs="Arial" w:eastAsia="Arial" w:hAnsi="Arial"/>
                <w:sz w:val="18"/>
                <w:szCs w:val="18"/>
                <w:color w:val="auto"/>
              </w:rPr>
              <w:t>Casualty at Expiration of Lease</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7820" w:type="dxa"/>
            <w:vAlign w:val="bottom"/>
          </w:tcPr>
          <w:p>
            <w:pPr>
              <w:ind w:left="800"/>
              <w:spacing w:after="0"/>
              <w:rPr>
                <w:sz w:val="20"/>
                <w:szCs w:val="20"/>
                <w:color w:val="auto"/>
              </w:rPr>
            </w:pPr>
            <w:r>
              <w:rPr>
                <w:rFonts w:ascii="Arial" w:cs="Arial" w:eastAsia="Arial" w:hAnsi="Arial"/>
                <w:sz w:val="18"/>
                <w:szCs w:val="18"/>
                <w:color w:val="auto"/>
              </w:rPr>
              <w:t>Eminent Domain</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7820" w:type="dxa"/>
            <w:vAlign w:val="bottom"/>
          </w:tcPr>
          <w:p>
            <w:pPr>
              <w:ind w:left="800"/>
              <w:spacing w:after="0"/>
              <w:rPr>
                <w:sz w:val="20"/>
                <w:szCs w:val="20"/>
                <w:color w:val="auto"/>
              </w:rPr>
            </w:pPr>
            <w:r>
              <w:rPr>
                <w:rFonts w:ascii="Arial" w:cs="Arial" w:eastAsia="Arial" w:hAnsi="Arial"/>
                <w:sz w:val="18"/>
                <w:szCs w:val="18"/>
                <w:color w:val="auto"/>
              </w:rPr>
              <w:t>Rent After Casualty or Taking</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8.7</w:t>
            </w:r>
          </w:p>
        </w:tc>
        <w:tc>
          <w:tcPr>
            <w:tcW w:w="7820" w:type="dxa"/>
            <w:vAlign w:val="bottom"/>
          </w:tcPr>
          <w:p>
            <w:pPr>
              <w:ind w:left="800"/>
              <w:spacing w:after="0"/>
              <w:rPr>
                <w:sz w:val="20"/>
                <w:szCs w:val="20"/>
                <w:color w:val="auto"/>
              </w:rPr>
            </w:pPr>
            <w:r>
              <w:rPr>
                <w:rFonts w:ascii="Arial" w:cs="Arial" w:eastAsia="Arial" w:hAnsi="Arial"/>
                <w:sz w:val="18"/>
                <w:szCs w:val="18"/>
                <w:color w:val="auto"/>
              </w:rPr>
              <w:t>Temporary Taking</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8.8</w:t>
            </w:r>
          </w:p>
        </w:tc>
        <w:tc>
          <w:tcPr>
            <w:tcW w:w="7820" w:type="dxa"/>
            <w:vAlign w:val="bottom"/>
          </w:tcPr>
          <w:p>
            <w:pPr>
              <w:ind w:left="800"/>
              <w:spacing w:after="0"/>
              <w:rPr>
                <w:sz w:val="20"/>
                <w:szCs w:val="20"/>
                <w:color w:val="auto"/>
              </w:rPr>
            </w:pPr>
            <w:r>
              <w:rPr>
                <w:rFonts w:ascii="Arial" w:cs="Arial" w:eastAsia="Arial" w:hAnsi="Arial"/>
                <w:sz w:val="18"/>
                <w:szCs w:val="18"/>
                <w:color w:val="auto"/>
              </w:rPr>
              <w:t>Taking Award</w:t>
            </w: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9</w:t>
            </w:r>
          </w:p>
        </w:tc>
        <w:tc>
          <w:tcPr>
            <w:tcW w:w="7820" w:type="dxa"/>
            <w:vAlign w:val="bottom"/>
          </w:tcPr>
          <w:p>
            <w:pPr>
              <w:ind w:left="120"/>
              <w:spacing w:after="0"/>
              <w:rPr>
                <w:sz w:val="20"/>
                <w:szCs w:val="20"/>
                <w:color w:val="auto"/>
              </w:rPr>
            </w:pPr>
            <w:r>
              <w:rPr>
                <w:rFonts w:ascii="Arial" w:cs="Arial" w:eastAsia="Arial" w:hAnsi="Arial"/>
                <w:sz w:val="18"/>
                <w:szCs w:val="18"/>
                <w:color w:val="auto"/>
              </w:rPr>
              <w:t>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50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7820" w:type="dxa"/>
            <w:vAlign w:val="bottom"/>
          </w:tcPr>
          <w:p>
            <w:pPr>
              <w:ind w:left="800"/>
              <w:spacing w:after="0"/>
              <w:rPr>
                <w:sz w:val="20"/>
                <w:szCs w:val="20"/>
                <w:color w:val="auto"/>
              </w:rPr>
            </w:pPr>
            <w:r>
              <w:rPr>
                <w:rFonts w:ascii="Arial" w:cs="Arial" w:eastAsia="Arial" w:hAnsi="Arial"/>
                <w:sz w:val="18"/>
                <w:szCs w:val="18"/>
                <w:color w:val="auto"/>
              </w:rPr>
              <w:t>Tenant’s Default</w:t>
            </w: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7820" w:type="dxa"/>
            <w:vAlign w:val="bottom"/>
          </w:tcPr>
          <w:p>
            <w:pPr>
              <w:ind w:left="800"/>
              <w:spacing w:after="0"/>
              <w:rPr>
                <w:sz w:val="20"/>
                <w:szCs w:val="20"/>
                <w:color w:val="auto"/>
              </w:rPr>
            </w:pPr>
            <w:r>
              <w:rPr>
                <w:rFonts w:ascii="Arial" w:cs="Arial" w:eastAsia="Arial" w:hAnsi="Arial"/>
                <w:sz w:val="18"/>
                <w:szCs w:val="18"/>
                <w:color w:val="auto"/>
              </w:rPr>
              <w:t>Damages</w:t>
            </w:r>
          </w:p>
        </w:tc>
        <w:tc>
          <w:tcPr>
            <w:tcW w:w="2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7820" w:type="dxa"/>
            <w:vAlign w:val="bottom"/>
          </w:tcPr>
          <w:p>
            <w:pPr>
              <w:ind w:left="800"/>
              <w:spacing w:after="0"/>
              <w:rPr>
                <w:sz w:val="20"/>
                <w:szCs w:val="20"/>
                <w:color w:val="auto"/>
              </w:rPr>
            </w:pPr>
            <w:r>
              <w:rPr>
                <w:rFonts w:ascii="Arial" w:cs="Arial" w:eastAsia="Arial" w:hAnsi="Arial"/>
                <w:sz w:val="18"/>
                <w:szCs w:val="18"/>
                <w:color w:val="auto"/>
              </w:rPr>
              <w:t>Cumulative Rights</w:t>
            </w:r>
          </w:p>
        </w:tc>
        <w:tc>
          <w:tcPr>
            <w:tcW w:w="2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Self help</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7820" w:type="dxa"/>
            <w:vAlign w:val="bottom"/>
          </w:tcPr>
          <w:p>
            <w:pPr>
              <w:ind w:left="800"/>
              <w:spacing w:after="0"/>
              <w:rPr>
                <w:sz w:val="20"/>
                <w:szCs w:val="20"/>
                <w:color w:val="auto"/>
              </w:rPr>
            </w:pPr>
            <w:r>
              <w:rPr>
                <w:rFonts w:ascii="Arial" w:cs="Arial" w:eastAsia="Arial" w:hAnsi="Arial"/>
                <w:sz w:val="18"/>
                <w:szCs w:val="18"/>
                <w:color w:val="auto"/>
              </w:rPr>
              <w:t>Enforcement Expenses; Litigation</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7820" w:type="dxa"/>
            <w:vAlign w:val="bottom"/>
          </w:tcPr>
          <w:p>
            <w:pPr>
              <w:ind w:left="800"/>
              <w:spacing w:after="0"/>
              <w:rPr>
                <w:sz w:val="20"/>
                <w:szCs w:val="20"/>
                <w:color w:val="auto"/>
              </w:rPr>
            </w:pPr>
            <w:r>
              <w:rPr>
                <w:rFonts w:ascii="Arial" w:cs="Arial" w:eastAsia="Arial" w:hAnsi="Arial"/>
                <w:sz w:val="18"/>
                <w:szCs w:val="18"/>
                <w:color w:val="auto"/>
              </w:rPr>
              <w:t>Late Charges; Interest on Overdue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50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7820" w:type="dxa"/>
            <w:vAlign w:val="bottom"/>
          </w:tcPr>
          <w:p>
            <w:pPr>
              <w:ind w:left="800"/>
              <w:spacing w:after="0"/>
              <w:rPr>
                <w:sz w:val="20"/>
                <w:szCs w:val="20"/>
                <w:color w:val="auto"/>
              </w:rPr>
            </w:pPr>
            <w:r>
              <w:rPr>
                <w:rFonts w:ascii="Arial" w:cs="Arial" w:eastAsia="Arial" w:hAnsi="Arial"/>
                <w:sz w:val="18"/>
                <w:szCs w:val="18"/>
                <w:color w:val="auto"/>
              </w:rPr>
              <w:t>Landlord’s Right to Notice and Cure</w:t>
            </w: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ARTICLE 10</w:t>
            </w:r>
          </w:p>
        </w:tc>
        <w:tc>
          <w:tcPr>
            <w:tcW w:w="7820" w:type="dxa"/>
            <w:vAlign w:val="bottom"/>
          </w:tcPr>
          <w:p>
            <w:pPr>
              <w:ind w:left="120"/>
              <w:spacing w:after="0"/>
              <w:rPr>
                <w:sz w:val="20"/>
                <w:szCs w:val="20"/>
                <w:color w:val="auto"/>
              </w:rPr>
            </w:pPr>
            <w:r>
              <w:rPr>
                <w:rFonts w:ascii="Arial" w:cs="Arial" w:eastAsia="Arial" w:hAnsi="Arial"/>
                <w:sz w:val="18"/>
                <w:szCs w:val="18"/>
                <w:color w:val="auto"/>
              </w:rPr>
              <w:t>MORTGAGEES’ RIGHTS</w:t>
            </w: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500" w:type="dxa"/>
            <w:vAlign w:val="bottom"/>
          </w:tcPr>
          <w:p>
            <w:pPr>
              <w:spacing w:after="0"/>
              <w:rPr>
                <w:sz w:val="24"/>
                <w:szCs w:val="24"/>
                <w:color w:val="auto"/>
              </w:rPr>
            </w:pPr>
          </w:p>
        </w:tc>
        <w:tc>
          <w:tcPr>
            <w:tcW w:w="7820" w:type="dxa"/>
            <w:vAlign w:val="bottom"/>
          </w:tcPr>
          <w:p>
            <w:pPr>
              <w:ind w:left="4160"/>
              <w:spacing w:after="0"/>
              <w:rPr>
                <w:sz w:val="20"/>
                <w:szCs w:val="20"/>
                <w:color w:val="auto"/>
              </w:rPr>
            </w:pPr>
            <w:r>
              <w:rPr>
                <w:rFonts w:ascii="Arial" w:cs="Arial" w:eastAsia="Arial" w:hAnsi="Arial"/>
                <w:sz w:val="18"/>
                <w:szCs w:val="18"/>
                <w:color w:val="auto"/>
              </w:rPr>
              <w:t>2</w:t>
            </w:r>
          </w:p>
        </w:tc>
        <w:tc>
          <w:tcPr>
            <w:tcW w:w="2140" w:type="dxa"/>
            <w:vAlign w:val="bottom"/>
          </w:tcPr>
          <w:p>
            <w:pPr>
              <w:spacing w:after="0"/>
              <w:rPr>
                <w:sz w:val="24"/>
                <w:szCs w:val="24"/>
                <w:color w:val="auto"/>
              </w:rPr>
            </w:pPr>
          </w:p>
        </w:tc>
      </w:tr>
      <w:tr>
        <w:trPr>
          <w:trHeight w:val="132"/>
        </w:trPr>
        <w:tc>
          <w:tcPr>
            <w:tcW w:w="1500" w:type="dxa"/>
            <w:vAlign w:val="bottom"/>
            <w:tcBorders>
              <w:bottom w:val="single" w:sz="8" w:color="808080"/>
            </w:tcBorders>
          </w:tcPr>
          <w:p>
            <w:pPr>
              <w:spacing w:after="0"/>
              <w:rPr>
                <w:sz w:val="11"/>
                <w:szCs w:val="11"/>
                <w:color w:val="auto"/>
              </w:rPr>
            </w:pPr>
          </w:p>
        </w:tc>
        <w:tc>
          <w:tcPr>
            <w:tcW w:w="782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10.1</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Subordination</w:t>
            </w:r>
          </w:p>
        </w:tc>
        <w:tc>
          <w:tcPr>
            <w:tcW w:w="2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10.2</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Attornment; Prepayment of Rent not to Bind Mortgagee</w:t>
            </w:r>
          </w:p>
        </w:tc>
        <w:tc>
          <w:tcPr>
            <w:tcW w:w="2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10.3</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Tenant’s Duty to Notify Mortgagee and Mortgagee’s Ability to Cure</w:t>
            </w:r>
          </w:p>
        </w:tc>
        <w:tc>
          <w:tcPr>
            <w:tcW w:w="2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10.4</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Estoppel Certificates</w:t>
            </w:r>
          </w:p>
        </w:tc>
        <w:tc>
          <w:tcPr>
            <w:tcW w:w="2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10.5</w:t>
            </w:r>
          </w:p>
        </w:tc>
        <w:tc>
          <w:tcPr>
            <w:tcW w:w="4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Assignment of Rents</w:t>
            </w:r>
          </w:p>
        </w:tc>
        <w:tc>
          <w:tcPr>
            <w:tcW w:w="2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ARTICLE 11</w:t>
            </w:r>
          </w:p>
        </w:tc>
        <w:tc>
          <w:tcPr>
            <w:tcW w:w="7700" w:type="dxa"/>
            <w:vAlign w:val="bottom"/>
            <w:gridSpan w:val="2"/>
          </w:tcPr>
          <w:p>
            <w:pPr>
              <w:ind w:left="80"/>
              <w:spacing w:after="0"/>
              <w:rPr>
                <w:sz w:val="20"/>
                <w:szCs w:val="20"/>
                <w:color w:val="auto"/>
              </w:rPr>
            </w:pPr>
            <w:r>
              <w:rPr>
                <w:rFonts w:ascii="Arial" w:cs="Arial" w:eastAsia="Arial" w:hAnsi="Arial"/>
                <w:sz w:val="18"/>
                <w:szCs w:val="18"/>
                <w:color w:val="auto"/>
              </w:rPr>
              <w:t>SECURITY DEPOSIT</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ARTICLE 12</w:t>
            </w:r>
          </w:p>
        </w:tc>
        <w:tc>
          <w:tcPr>
            <w:tcW w:w="770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12.1</w:t>
            </w:r>
          </w:p>
        </w:tc>
        <w:tc>
          <w:tcPr>
            <w:tcW w:w="420" w:type="dxa"/>
            <w:vAlign w:val="bottom"/>
          </w:tcPr>
          <w:p>
            <w:pPr>
              <w:spacing w:after="0"/>
              <w:rPr>
                <w:sz w:val="24"/>
                <w:szCs w:val="24"/>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Notice of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12.2</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12.3</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Successors and Limitation on Liability</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12.4</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Waivers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12.5</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Acceptance of Partial Payments of Rent</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12.6</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Interpretation and Partial Invalidity</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12.7</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Quiet Enjoyment</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12.8</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Brokerage</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97"/>
              </w:rPr>
              <w:t>Section 12.9</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Surrender of Premises and Holding Over</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12.10</w:t>
            </w:r>
          </w:p>
        </w:tc>
        <w:tc>
          <w:tcPr>
            <w:tcW w:w="7280" w:type="dxa"/>
            <w:vAlign w:val="bottom"/>
          </w:tcPr>
          <w:p>
            <w:pPr>
              <w:ind w:left="340"/>
              <w:spacing w:after="0"/>
              <w:rPr>
                <w:sz w:val="20"/>
                <w:szCs w:val="20"/>
                <w:color w:val="auto"/>
              </w:rPr>
            </w:pPr>
            <w:r>
              <w:rPr>
                <w:rFonts w:ascii="Arial" w:cs="Arial" w:eastAsia="Arial" w:hAnsi="Arial"/>
                <w:sz w:val="18"/>
                <w:szCs w:val="18"/>
                <w:color w:val="auto"/>
              </w:rPr>
              <w:t>Financial Reporting</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40" w:type="dxa"/>
            <w:vAlign w:val="bottom"/>
          </w:tcPr>
          <w:p>
            <w:pPr>
              <w:ind w:left="540"/>
              <w:spacing w:after="0"/>
              <w:rPr>
                <w:sz w:val="20"/>
                <w:szCs w:val="20"/>
                <w:color w:val="auto"/>
              </w:rPr>
            </w:pPr>
            <w:r>
              <w:rPr>
                <w:rFonts w:ascii="Arial" w:cs="Arial" w:eastAsia="Arial" w:hAnsi="Arial"/>
                <w:sz w:val="18"/>
                <w:szCs w:val="18"/>
                <w:color w:val="auto"/>
                <w:w w:val="88"/>
              </w:rPr>
              <w:t>Section 12.11</w:t>
            </w:r>
          </w:p>
        </w:tc>
        <w:tc>
          <w:tcPr>
            <w:tcW w:w="4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 Consequential Damages</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12.12</w:t>
            </w:r>
          </w:p>
        </w:tc>
        <w:tc>
          <w:tcPr>
            <w:tcW w:w="728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12.13</w:t>
            </w:r>
          </w:p>
        </w:tc>
        <w:tc>
          <w:tcPr>
            <w:tcW w:w="7280" w:type="dxa"/>
            <w:vAlign w:val="bottom"/>
          </w:tcPr>
          <w:p>
            <w:pPr>
              <w:ind w:left="340"/>
              <w:spacing w:after="0"/>
              <w:rPr>
                <w:sz w:val="20"/>
                <w:szCs w:val="20"/>
                <w:color w:val="auto"/>
              </w:rPr>
            </w:pPr>
            <w:r>
              <w:rPr>
                <w:rFonts w:ascii="Arial" w:cs="Arial" w:eastAsia="Arial" w:hAnsi="Arial"/>
                <w:sz w:val="18"/>
                <w:szCs w:val="18"/>
                <w:color w:val="auto"/>
              </w:rPr>
              <w:t>Signage</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12.14</w:t>
            </w:r>
          </w:p>
        </w:tc>
        <w:tc>
          <w:tcPr>
            <w:tcW w:w="7280" w:type="dxa"/>
            <w:vAlign w:val="bottom"/>
          </w:tcPr>
          <w:p>
            <w:pPr>
              <w:ind w:left="340"/>
              <w:spacing w:after="0"/>
              <w:rPr>
                <w:sz w:val="20"/>
                <w:szCs w:val="20"/>
                <w:color w:val="auto"/>
              </w:rPr>
            </w:pPr>
            <w:r>
              <w:rPr>
                <w:rFonts w:ascii="Arial" w:cs="Arial" w:eastAsia="Arial" w:hAnsi="Arial"/>
                <w:sz w:val="18"/>
                <w:szCs w:val="18"/>
                <w:color w:val="auto"/>
              </w:rPr>
              <w:t>Ground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12.15</w:t>
            </w:r>
          </w:p>
        </w:tc>
        <w:tc>
          <w:tcPr>
            <w:tcW w:w="7280" w:type="dxa"/>
            <w:vAlign w:val="bottom"/>
          </w:tcPr>
          <w:p>
            <w:pPr>
              <w:ind w:left="340"/>
              <w:spacing w:after="0"/>
              <w:rPr>
                <w:sz w:val="20"/>
                <w:szCs w:val="20"/>
                <w:color w:val="auto"/>
              </w:rPr>
            </w:pPr>
            <w:r>
              <w:rPr>
                <w:rFonts w:ascii="Arial" w:cs="Arial" w:eastAsia="Arial" w:hAnsi="Arial"/>
                <w:sz w:val="18"/>
                <w:szCs w:val="18"/>
                <w:color w:val="auto"/>
              </w:rPr>
              <w:t>Cambridge Employment Plan</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12.16</w:t>
            </w:r>
          </w:p>
        </w:tc>
        <w:tc>
          <w:tcPr>
            <w:tcW w:w="7280" w:type="dxa"/>
            <w:vAlign w:val="bottom"/>
          </w:tcPr>
          <w:p>
            <w:pPr>
              <w:ind w:left="340"/>
              <w:spacing w:after="0"/>
              <w:rPr>
                <w:sz w:val="20"/>
                <w:szCs w:val="20"/>
                <w:color w:val="auto"/>
              </w:rPr>
            </w:pPr>
            <w:r>
              <w:rPr>
                <w:rFonts w:ascii="Arial" w:cs="Arial" w:eastAsia="Arial" w:hAnsi="Arial"/>
                <w:sz w:val="18"/>
                <w:szCs w:val="18"/>
                <w:color w:val="auto"/>
              </w:rPr>
              <w:t>Parking and Transportation Demand Management</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960" w:type="dxa"/>
            <w:vAlign w:val="bottom"/>
            <w:gridSpan w:val="2"/>
          </w:tcPr>
          <w:p>
            <w:pPr>
              <w:ind w:left="540"/>
              <w:spacing w:after="0"/>
              <w:rPr>
                <w:sz w:val="20"/>
                <w:szCs w:val="20"/>
                <w:color w:val="auto"/>
              </w:rPr>
            </w:pPr>
            <w:r>
              <w:rPr>
                <w:rFonts w:ascii="Arial" w:cs="Arial" w:eastAsia="Arial" w:hAnsi="Arial"/>
                <w:sz w:val="18"/>
                <w:szCs w:val="18"/>
                <w:color w:val="auto"/>
              </w:rPr>
              <w:t>Section 12.18</w:t>
            </w:r>
          </w:p>
        </w:tc>
        <w:tc>
          <w:tcPr>
            <w:tcW w:w="7280" w:type="dxa"/>
            <w:vAlign w:val="bottom"/>
          </w:tcPr>
          <w:p>
            <w:pPr>
              <w:ind w:left="340"/>
              <w:spacing w:after="0"/>
              <w:rPr>
                <w:sz w:val="20"/>
                <w:szCs w:val="20"/>
                <w:color w:val="auto"/>
              </w:rPr>
            </w:pPr>
            <w:r>
              <w:rPr>
                <w:rFonts w:ascii="Arial" w:cs="Arial" w:eastAsia="Arial" w:hAnsi="Arial"/>
                <w:sz w:val="18"/>
                <w:szCs w:val="18"/>
                <w:color w:val="auto"/>
              </w:rPr>
              <w:t>Solvent Storage</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EXHIBIT A</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Base Lease Terms</w:t>
            </w:r>
          </w:p>
        </w:tc>
        <w:tc>
          <w:tcPr>
            <w:tcW w:w="2220" w:type="dxa"/>
            <w:vAlign w:val="bottom"/>
          </w:tcPr>
          <w:p>
            <w:pPr>
              <w:spacing w:after="0"/>
              <w:rPr>
                <w:sz w:val="24"/>
                <w:szCs w:val="24"/>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B</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Legal Description</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C-1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Depiction of Premises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C-2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Map of the Park</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D</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Tenant/Landlord Responsibility Matrix</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D-1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Detail of Landlord’s Work</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E</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Standard Services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E-1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Work Letter</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F</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Rules and Regulations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G</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Construction Rules and Regulations</w:t>
            </w:r>
          </w:p>
        </w:tc>
        <w:tc>
          <w:tcPr>
            <w:tcW w:w="2220" w:type="dxa"/>
            <w:vAlign w:val="bottom"/>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EXHIBIT H</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Form of NDA with MIT</w:t>
            </w:r>
          </w:p>
        </w:tc>
        <w:tc>
          <w:tcPr>
            <w:tcW w:w="22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EXHIBIT I</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40"/>
              <w:spacing w:after="0"/>
              <w:rPr>
                <w:sz w:val="20"/>
                <w:szCs w:val="20"/>
                <w:color w:val="auto"/>
              </w:rPr>
            </w:pPr>
            <w:r>
              <w:rPr>
                <w:rFonts w:ascii="Arial" w:cs="Arial" w:eastAsia="Arial" w:hAnsi="Arial"/>
                <w:sz w:val="18"/>
                <w:szCs w:val="18"/>
                <w:color w:val="auto"/>
              </w:rPr>
              <w:t>Form of SNDA with Mortgagee</w:t>
            </w:r>
          </w:p>
        </w:tc>
        <w:tc>
          <w:tcPr>
            <w:tcW w:w="222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tcPr>
          <w:p>
            <w:pPr>
              <w:ind w:left="3700"/>
              <w:spacing w:after="0"/>
              <w:rPr>
                <w:sz w:val="20"/>
                <w:szCs w:val="20"/>
                <w:color w:val="auto"/>
              </w:rPr>
            </w:pPr>
            <w:r>
              <w:rPr>
                <w:rFonts w:ascii="Arial" w:cs="Arial" w:eastAsia="Arial" w:hAnsi="Arial"/>
                <w:sz w:val="18"/>
                <w:szCs w:val="18"/>
                <w:color w:val="auto"/>
              </w:rPr>
              <w:t>3</w:t>
            </w:r>
          </w:p>
        </w:tc>
        <w:tc>
          <w:tcPr>
            <w:tcW w:w="2220" w:type="dxa"/>
            <w:vAlign w:val="bottom"/>
          </w:tcPr>
          <w:p>
            <w:pPr>
              <w:spacing w:after="0"/>
              <w:rPr>
                <w:sz w:val="24"/>
                <w:szCs w:val="24"/>
                <w:color w:val="auto"/>
              </w:rPr>
            </w:pPr>
          </w:p>
        </w:tc>
      </w:tr>
      <w:tr>
        <w:trPr>
          <w:trHeight w:val="132"/>
        </w:trPr>
        <w:tc>
          <w:tcPr>
            <w:tcW w:w="15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ARTICLE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RECITALS, DEFINITIONS AND BASE LEASE TERMS</w:t>
      </w:r>
    </w:p>
    <w:p>
      <w:pPr>
        <w:spacing w:after="0" w:line="211"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Recitals</w:t>
      </w:r>
      <w:r>
        <w:rPr>
          <w:rFonts w:ascii="Arial" w:cs="Arial" w:eastAsia="Arial" w:hAnsi="Arial"/>
          <w:sz w:val="16"/>
          <w:szCs w:val="16"/>
          <w:color w:val="auto"/>
        </w:rPr>
        <w:t>.</w:t>
      </w:r>
    </w:p>
    <w:p>
      <w:pPr>
        <w:spacing w:after="0" w:line="225" w:lineRule="exact"/>
        <w:rPr>
          <w:sz w:val="20"/>
          <w:szCs w:val="20"/>
          <w:color w:val="auto"/>
        </w:rPr>
      </w:pPr>
    </w:p>
    <w:p>
      <w:pPr>
        <w:ind w:right="380" w:firstLine="648"/>
        <w:spacing w:after="0" w:line="227" w:lineRule="auto"/>
        <w:rPr>
          <w:sz w:val="20"/>
          <w:szCs w:val="20"/>
          <w:color w:val="auto"/>
        </w:rPr>
      </w:pPr>
      <w:r>
        <w:rPr>
          <w:rFonts w:ascii="Arial" w:cs="Arial" w:eastAsia="Arial" w:hAnsi="Arial"/>
          <w:sz w:val="18"/>
          <w:szCs w:val="18"/>
          <w:color w:val="auto"/>
        </w:rPr>
        <w:t>This Lease (this “Lease”) is entered into this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day of November, 2017 by and between UP 26 Landsdowne, LLC, a Delaware limited liability company (the “Landlord”) and Fulcrum Therapeutics, Inc., a Delaware corporation (the “Tenant”).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of the mutual covenants herein set forth, the Landlord and the Tenant do hereby agree to the terms and conditions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11"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terms used in this Lease shall have the meanings set forth below:</w:t>
      </w:r>
    </w:p>
    <w:p>
      <w:pPr>
        <w:spacing w:after="0" w:line="225"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color w:val="auto"/>
        </w:rPr>
        <w:t>“Additional Rent” means all charges payable by the Tenant pursuant to this Lease other than Annual Fixed Rent, including without implied limitation the Tenant’s Tax Expense Allocable to the Premises as provided in Section 3.2; the Tenant’s Operating Expenses Allocable to the Premises in accordance with Section 3.3; amounts payable to Landlord for separately submetered utilities and services pursuant to Section 3.4; amounts payable for special services pursuant to Section 3.5; and the Landlord’s share of any sublease or assignment proceeds pursuant to Section 6.8.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“Annual Fixed Rent” - See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“Broker” — Jones Lang LaSalle New England LLC. See Section 12.8.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“Building”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“Commencement Date” - See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Section 2.5.</w:t>
      </w:r>
    </w:p>
    <w:p>
      <w:pPr>
        <w:sectPr>
          <w:pgSz w:w="11900" w:h="16838" w:orient="portrait"/>
          <w:cols w:equalWidth="0" w:num="1">
            <w:col w:w="11460"/>
          </w:cols>
          <w:pgMar w:left="240" w:top="341" w:right="199" w:bottom="0" w:gutter="0" w:footer="0" w:header="0"/>
        </w:sectPr>
      </w:pPr>
    </w:p>
    <w:bookmarkStart w:id="272" w:name="page273"/>
    <w:bookmarkEnd w:id="272"/>
    <w:p>
      <w:pPr>
        <w:ind w:left="660"/>
        <w:spacing w:after="0"/>
        <w:rPr>
          <w:sz w:val="20"/>
          <w:szCs w:val="20"/>
          <w:color w:val="auto"/>
        </w:rPr>
      </w:pPr>
      <w:r>
        <w:rPr>
          <w:rFonts w:ascii="Arial" w:cs="Arial" w:eastAsia="Arial" w:hAnsi="Arial"/>
          <w:sz w:val="18"/>
          <w:szCs w:val="18"/>
          <w:color w:val="auto"/>
        </w:rPr>
        <w:t>“Common Areas” - See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Interest Rate” - see Section 9.6.</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“Excusable Delay” means any delay in the satisfaction of the conditions in question to the extent the same is a consequence of External Causes including, without limitation, any governmental embargo restrictions, or actions or inactions of local, state or federal governments (such as, without limitation, any delays in issuing building permits, certificates of occupancy or other similar permits or certificates without the fault of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126" w:right="699" w:bottom="1440" w:gutter="0" w:footer="0" w:header="0"/>
        </w:sectPr>
      </w:pPr>
    </w:p>
    <w:bookmarkStart w:id="273" w:name="page274"/>
    <w:bookmarkEnd w:id="273"/>
    <w:p>
      <w:pPr>
        <w:ind w:right="40" w:firstLine="648"/>
        <w:spacing w:after="0" w:line="279" w:lineRule="auto"/>
        <w:rPr>
          <w:sz w:val="20"/>
          <w:szCs w:val="20"/>
          <w:color w:val="auto"/>
        </w:rPr>
      </w:pPr>
      <w:r>
        <w:rPr>
          <w:rFonts w:ascii="Arial" w:cs="Arial" w:eastAsia="Arial" w:hAnsi="Arial"/>
          <w:sz w:val="17"/>
          <w:szCs w:val="17"/>
          <w:color w:val="auto"/>
        </w:rPr>
        <w:t>“External Causes” means, when referring to a party’s responsibilities under this Lease, collectively Acts of God, war, civil commotion, terrorism, fire, flood or other casualty, strikes or other extraordinary labor difficulties or shortages of labor or materials or equipment in the ordinary course of trade, extraordinary weather conditions, government order or regulations or other cause not reasonably within the control of such party, and not due to the fault or neglect of such party. In no event shall financial inability be deemed to be an External Cause.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“Land” means the parcel of land situated in Cambridge, Massachusetts,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“Landlord’s Address for Notices”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 64 Sidney Street,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Forest City Enterprises,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1130 Terminal Tower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 Public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Cleveland, Ohio 44113-2203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Forest City Commercial Management,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38 Sidney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Cambridge, Massachusetts 02139-4234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Manager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“Landlord’s Work” — See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“Leasehold Improvements” — See </w:t>
      </w:r>
      <w:r>
        <w:rPr>
          <w:rFonts w:ascii="Arial" w:cs="Arial" w:eastAsia="Arial" w:hAnsi="Arial"/>
          <w:sz w:val="18"/>
          <w:szCs w:val="18"/>
          <w:u w:val="single" w:color="auto"/>
          <w:color w:val="auto"/>
        </w:rPr>
        <w:t>Exhibit E-1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“Lease Commencement Date” - See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Section 2.5.</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“Lease Year” — A one year period commencing on the Rent Commencement Date (provided, however, that if the Rent Commencement Date does not occur on the first day of a month, the first Lease Year shall end on the last day of the month in which the anniversary of the Rent Commencement Date occurs); each subsequent Lease Year shall consist of one calendar year beginning on the day immediately following the expiration of the prior Lease Year.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“Park” — The buildings and associated land located from time to time within University Park at MIT, as such area is depicted on </w:t>
      </w:r>
      <w:r>
        <w:rPr>
          <w:rFonts w:ascii="Arial" w:cs="Arial" w:eastAsia="Arial" w:hAnsi="Arial"/>
          <w:sz w:val="17"/>
          <w:szCs w:val="17"/>
          <w:u w:val="single" w:color="auto"/>
          <w:color w:val="auto"/>
        </w:rPr>
        <w:t>Exhibit C-2</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“Parking Passes” — See </w:t>
      </w: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“Permitted Uses: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“Premises: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274" w:name="page275"/>
    <w:bookmarkEnd w:id="274"/>
    <w:p>
      <w:pPr>
        <w:ind w:left="660"/>
        <w:spacing w:after="0"/>
        <w:rPr>
          <w:sz w:val="20"/>
          <w:szCs w:val="20"/>
          <w:color w:val="auto"/>
        </w:rPr>
      </w:pPr>
      <w:r>
        <w:rPr>
          <w:rFonts w:ascii="Arial" w:cs="Arial" w:eastAsia="Arial" w:hAnsi="Arial"/>
          <w:sz w:val="18"/>
          <w:szCs w:val="18"/>
          <w:color w:val="auto"/>
        </w:rPr>
        <w:t>“Property” — The Land and the Building.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“Removable Alterations” - See Section 4.2.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“Rules and Regulations” - See Section 6.3 and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“Tenant’s Original Address”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“Tenant’s Work” — See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“Term” — See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5"/>
          <w:szCs w:val="15"/>
          <w:u w:val="single" w:color="auto"/>
          <w:color w:val="auto"/>
        </w:rPr>
        <w:t>Base Lease Terms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Basic Lease Terms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attached.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PREMISES AND TERM</w:t>
      </w:r>
    </w:p>
    <w:p>
      <w:pPr>
        <w:spacing w:after="0" w:line="229"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Premises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The Landlord hereby leases to the Tenant, and the Tenant hereby leases from the Landlord, for the Term, the Premises comprised of the space illustrated on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in its current as-is condition, except for (i) completion of work required by Landlord to fulfill Landlord’s obligations as outlined in the Tenant/Landlord Responsibility Matrix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provided the parties acknowledge and agree that Landlord’s Work shall proceed concurrently with the construction of Tenant’s Work (to the extent that such Landlord’s Work does not materially interfere with the construction of Tenant’s Work); (ii) demolition and disposal of the existing improvements in the Premises, (iii) installation of a new centralized lab-ready base building HVAC system, delivery of mechanical electrical, life safety and plumbing systems serving the Premises in good operating condition and repair, and (iv) refurbish the existing common area locker and common shower room on the first floor of the Building (all work described in (i) — (iv) above, collectively, the “Landlord’s Work”) subject to the exclusion herein below set forth in this Section 2.1, Landlord’s reservations set forth in Section 2.3, such easements, covenants and restrictions as may affect the Property and the terms and conditions of this Lease . Landlord shall perform the Landlord’s Work in a good and workmanlike manner, free from faults and defects, in compliance with all applicable federal, state and local laws, rules and regulations.</w:t>
      </w:r>
    </w:p>
    <w:p>
      <w:pPr>
        <w:spacing w:after="0" w:line="169" w:lineRule="exact"/>
        <w:rPr>
          <w:sz w:val="20"/>
          <w:szCs w:val="20"/>
          <w:color w:val="auto"/>
        </w:rPr>
      </w:pPr>
    </w:p>
    <w:p>
      <w:pPr>
        <w:jc w:val="both"/>
        <w:ind w:right="280" w:firstLine="243"/>
        <w:spacing w:after="0" w:line="259" w:lineRule="auto"/>
        <w:rPr>
          <w:sz w:val="20"/>
          <w:szCs w:val="20"/>
          <w:color w:val="auto"/>
        </w:rPr>
      </w:pPr>
      <w:r>
        <w:rPr>
          <w:rFonts w:ascii="Arial" w:cs="Arial" w:eastAsia="Arial" w:hAnsi="Arial"/>
          <w:sz w:val="18"/>
          <w:szCs w:val="18"/>
          <w:color w:val="auto"/>
        </w:rPr>
        <w:t>Landlord shall complete the Landlord’s Work in a timely and diligent manner and in accordance with the Construction Schedule set forth at Exhibit M, and with the completion of the Landlord’s Work scheduled to occur no later than May 31, 2018 (the “</w:t>
      </w:r>
      <w:r>
        <w:rPr>
          <w:rFonts w:ascii="Arial" w:cs="Arial" w:eastAsia="Arial" w:hAnsi="Arial"/>
          <w:sz w:val="18"/>
          <w:szCs w:val="18"/>
          <w:b w:val="1"/>
          <w:bCs w:val="1"/>
          <w:color w:val="auto"/>
        </w:rPr>
        <w:t>Landlord’s Work Target Date</w:t>
      </w:r>
      <w:r>
        <w:rPr>
          <w:rFonts w:ascii="Arial" w:cs="Arial" w:eastAsia="Arial" w:hAnsi="Arial"/>
          <w:sz w:val="18"/>
          <w:szCs w:val="18"/>
          <w:color w:val="auto"/>
        </w:rPr>
        <w:t>”). In the event that Landlord has not completed Landlord’s Work by July 15, 2018 (the “</w:t>
      </w:r>
      <w:r>
        <w:rPr>
          <w:rFonts w:ascii="Arial" w:cs="Arial" w:eastAsia="Arial" w:hAnsi="Arial"/>
          <w:sz w:val="18"/>
          <w:szCs w:val="18"/>
          <w:b w:val="1"/>
          <w:bCs w:val="1"/>
          <w:color w:val="auto"/>
        </w:rPr>
        <w:t>Initial Delivery Deadline</w:t>
      </w:r>
      <w:r>
        <w:rPr>
          <w:rFonts w:ascii="Arial" w:cs="Arial" w:eastAsia="Arial" w:hAnsi="Arial"/>
          <w:sz w:val="18"/>
          <w:szCs w:val="18"/>
          <w:color w:val="auto"/>
        </w:rPr>
        <w:t>”), subject in each case to extension for each day of Tenant Delay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5" w:name="page276"/>
    <w:bookmarkEnd w:id="275"/>
    <w:p>
      <w:pPr>
        <w:spacing w:after="0" w:line="268" w:lineRule="auto"/>
        <w:rPr>
          <w:sz w:val="20"/>
          <w:szCs w:val="20"/>
          <w:color w:val="auto"/>
        </w:rPr>
      </w:pPr>
      <w:r>
        <w:rPr>
          <w:rFonts w:ascii="Arial" w:cs="Arial" w:eastAsia="Arial" w:hAnsi="Arial"/>
          <w:sz w:val="17"/>
          <w:szCs w:val="17"/>
          <w:color w:val="auto"/>
        </w:rPr>
        <w:t>pursuant to the Work Letter, Tenant shall be entitled to one (1) day of abatement of Annual Fixed Rent for each day of such delay. Completion of Landlord’s Work shall be achieved when such work is complete except for Punch List (as defined below) items that do not adversely affect Tenant’s Use and occupancy of the Premises, all utilities, building systems and equipment, including without limitation the HVAC systems and components, are in good working order and Landlord has received a certificate of occupancy from the applicable authority of the City of Cambridge for Landlord’s Work (excluding the Tenant Improvements). In the event that Landlord has not completed Landlord’s Work within forty-five (45) days after the Initial Delivery Deadline, then Tenant shall be entitled to two (2) days of abatement of Annual Fixed Rent for each day of such delay. In the event that Landlord has not completed Landlord’s Work within one hundred thirty-five (135) days after the Initial Delivery Deadline (herein, the “</w:t>
      </w:r>
      <w:r>
        <w:rPr>
          <w:rFonts w:ascii="Arial" w:cs="Arial" w:eastAsia="Arial" w:hAnsi="Arial"/>
          <w:sz w:val="17"/>
          <w:szCs w:val="17"/>
          <w:b w:val="1"/>
          <w:bCs w:val="1"/>
          <w:color w:val="auto"/>
        </w:rPr>
        <w:t>Outside Delivery Deadline</w:t>
      </w:r>
      <w:r>
        <w:rPr>
          <w:rFonts w:ascii="Arial" w:cs="Arial" w:eastAsia="Arial" w:hAnsi="Arial"/>
          <w:sz w:val="17"/>
          <w:szCs w:val="17"/>
          <w:color w:val="auto"/>
        </w:rPr>
        <w:t>”), subject to extension for each day of Tenant Delay pursuant to the Work Letter, this Lease may be terminated by Tenant, effective upon written notice delivered to Landlord no later than the date that is ten (10) days after such Outside Delivery Deadline. If Tenant has not delivered such written notice of termination to Landlord within such required time period, then this Lease shall remain in full force and effect. If Tenant delivers such written notice of termination within such required time period, then the Security Deposit, or any balance thereof (i.e., after deducting therefrom all amounts to which Landlord is entitled under the provisions of this Lease), shall be returned to Tenant, and neither Landlord nor Tenant shall have any further rights, duties or obligations under this Lease, except any provisions which expressly survive termination of this Lease.</w:t>
      </w:r>
    </w:p>
    <w:p>
      <w:pPr>
        <w:spacing w:after="0" w:line="188" w:lineRule="exact"/>
        <w:rPr>
          <w:sz w:val="20"/>
          <w:szCs w:val="20"/>
          <w:color w:val="auto"/>
        </w:rPr>
      </w:pPr>
    </w:p>
    <w:p>
      <w:pPr>
        <w:ind w:right="40" w:firstLine="216"/>
        <w:spacing w:after="0" w:line="255" w:lineRule="auto"/>
        <w:rPr>
          <w:sz w:val="20"/>
          <w:szCs w:val="20"/>
          <w:color w:val="auto"/>
        </w:rPr>
      </w:pPr>
      <w:r>
        <w:rPr>
          <w:rFonts w:ascii="Arial" w:cs="Arial" w:eastAsia="Arial" w:hAnsi="Arial"/>
          <w:sz w:val="18"/>
          <w:szCs w:val="18"/>
          <w:color w:val="auto"/>
        </w:rPr>
        <w:t>Landlord shall use good faith efforts to ensure, and cause Contractor to ensure, that completion of the Landlord’s Work shall not interfere with the ongoing construction of the Initial Leasehold Improvements. See Section 4.5 herein for additional requirements governing the Landlord’s Work. On or before the anticipated Rent Commencement Date, Tenant or Tenant’s representative shall conduct an inspection of the Premises with Landlord or Landlord’s representative to develop a punch list of all Landlord’s Work items which are not complete or which require correction (the “Punch List”). Landlord shall complete and/or correct all items on the Punch List within thirty (30) days after Landlord receives the Punch List and shall give Tenant written notice when all of the items on the Punch List have been completed and/or corrected.</w:t>
      </w:r>
    </w:p>
    <w:p>
      <w:pPr>
        <w:spacing w:after="0" w:line="193" w:lineRule="exact"/>
        <w:rPr>
          <w:sz w:val="20"/>
          <w:szCs w:val="20"/>
          <w:color w:val="auto"/>
        </w:rPr>
      </w:pPr>
    </w:p>
    <w:p>
      <w:pPr>
        <w:ind w:right="40" w:firstLine="243"/>
        <w:spacing w:after="0" w:line="254" w:lineRule="auto"/>
        <w:rPr>
          <w:sz w:val="20"/>
          <w:szCs w:val="20"/>
          <w:color w:val="auto"/>
        </w:rPr>
      </w:pPr>
      <w:r>
        <w:rPr>
          <w:rFonts w:ascii="Arial" w:cs="Arial" w:eastAsia="Arial" w:hAnsi="Arial"/>
          <w:sz w:val="18"/>
          <w:szCs w:val="18"/>
          <w:color w:val="auto"/>
        </w:rPr>
        <w:t>Landlord warrants, for a period of one year from the date of completion of Landlord’s Work as provided in this Section, that Landlord’s Work shall be constructed (i) in a good and workmanlike manner and with all utilities, building systems and equipment, including without limitation the HVAC systems and components, in good working order (such warranty shall be exclusive of equipment warranties provided directly by manufacturers for equipment to be installed within the Premises as provided below), (ii) in compliance with applicable legal requirements, and (iii) substantially in accordance with the plans and specifications therefor (collectively, “</w:t>
      </w:r>
      <w:r>
        <w:rPr>
          <w:rFonts w:ascii="Arial" w:cs="Arial" w:eastAsia="Arial" w:hAnsi="Arial"/>
          <w:sz w:val="18"/>
          <w:szCs w:val="18"/>
          <w:b w:val="1"/>
          <w:bCs w:val="1"/>
          <w:color w:val="auto"/>
        </w:rPr>
        <w:t>Landlord’s Warranty</w:t>
      </w:r>
      <w:r>
        <w:rPr>
          <w:rFonts w:ascii="Arial" w:cs="Arial" w:eastAsia="Arial" w:hAnsi="Arial"/>
          <w:sz w:val="18"/>
          <w:szCs w:val="18"/>
          <w:color w:val="auto"/>
        </w:rPr>
        <w:t>”). Tenant shall have one year after the date of completion of Landlord’s Work as provided in this Section within which to notify Landlord of any breach of Landlord’s Warranty (a “</w:t>
      </w:r>
      <w:r>
        <w:rPr>
          <w:rFonts w:ascii="Arial" w:cs="Arial" w:eastAsia="Arial" w:hAnsi="Arial"/>
          <w:sz w:val="18"/>
          <w:szCs w:val="18"/>
          <w:b w:val="1"/>
          <w:bCs w:val="1"/>
          <w:color w:val="auto"/>
        </w:rPr>
        <w:t>Construction Defect</w:t>
      </w:r>
      <w:r>
        <w:rPr>
          <w:rFonts w:ascii="Arial" w:cs="Arial" w:eastAsia="Arial" w:hAnsi="Arial"/>
          <w:sz w:val="18"/>
          <w:szCs w:val="18"/>
          <w:color w:val="auto"/>
        </w:rPr>
        <w:t>”). Within 30 days after delivery Tenant’s notice of any such Construction Defect, Landlord shall remedy or cause the responsible contractor to remedy any such Construction Defect within a reasonable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6" w:name="page277"/>
    <w:bookmarkEnd w:id="276"/>
    <w:p>
      <w:pPr>
        <w:jc w:val="both"/>
        <w:ind w:right="100" w:firstLine="216"/>
        <w:spacing w:after="0" w:line="286" w:lineRule="auto"/>
        <w:rPr>
          <w:sz w:val="20"/>
          <w:szCs w:val="20"/>
          <w:color w:val="auto"/>
        </w:rPr>
      </w:pPr>
      <w:r>
        <w:rPr>
          <w:rFonts w:ascii="Arial" w:cs="Arial" w:eastAsia="Arial" w:hAnsi="Arial"/>
          <w:sz w:val="17"/>
          <w:szCs w:val="17"/>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by Tenant or payable out of the LIA (as defined in the Work Letter).</w:t>
      </w:r>
    </w:p>
    <w:p>
      <w:pPr>
        <w:spacing w:after="0" w:line="166" w:lineRule="exact"/>
        <w:rPr>
          <w:sz w:val="20"/>
          <w:szCs w:val="20"/>
          <w:color w:val="auto"/>
        </w:rPr>
      </w:pPr>
    </w:p>
    <w:p>
      <w:pPr>
        <w:ind w:right="60" w:firstLine="216"/>
        <w:spacing w:after="0" w:line="269" w:lineRule="auto"/>
        <w:rPr>
          <w:sz w:val="20"/>
          <w:szCs w:val="20"/>
          <w:color w:val="auto"/>
        </w:rPr>
      </w:pPr>
      <w:r>
        <w:rPr>
          <w:rFonts w:ascii="Arial" w:cs="Arial" w:eastAsia="Arial" w:hAnsi="Arial"/>
          <w:sz w:val="17"/>
          <w:szCs w:val="17"/>
          <w:color w:val="auto"/>
        </w:rPr>
        <w:t>Tenant shall further be subject to any easements, covenants and/or restrictions or other matters of record encumbering the Park provided that any such matters of record arising after the date hereof do not prohibit Tenant’s use and occupancy of the Premises for the Permitted Use or materially and adversely affect Tenant’s rights under this Lease. The Tenant acknowledges that, except as expressly set forth in this Lease, there have been no representations or warranties made by or on behalf of the Landlord with respect to the Premises, the Building or the Property or with respect to the suitability of any of them for the conduct of the Tenant’s business or activities. The Premises shall exclude common areas and facilities of the Property, including without limitation exterior faces of exterior walls, the entry, vestibules and main lobby of the Building, first floor elevator lobby and lavatories, the common stairways and stairwells, elevators and elevator wells, boiler room, sprinklers, sprinkler rooms, elevator rooms, mechanical rooms, loading and receiving areas, electric and telephone closets, janitor closets, and pipes, ducts, conduits, wires and appurtenant fixtures and equipment serving exclusively or in common other parts of the Building. If the Premises at any time includes less than the entire rentable floor area of any floor of the Building, the Premises shall also exclude the common corridors, vestibules, elevator lobby, lavatories, and freight elevator vestibule located on such floor. Landlord shall be delivering the Premises in “as is” condition at the Commencement Date of the Lease. Prior to the Commencement Date, Landlord shall provide Tenant with evidence of the decommissioning of the Premises by the prior tenant.</w:t>
      </w:r>
    </w:p>
    <w:p>
      <w:pPr>
        <w:spacing w:after="0" w:line="180" w:lineRule="exact"/>
        <w:rPr>
          <w:sz w:val="20"/>
          <w:szCs w:val="20"/>
          <w:color w:val="auto"/>
        </w:rPr>
      </w:pPr>
    </w:p>
    <w:p>
      <w:pPr>
        <w:ind w:firstLine="216"/>
        <w:spacing w:after="0" w:line="273" w:lineRule="auto"/>
        <w:rPr>
          <w:sz w:val="20"/>
          <w:szCs w:val="20"/>
          <w:color w:val="auto"/>
        </w:rPr>
      </w:pPr>
      <w:r>
        <w:rPr>
          <w:rFonts w:ascii="Arial" w:cs="Arial" w:eastAsia="Arial" w:hAnsi="Arial"/>
          <w:sz w:val="17"/>
          <w:szCs w:val="17"/>
          <w:color w:val="auto"/>
        </w:rPr>
        <w:t>Landlord represents and warrants to Tenant that, to the best of Landlord’s current knowledge, information, and belief, (a) the Building and the Premises are in material compliance with all applicable zoning, land use and environmental laws and agreements, the Americans with Disabilities Act of 1990, as amended, and the requirements of all easement and encumbrance documents and Landlord covenants to keep the Building in compliance throughout the Term; (b) Landlord holds the tenant’s interest under the Ground Lease (as such term is defined in Section 12.14), subject to no mortgage other than the current mortgage to CIGNA; (c) Landlord has full power and authority to enter into this Lease and has obtained all consents and taken all actions necessary in connection therewith; and (d) no other party has any possessory right to the Premises or has claimed the same.</w:t>
      </w:r>
    </w:p>
    <w:p>
      <w:pPr>
        <w:spacing w:after="0" w:line="178"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Appurtenant Rights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7" w:lineRule="auto"/>
        <w:tabs>
          <w:tab w:leader="none" w:pos="194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Tenant shall have, as appurtenant to the Premises, the nonexclusive right to use in common with others, subject to the Rules and Regulations (as defined in Section 6.3): (i) the entry, vestibules, main lobby and common locker room/shower room on the first level of the Building, the common stairways, elevators, sprinkler rooms, mechanical rooms, electric and telephone closets, and the pipes, sprinklers, ducts, conduits, wires and appurtenant fixtures and equipment serving the Premises in common with others, (ii) common walkways and driveways situated upon the Land that are necessary or reasonably convenient for access to the Building, (iii) access to, and use of in common with other tenants of, loading and receiving areas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7" w:name="page278"/>
    <w:bookmarkEnd w:id="277"/>
    <w:p>
      <w:pPr>
        <w:spacing w:after="0" w:line="270" w:lineRule="auto"/>
        <w:rPr>
          <w:sz w:val="20"/>
          <w:szCs w:val="20"/>
          <w:color w:val="auto"/>
        </w:rPr>
      </w:pPr>
      <w:r>
        <w:rPr>
          <w:rFonts w:ascii="Arial" w:cs="Arial" w:eastAsia="Arial" w:hAnsi="Arial"/>
          <w:sz w:val="17"/>
          <w:szCs w:val="17"/>
          <w:color w:val="auto"/>
        </w:rPr>
        <w:t>and freight elevators, and electrical and telephone closets, all subject to Rules and Regulations then in effect and (iv) if the Premises at any time includes less than the entire rentable floor area of any floor, the common corridors, vestibules, elevator lobby, lavatories, and freight elevator vestibule located on such floor (collectively, the “Common Areas”). Without limiting the foregoing, Tenant shall have as appurtenant to the Premises, (A) the right to use a portion of the first floor to house Tenant’s acid neutralization system (which shall be operated and maintained by Tenant), together with access thereto from the common hallway, (B) use of the central vacuum system and compressed air system in common with other tenants entitled thereto, together with access to such systems, and (C) the right to use Tenant’s Share of the Building’s solvent storage capacity of 480 gallons and access to the control areas therefor as more fully provided in Section 12.16 hereof. Tenant shall have 24-hour, seven (7) days per week access to the Premises, the space where Tenant’s acid neutralization system is located, the common central vacuum and compressed air systems, control areas for solvent storage, freight loading docks and freight elevators, and the dumpster and/or compactor provided by Landlord in the refuse disposal area, subject to the provisions of this Lease and interruption for External Causes, casualty and condemnation.</w:t>
      </w:r>
    </w:p>
    <w:p>
      <w:pPr>
        <w:spacing w:after="0" w:line="178" w:lineRule="exact"/>
        <w:rPr>
          <w:sz w:val="20"/>
          <w:szCs w:val="20"/>
          <w:color w:val="auto"/>
        </w:rPr>
      </w:pPr>
    </w:p>
    <w:p>
      <w:pPr>
        <w:ind w:right="20" w:firstLine="251"/>
        <w:spacing w:after="0" w:line="291" w:lineRule="auto"/>
        <w:tabs>
          <w:tab w:leader="none" w:pos="6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Subject to Section 4.1 with respect to installation requirements, Tenant shall have the right, at no additional rental cost, to install heating, ventilation and air conditioning equipment, generators, antennas, satellite dishes and other equipment on the roof of the Building in areas that in aggregate do not exceed Tenant’s proportionate share of roof area of the Building, in each case in locations designated by Landlord. Any such equipment installed by Tenant shall be for Tenant’s own use and shall be subject to (i) Landlord’s approval regarding location and installation specification, and such requirements intended to any specifications arising from the roof warranty, including the requirement to use such contractor(s) as Landlord may specify for such work, such approval not to be unreasonably withheld, conditioned or delayed, and (ii) applicable City of Cambridge and other legal requirements. Tenant shall be responsible for all costs relating to the installation, maintenance and removal of such equipment installed by Tenant on the Building roof.</w:t>
      </w:r>
    </w:p>
    <w:p>
      <w:pPr>
        <w:spacing w:after="0" w:line="167"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Landlord’s Reservations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88" w:lineRule="auto"/>
        <w:tabs>
          <w:tab w:leader="none" w:pos="194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Landlord reserves the right from time to time, without unreasonable interference with the Tenant’s use to alter or modify the Common Areas, provided that (i) the Landlord gives the Tenant reasonable advance notice of the Landlord’s contemplated alterations or modifications where they are reasonably likely to impact Tenant’s use and enjoyment of the Premises, (ii) any such actions are effected in a good and workmanlike manner, and</w:t>
      </w:r>
    </w:p>
    <w:p>
      <w:pPr>
        <w:ind w:right="780" w:firstLine="8"/>
        <w:spacing w:after="0" w:line="261" w:lineRule="auto"/>
        <w:tabs>
          <w:tab w:leader="none" w:pos="3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alterations or modifications do not permanently impair Tenant’s access to the Premises or its practical use and enjoyment thereof or of the Appurtenant Rights.</w:t>
      </w:r>
    </w:p>
    <w:p>
      <w:pPr>
        <w:spacing w:after="0" w:line="183" w:lineRule="exact"/>
        <w:rPr>
          <w:rFonts w:ascii="Arial" w:cs="Arial" w:eastAsia="Arial" w:hAnsi="Arial"/>
          <w:sz w:val="18"/>
          <w:szCs w:val="18"/>
          <w:color w:val="auto"/>
        </w:rPr>
      </w:pPr>
    </w:p>
    <w:p>
      <w:pPr>
        <w:ind w:right="120" w:firstLine="1305"/>
        <w:spacing w:after="0" w:line="257" w:lineRule="auto"/>
        <w:tabs>
          <w:tab w:leader="none" w:pos="19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addition to other rights reserved herein or by law, Landlord reserves the right from time to time, without unreasonable interruption of Tenant’s use and access to the Premises (and in any event during the existence of an emergency) (i) to make additions to or reconstructions of the Building and to install, use, maintain, repair, replace and relocate for service to the Premises and other parts of the Building, the pipes, ducts, conduits, wires and appurtenant fixtures, wherever located in the Premises, the Building, or elsewhere in the Property, provided that, to the extent practicable such installations, replacements or relocations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78" w:name="page279"/>
    <w:bookmarkEnd w:id="278"/>
    <w:p>
      <w:pPr>
        <w:ind w:right="20"/>
        <w:spacing w:after="0" w:line="277" w:lineRule="auto"/>
        <w:rPr>
          <w:sz w:val="20"/>
          <w:szCs w:val="20"/>
          <w:color w:val="auto"/>
        </w:rPr>
      </w:pPr>
      <w:r>
        <w:rPr>
          <w:rFonts w:ascii="Arial" w:cs="Arial" w:eastAsia="Arial" w:hAnsi="Arial"/>
          <w:sz w:val="18"/>
          <w:szCs w:val="18"/>
          <w:color w:val="auto"/>
        </w:rPr>
        <w:t>in the Premises shall be placed above ceiling surfaces, below floor surfaces, or to the outside of the interior face of perimeter walls; (ii) to name or change the name of the Building, and (iii) to grant easements and other rights with respect to the Property.</w:t>
      </w:r>
    </w:p>
    <w:p>
      <w:pPr>
        <w:spacing w:after="0" w:line="170"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Parking Passes.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From and after the Rent Commencement Date, the Landlord shall provide Parking Passes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use by the Tenant’s employees in accordance with the provisions of this Section 2.4, and in the 55 Franklin Street garage as designated on </w:t>
      </w:r>
      <w:r>
        <w:rPr>
          <w:rFonts w:ascii="Arial" w:cs="Arial" w:eastAsia="Arial" w:hAnsi="Arial"/>
          <w:sz w:val="17"/>
          <w:szCs w:val="17"/>
          <w:u w:val="single" w:color="auto"/>
          <w:color w:val="auto"/>
        </w:rPr>
        <w:t>Exhibit C-2</w:t>
      </w:r>
      <w:r>
        <w:rPr>
          <w:rFonts w:ascii="Arial" w:cs="Arial" w:eastAsia="Arial" w:hAnsi="Arial"/>
          <w:sz w:val="17"/>
          <w:szCs w:val="17"/>
          <w:color w:val="auto"/>
        </w:rPr>
        <w:t>. Landlord reserves the right to relocate some or all of Tenant’s parking spaces to other parking garages within University Park, which relocation right shall not be exercised by Landlord more than twice in any twelve (12)-month period. The Tenant agrees that it and all persons claiming by, through and under it, shall at all times abide by the Rules and Regulations with respect to the use of the parking facilities provided by the Landlord pursuant to this Lease. The Landlord acknowledges that it is the Landlord’s responsibility to assure Tenant that holders of Parking Passes who comply with the Rules and Regulations are able to park their motor vehicles in the designated parking facilities within the Park. The Tenant acknowledges that the parking facilities within the Park may be owned by an entity other than Landlord. In no event are Parking Passes transferable other than to the holder, from time to time, of the tenant’s interest under this Lease or a subtenant that has been demised all or a portion of the Premises in conformity with the requirements of this Lease. Parking Passes are limited to use by employees of either of the foregoing.</w:t>
      </w:r>
    </w:p>
    <w:p>
      <w:pPr>
        <w:spacing w:after="0" w:line="17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parking spaces relating to the Parking Passes shall be accessible twenty four (24) hours per day, seven (7) days per week. In no event are Parking Passes transferable other than to the holder, from time to time, of the tenant’s interest under this Lease or a subtenant that has been demised all or a portion of the Premises in conformity with the requirements of this Lease, and use of the Parking Pass is limited to use by employees, business invitees and visitors of either of the foregoing. The charge for each Parking Pass shall be equal to the Market Rate Parking Charge, established by the parking garage operator from time to time. “Market Rate Parking Charge” means the monthly parking rate for parking facilities charged from time to time by owners of parking facilities of comparable quality at mixed use office/research parks in the commercial markets that surround the MIT campus (East Cambridge/Kendall Square/Cambridgeport). The Market Rate Parking Charge shall constitute Additional Rent and shall be payable monthly to Landlord at the time and in the fashion in which Annual Fixed Rent under this Lease is payable. Without limiting Landlord’s other remedies under the Lease, if Tenant shall fail to pay the amounts due for such Parking Passes for more than thirty (30) days after notice of such failure, then Landlord may terminate Tenant’s rights to such Parking Passes immediately upon notice by Landlord.</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written request from time to time, and subject to availability (as determined by Landlord in its sole discretion), Tenant may obtain additional Parking Passes on a month-to-month basis (i.e. terminable by either party on 30 days’ prior written notice), which additional Parking Passes shall be provided to Tenant on all of the terms and conditions of this Article 2 except as expressly set forth in this sentence.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9" w:name="page280"/>
    <w:bookmarkEnd w:id="279"/>
    <w:p>
      <w:pPr>
        <w:ind w:firstLine="648"/>
        <w:spacing w:after="0" w:line="255" w:lineRule="auto"/>
        <w:rPr>
          <w:sz w:val="20"/>
          <w:szCs w:val="20"/>
          <w:color w:val="auto"/>
        </w:rPr>
      </w:pPr>
      <w:r>
        <w:rPr>
          <w:rFonts w:ascii="Arial" w:cs="Arial" w:eastAsia="Arial" w:hAnsi="Arial"/>
          <w:sz w:val="18"/>
          <w:szCs w:val="18"/>
          <w:color w:val="auto"/>
        </w:rPr>
        <w:t>At any time during the Term Landlord shall have the right to assign Landlord’s obligations to provide parking, as herein set forth, together with Landlord’s right to receive Additional Rent for such parking spaces as herein provided, to a separate entity created for the purpose of providing the parking privileges set forth herein. In such event, Landlord and Tenant agree to execute and deliver appropriate documentation, including documentation with the new entity, reasonably necessary to provide for the new entity to assume Landlord’s obligations to provide the parking privileges to Tenant as specified herein and for the Tenant to pay the Additional Rent attributable to the parking privileges directly to the new entity. Landlord shall, however, remain primarily liable for the provision of Tenant’s parking privileges.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Lease Commencement Date, Landlord Delivery Date and Rent Commencement Date</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The “Lease Commencement Date” and the “Landlord Delivery Date” shall be the date that Landlord delivers the Premises to Tenant in broom-clean shell condition, with all demolition associated with existing leasehold improvements complete and with the Premises in a condition to allow Tenant to commence the Tenant Work (“Tenant Construction Readiness”). The Landlord shall give written notice to Tenant as to the Landlord Delivery Date no less than ten (10) days prior to such Landlord Delivery Date, and the Landlord shall cause the Landlord Delivery Date to be no earlier than November 1, 2017 and no later than January 1, 2018. In the event that the Landlord Delivery Date has not occurred by February 15, 2018 (the “</w:t>
      </w:r>
      <w:r>
        <w:rPr>
          <w:rFonts w:ascii="Arial" w:cs="Arial" w:eastAsia="Arial" w:hAnsi="Arial"/>
          <w:sz w:val="16"/>
          <w:szCs w:val="16"/>
          <w:b w:val="1"/>
          <w:bCs w:val="1"/>
          <w:color w:val="auto"/>
        </w:rPr>
        <w:t>Outside Readiness Deadline</w:t>
      </w:r>
      <w:r>
        <w:rPr>
          <w:rFonts w:ascii="Arial" w:cs="Arial" w:eastAsia="Arial" w:hAnsi="Arial"/>
          <w:sz w:val="16"/>
          <w:szCs w:val="16"/>
          <w:color w:val="auto"/>
        </w:rPr>
        <w:t>”), subject in each case to extension for each day of Tenant Delay pursuant to the Work Letter, Tenant shall be entitled to one (1) day of abatement of Annual Fixed Rent for each day of such delay. In the event that Landlord has not completed Landlord’s Work within forty-five (45) days after the Outside Readiness Deadline, then Tenant shall be entitled to two (2) days of abatement of Annual Fixed Rent for each day of such delay. In the event that the Landlord Delivery Date has not occurred within one hundred thirty-five (135) days after the Outside Readiness Deadline, subject to extension for each day of Tenant Delay pursuant to the Work Letter, this Lease may be terminated by Tenant, effective upon written notice delivered to Landlord no later than the date that is ten</w:t>
      </w:r>
    </w:p>
    <w:p>
      <w:pPr>
        <w:spacing w:after="0" w:line="6" w:lineRule="exact"/>
        <w:rPr>
          <w:sz w:val="20"/>
          <w:szCs w:val="20"/>
          <w:color w:val="auto"/>
        </w:rPr>
      </w:pPr>
    </w:p>
    <w:p>
      <w:pPr>
        <w:ind w:right="20" w:firstLine="8"/>
        <w:spacing w:after="0" w:line="253" w:lineRule="auto"/>
        <w:tabs>
          <w:tab w:leader="none" w:pos="3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days after such one hundred thirty-fifth (135th) day after the Outside Readiness Deadline. If Tenant has not delivered such written notice of termination to Landlord within such required time period, then this Lease shall remain in full force and effect. If Tenant delivers such written notice of termination within such required time period, then the Security Deposit, or any balance thereof (i.e., after deducting therefrom all amounts to which Landlord is entitled under the provisions of this Lease), shall be returned to Tenant, and neither Landlord nor Tenant shall have any further rights, duties or obligations under this Lease, except any provisions which expressly survive termination of this Lease.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“Rent Commencement Date” shall be the earlier to occur of (i) Tenant’s occupancy of any portion of the Premises for business purposes, or</w:t>
      </w:r>
    </w:p>
    <w:p>
      <w:pPr>
        <w:spacing w:after="0" w:line="46" w:lineRule="exact"/>
        <w:rPr>
          <w:sz w:val="20"/>
          <w:szCs w:val="20"/>
          <w:color w:val="auto"/>
        </w:rPr>
      </w:pPr>
    </w:p>
    <w:p>
      <w:pPr>
        <w:ind w:right="60" w:firstLine="8"/>
        <w:spacing w:after="0" w:line="253" w:lineRule="auto"/>
        <w:tabs>
          <w:tab w:leader="none" w:pos="2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six (6) months after the Landlord Delivery Date (the “Scheduled Rent Commencement Date”). Notwithstanding the foregoing, upon the following terms and conditions, but not otherwise, if (i) the Landlord is delayed in achieving (a) Tenant Construction Readiness beyond the Tenant Construction Readiness Date, or (b) Substantial Completion of the Landlord’s Work beyond the Landlord’s Work Target Date, or (ii) the Tenant is delayed in Tenant’s Construction Work by a Landlord Delay and (iii) any such delay is not due to Tenant Delay, then the Scheduled Rent Commencement Date shall be postponed by the number of days that Tenant Construction Readiness and/or Substantial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80" w:name="page281"/>
    <w:bookmarkEnd w:id="280"/>
    <w:p>
      <w:pPr>
        <w:jc w:val="both"/>
        <w:ind w:right="20"/>
        <w:spacing w:after="0" w:line="264" w:lineRule="auto"/>
        <w:rPr>
          <w:sz w:val="20"/>
          <w:szCs w:val="20"/>
          <w:color w:val="auto"/>
        </w:rPr>
      </w:pPr>
      <w:r>
        <w:rPr>
          <w:rFonts w:ascii="Arial" w:cs="Arial" w:eastAsia="Arial" w:hAnsi="Arial"/>
          <w:sz w:val="18"/>
          <w:szCs w:val="18"/>
          <w:color w:val="auto"/>
        </w:rPr>
        <w:t>Completion of the Landlord’s Work is so delayed. Without limitation of the foregoing, there shall be no postponement of the Scheduled Rent Commencement Date to the extent that the Tenant Construction Readiness Date, the Substantial Completion of the Landlord’s Work or Tenant’s Construction Work is delayed on account of Tenant Delay.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Lease Commencement Date, the Rent Commencement Date, and the Term shall be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Extension Option</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Provided that there has been no Event of Default which is uncured and continuing on the part of the Tenant, and the Tenant or any entity which succeeds to Tenant’s rights hereunder pursuant to a Permitted Transfer is, as of the date of exercise and as of the commencement date of each Extension Term, actually occupying at least seventy-five percent (75%) of the Premises for its business purposes, the Tenant shall have the right to extend the Term hereof for one (1) additional period of five (5) years on the following terms and conditions (the “Extension Option):</w:t>
      </w:r>
    </w:p>
    <w:p>
      <w:pPr>
        <w:spacing w:after="0" w:line="171" w:lineRule="exact"/>
        <w:rPr>
          <w:sz w:val="20"/>
          <w:szCs w:val="20"/>
          <w:color w:val="auto"/>
        </w:rPr>
      </w:pPr>
    </w:p>
    <w:p>
      <w:pPr>
        <w:ind w:right="20" w:firstLine="1305"/>
        <w:spacing w:after="0" w:line="293" w:lineRule="auto"/>
        <w:tabs>
          <w:tab w:leader="none" w:pos="194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Tenant shall have the right to extend the Term hereof for one (1) period of five (5) years (the “Extension Term”) on the terms and conditions set forth in this Section 2.6(a) and (b). ‘‘Such right to extend the Term shall be exercised by the giving of notice by Tenant to Landlord at least nine (9) months prior to the expiration of the Initial Term (the “Extension Notice Deadline Date”). Upon the giving of such notice on or before the Extension Notice Deadline Date, this Lease and the Term hereof shall be extended for an additional term of five (5) years, without the necessity for the execution of any additional documents except a document memorializing the Annual Fixed Rent for the Extension Term to be determined as set forth below. Time shall be of the essence with respect to the Tenant’s giving notice to extend the Term on or before the Extension Notice Deadline Date.</w:t>
      </w:r>
    </w:p>
    <w:p>
      <w:pPr>
        <w:spacing w:after="0" w:line="164" w:lineRule="exact"/>
        <w:rPr>
          <w:rFonts w:ascii="Arial" w:cs="Arial" w:eastAsia="Arial" w:hAnsi="Arial"/>
          <w:sz w:val="16"/>
          <w:szCs w:val="16"/>
          <w:color w:val="auto"/>
        </w:rPr>
      </w:pPr>
    </w:p>
    <w:p>
      <w:pPr>
        <w:ind w:right="80" w:firstLine="1305"/>
        <w:spacing w:after="0" w:line="291" w:lineRule="auto"/>
        <w:tabs>
          <w:tab w:leader="none" w:pos="195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Extension Term shall be upon all the terms, conditions and provisions of this Lease except the Annual Fixed Rent during first Lease Year of the Extension Term shall be the then Extension Fair Rental Value of the Premises for the Extension Term to be determined under</w:t>
      </w: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Section 2.6(c) below with respect to which the Extension Fair Rental Value is to be established (the “Then Applicable Annual Fixed Rental Rate”). If the Tenant makes a written request to the Landlord for a proposal for the Extension Fair Rental Value for the Extension Term, the Landlord shall make such a written proposal to the Tenant within thirty (30) days after receipt of the Tenant’s request therefor, but in no event shall the Landlord be required to deliver such a proposal sooner than twelve (12) months prior to the date as of which such proposal is to become effective. Alternatively, the Landlord may, at its election, propose an Extension Fair Rental Value to the Tenant without any request having been made. The determination of the Extension Fair Rental Value shall include a determination as to whether an Annual Fixed Rent Escalator Factor should be applicable to the Extension Term, and, if so, the amount thereof.</w:t>
      </w:r>
    </w:p>
    <w:p>
      <w:pPr>
        <w:spacing w:after="0" w:line="164" w:lineRule="exact"/>
        <w:rPr>
          <w:rFonts w:ascii="Arial" w:cs="Arial" w:eastAsia="Arial" w:hAnsi="Arial"/>
          <w:sz w:val="16"/>
          <w:szCs w:val="16"/>
          <w:color w:val="auto"/>
        </w:rPr>
      </w:pPr>
    </w:p>
    <w:p>
      <w:pPr>
        <w:jc w:val="both"/>
        <w:ind w:right="260" w:firstLine="1305"/>
        <w:spacing w:after="0" w:line="264" w:lineRule="auto"/>
        <w:tabs>
          <w:tab w:leader="none" w:pos="19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purposes of this Section 2.6, the Extension Fair Rental Value of the Premises shall mean the then current fair market annual rent for leases of other space similarly improved, taking into account all relevant factors, including but not limited to the condition to which such premises have been improved, the economic terms and conditions specified in this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1" w:name="page282"/>
    <w:bookmarkEnd w:id="281"/>
    <w:p>
      <w:pPr>
        <w:ind w:right="40"/>
        <w:spacing w:after="0" w:line="286" w:lineRule="auto"/>
        <w:rPr>
          <w:sz w:val="20"/>
          <w:szCs w:val="20"/>
          <w:color w:val="auto"/>
        </w:rPr>
      </w:pPr>
      <w:r>
        <w:rPr>
          <w:rFonts w:ascii="Arial" w:cs="Arial" w:eastAsia="Arial" w:hAnsi="Arial"/>
          <w:sz w:val="16"/>
          <w:szCs w:val="16"/>
          <w:color w:val="auto"/>
        </w:rPr>
        <w:t>Lease that will be applicable thereto, for comparable laboratory and office space located in the commercial markets that surround the MIT campus (East Cambridge, Kendall Square, and Cambridgeport). The Landlord and the Tenant shall endeavor in good faith to agree upon the Extension Fair Rental Value of the Premises within thirty (30) days after the Tenant has exercised its option for the Extension Term. If the Extension Fair Rental Value of the Premises is not agreed upon by the Landlord and the Tenant within this time frame, each of the Landlord and the Tenant shall retain a real estate professional with at least ten</w:t>
      </w:r>
    </w:p>
    <w:p>
      <w:pPr>
        <w:spacing w:after="0" w:line="2" w:lineRule="exact"/>
        <w:rPr>
          <w:sz w:val="20"/>
          <w:szCs w:val="20"/>
          <w:color w:val="auto"/>
        </w:rPr>
      </w:pPr>
    </w:p>
    <w:p>
      <w:pPr>
        <w:ind w:firstLine="8"/>
        <w:spacing w:after="0" w:line="281" w:lineRule="auto"/>
        <w:tabs>
          <w:tab w:leader="none" w:pos="34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years continuous experience in the business of appraising or marketing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provided, however, if either party has not obtained such a report within said thirty (30) day period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“Final Professional”) to resolve the dispute as to the Extension Fair Rental Value for the Premises. If the Landlord and the Tenant cannot agree upon the designation of the Final Professional within thirty (30)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not perform his or her own valuation, but rather shall, within thirty (30) days after such submissions, select the submission which is closest to the determination of the Extension Fair Rental Value for the Premises which the Final Professional would have made acting alone. The Final Professional shall give notice of his or her selection to the Landlord and the Tenant and such decision shall be final and binding upon the Landlord and the Tenant. Each party shall pay the fees and expenses of its real estate professional and counsel, if any, in connection with any proceeding under this paragraph, and one-half of the fees and expenses of the Final Professional. In the event that the commencement of the Extension Term occurs prior to a final determination of the Extension Fair Rental Value therefor (the “Extension Rent Determination Date”), then the Tenant shall pay the Annual Fixed Rent at Annual Fixed Rental Rate for the last day of the Term prior to the commencement of such extension. If the Annual Fixed Rent for the Extension Term is determined to be greater than the Annual Fixed Rent paid with respect to the Premises prior to the Extension Rent Determination Date, then the Tenant shall pay to the Landlord the amount of such underpayment within ten</w:t>
      </w:r>
    </w:p>
    <w:p>
      <w:pPr>
        <w:spacing w:after="0" w:line="12" w:lineRule="exact"/>
        <w:rPr>
          <w:rFonts w:ascii="Arial" w:cs="Arial" w:eastAsia="Arial" w:hAnsi="Arial"/>
          <w:sz w:val="16"/>
          <w:szCs w:val="16"/>
          <w:color w:val="auto"/>
        </w:rPr>
      </w:pPr>
    </w:p>
    <w:p>
      <w:pPr>
        <w:ind w:left="360" w:hanging="352"/>
        <w:spacing w:after="0"/>
        <w:tabs>
          <w:tab w:leader="none" w:pos="3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days of the Extension Rent Determination Date, and if the Annual Fixed Rent for the Extension Term is determined to be less than the Annual Fixed</w:t>
      </w:r>
    </w:p>
    <w:p>
      <w:pPr>
        <w:spacing w:after="0" w:line="3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Rent paid with respect to the Premises prior to the Extension Rent Determination Date, then the Landlord shall credit the amount of such overpayment against the monthly installments of Annual Fixed Rent thereafter coming due.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RENT AND OTHER PAYMENTS</w:t>
      </w:r>
    </w:p>
    <w:p>
      <w:pPr>
        <w:spacing w:after="0" w:line="229"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Annual Fixed Rent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Annual Fixed Rent applicable to the Premises during the Term shall be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On the Rent Commencement Date and on the first day of each month thereafter, the Tenant shall pay, without notice or demand, monthly installments of one twelfth (1/12) of the Annual Fixed Rent in effect in advance for each full calendar month of the Term following the Rent Commencement Date and a corresponding fraction of said one twelfth (1/12) for any fraction of a calendar month in which the Rent Commencement Date occurs. On the day that is the first anniversary of the Rent Commencement Date, and on each anniversary of that date thereafter, Annual Fixed Rent for the Premises shall increase to an amount equal to one hundred three percent (103%) of the Annual Fixed Rent immediately preceding such anniversary.</w:t>
      </w:r>
    </w:p>
    <w:p>
      <w:pPr>
        <w:spacing w:after="0" w:line="178"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Real Estate Taxes</w:t>
      </w:r>
      <w:r>
        <w:rPr>
          <w:rFonts w:ascii="Arial" w:cs="Arial" w:eastAsia="Arial" w:hAnsi="Arial"/>
          <w:sz w:val="15"/>
          <w:szCs w:val="15"/>
          <w:color w:val="auto"/>
        </w:rPr>
        <w:t>.</w:t>
      </w:r>
    </w:p>
    <w:p>
      <w:pPr>
        <w:spacing w:after="0" w:line="225"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From and after the Rent Commencement Date, during the Term, the Tenant shall pay to the Landlord, as Additional Rent, the Tenant’s Tax Expenses Allocable to the Premises (as such term is hereinafter defined) in accordance with this Section 3.2. The terms used in this Section 3.2 are defined as follows:</w:t>
      </w:r>
    </w:p>
    <w:p>
      <w:pPr>
        <w:spacing w:after="0" w:line="124" w:lineRule="exact"/>
        <w:rPr>
          <w:sz w:val="20"/>
          <w:szCs w:val="20"/>
          <w:color w:val="auto"/>
        </w:rPr>
      </w:pPr>
    </w:p>
    <w:p>
      <w:pPr>
        <w:ind w:right="240" w:firstLine="1305"/>
        <w:spacing w:after="0" w:line="277" w:lineRule="auto"/>
        <w:tabs>
          <w:tab w:leader="none" w:pos="194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 Fiscal Year” means the 12 month period beginning on the first date of the fiscal period in respect of which real estate taxes are due and payable to the appropriate governmental taxing authority.</w:t>
      </w:r>
    </w:p>
    <w:p>
      <w:pPr>
        <w:spacing w:after="0" w:line="170" w:lineRule="exact"/>
        <w:rPr>
          <w:rFonts w:ascii="Arial" w:cs="Arial" w:eastAsia="Arial" w:hAnsi="Arial"/>
          <w:sz w:val="18"/>
          <w:szCs w:val="18"/>
          <w:color w:val="auto"/>
        </w:rPr>
      </w:pPr>
    </w:p>
    <w:p>
      <w:pPr>
        <w:ind w:right="120" w:firstLine="1305"/>
        <w:spacing w:after="0" w:line="270" w:lineRule="auto"/>
        <w:tabs>
          <w:tab w:leader="none" w:pos="195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Tenant’s Tax Expense Allocable to the Premises” means (i) that portion of the Landlord’s Tax Expenses for an Operating Fiscal Year (as defined below) which bears the same proportion thereto as the rentable floor area of the Premises (from time to time) bears to the rentable floor area of the Building and (ii) in the event that the Premises are improved to a standard which is materially higher than other portions of the Property and the taxing authority has calculated the Building valuation on such basis as provided in the notice of such new valuation or reassessment, such portion of the Real Estate Taxes on the Property with respect to any Operating Fiscal Year as is appropriate so that the Tenant bears the portion of the Real Estate Taxes which are properly allocable to the Premises, as reasonably determined by Landlord based on information with respect to the assessment process made available by the assessing authorities. Notwithstanding the foregoing, laboratory improvements made to the Premises that are typical in a Class A laboratory building in Cambridge shall not be deemed to result in the Premises being improved to a standard which is materially higher than other portions of the Property.</w:t>
      </w:r>
    </w:p>
    <w:p>
      <w:pPr>
        <w:spacing w:after="0" w:line="181" w:lineRule="exact"/>
        <w:rPr>
          <w:rFonts w:ascii="Arial" w:cs="Arial" w:eastAsia="Arial" w:hAnsi="Arial"/>
          <w:sz w:val="17"/>
          <w:szCs w:val="17"/>
          <w:color w:val="auto"/>
        </w:rPr>
      </w:pPr>
    </w:p>
    <w:p>
      <w:pPr>
        <w:ind w:right="20" w:firstLine="1305"/>
        <w:spacing w:after="0" w:line="277" w:lineRule="auto"/>
        <w:tabs>
          <w:tab w:leader="none" w:pos="19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Landlord’s Tax Expenses” with respect to any Tax Fiscal Year means the aggregate Real Estate Taxes with respect to that Tax Fiscal Year, reduced by any abatement receipts with respect to that Tax Fiscal Year.</w:t>
      </w:r>
    </w:p>
    <w:p>
      <w:pPr>
        <w:spacing w:after="0" w:line="170"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“Real Estate Taxes” means (i) all taxes, assessments and similar charges of every kind and nature assessed by any governmental authority on the Property; (ii) reasonable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2" w:name="page283"/>
    <w:bookmarkEnd w:id="282"/>
    <w:p>
      <w:pPr>
        <w:ind w:right="80"/>
        <w:spacing w:after="0" w:line="285" w:lineRule="auto"/>
        <w:rPr>
          <w:sz w:val="20"/>
          <w:szCs w:val="20"/>
          <w:color w:val="auto"/>
        </w:rPr>
      </w:pPr>
      <w:r>
        <w:rPr>
          <w:rFonts w:ascii="Arial" w:cs="Arial" w:eastAsia="Arial" w:hAnsi="Arial"/>
          <w:sz w:val="16"/>
          <w:szCs w:val="16"/>
          <w:color w:val="auto"/>
        </w:rPr>
        <w:t>expenses incurred in connection with negotiating with the city assessor’s office, in advance of the establishment of the assessed valuation of the Property, to establish a fair and reasonable assessment therefor; and (iii) reasonable expenses incurred in connection with any proceedings for abatement of such taxes or special assessments. Any special assessments to be included within the definition of “Real Estate Taxes” shall be limited to the amount of the installment (plus any interest thereon) of such special tax or special assessment (which shall be payable over the longest period permitted by law as reasonably determined by Landlord) required to be paid during the Operating Fiscal Year in respect of which such taxes are being determined. Without limiting the foregoing, Real Estate Taxes include any payments in lieu of taxes. There shall be excluded from such taxes all income, estate, succession, inheritance, excess profit, franchise and transfer taxes, and delinquency interest or penalties; provided, however, that if at any time during the Term the present system of ad valorem taxation of real property shall be changed so that in lieu of the whole or any part of the ad valorem tax on real property, there shall be assessed on the Landlord a capital levy or other tax on the gross rents received with respect to the Property, or a federal, state, county, municipal or other local income, franchise, excise or similar tax, assessment, levy or charge (distinct from any now in effect) based, in whole or in part, upon any such gross rents, then any and all of such taxes, assessments, levies or charges, to the extent so based, shall be deemed to be included within the term “Real Estate Taxes,” based on the Property being the Landlord’s only property. Landlord may elect to allocate Real Estate Taxes separately among tenants with different use categories in the Building from time to time based on such factors as the Landlord reasonably determines (rather than on a proportionate basis based on square feet) if Landlord reasonably determines it is necessary to fairly allocate the Real Estate Taxes, provided that Landlord will not allocate Real Estate Taxes separately for any tenant whose use includes laboratory or research and development use along with office or other uses but may allocate Real Estate Taxes separately for tenants whose use is solely office use or solely retail use.</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Payments by the Tenant on account of the Tenant’s Tax Expense Allocable to the Premises shall be made monthly at the time and in the fashion herein provided for the payment of Annual Fixed Rent and shall be in an amount of the greater of (i) one twelfth (1/12) of the Tenant’s Tax Expense Allocable to the Premises for the current Operating Fiscal Year as reasonably estimated by the Landlord, or (ii) an amount reasonably estimated by any holder of a first mortgage or similar lien on the Property, to be sufficient, if paid monthly, to pay the Tenant’s Tax Expense Allocable to the Premises on the dates due to the taxing authority.</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Not later than one hundred twenty (120) days after the end of each Operating Fiscal Year or fraction thereof at the end of during the Term, the Landlord shall render the Tenant a statement in reasonable detail showing for the preceding Tax Fiscal Year of the Term or fraction thereof, as the case may be, real estate taxes on the Property, and any abatements or refunds of such taxes, together with a copy of the tax bill or bills for the Tax Fiscal Year in question. Reasonable expenses incurred in obtaining any tax abatement or refund not previously charged may be charged against such tax abatement or refund before the adjustments are made for the Tax Fiscal Year. If at the time such statement is rendered it is determined with respect to any Operating Fiscal Year, that the Tenant has paid (i) less than the Tenant’s Tax Expense Allocable to the Premises or (ii) more than the Tenant’s Tax Expense Allocable to the Premises, then, in the case of (i) the Tenant shall pay to the Landlord, as Additional Rent, within thirty (30) days of such statement the amount of such underpayment and, in the case of (ii) the Landlord shall credit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83" w:name="page284"/>
    <w:bookmarkEnd w:id="283"/>
    <w:p>
      <w:pPr>
        <w:ind w:right="40"/>
        <w:spacing w:after="0" w:line="289" w:lineRule="auto"/>
        <w:rPr>
          <w:sz w:val="20"/>
          <w:szCs w:val="20"/>
          <w:color w:val="auto"/>
        </w:rPr>
      </w:pPr>
      <w:r>
        <w:rPr>
          <w:rFonts w:ascii="Arial" w:cs="Arial" w:eastAsia="Arial" w:hAnsi="Arial"/>
          <w:sz w:val="16"/>
          <w:szCs w:val="16"/>
          <w:color w:val="auto"/>
        </w:rPr>
        <w:t>the amount of such overpayment against the monthly installments of the Tenant’s Tax Expense Allocable to the Premises next thereafter coming due (or refund such overpayment within thirty (30) days if the Term has expired to the extent that such overpayment exceeds any amount then due from the Tenant to the Landlord). To the extent that real estate taxes shall be payable to the taxing authority in installments with respect to periods less than a Tax Fiscal Year, the statement to be furnished by the Landlord shall be rendered and payments made on account of such installments. Landlord shall, upon Tenant’s request, provide Tenant with a copy of all applicable tax bills, statements, records and the like, as well as’ any reasonably relevant supporting documentation in Landlord’s possession. If the Commencement Date occurs on other than the first day of an Operating Fiscal Year, or if the Termination Date occurs on other than the last day of an Operating Fiscal Year, then the amount of Tenant’s Tax Expense Allocable to the Premises payable by the Tenant with respect to such Operating Fiscal Year(s) shall be prorated based upon the ratio of the length of the time period during such Operating Fiscal Year(s) in respect of which the Tenant has an obligation to pay Tenant’s Tax Expense Allocable to the Premises to the length of such Operating Fiscal Year(s). ‘</w:t>
      </w:r>
    </w:p>
    <w:p>
      <w:pPr>
        <w:spacing w:after="0" w:line="167"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5"/>
          <w:szCs w:val="15"/>
          <w:u w:val="single" w:color="auto"/>
          <w:color w:val="auto"/>
        </w:rPr>
        <w:t>Operating Expenses</w:t>
      </w:r>
      <w:r>
        <w:rPr>
          <w:rFonts w:ascii="Arial" w:cs="Arial" w:eastAsia="Arial" w:hAnsi="Arial"/>
          <w:sz w:val="15"/>
          <w:szCs w:val="15"/>
          <w:color w:val="auto"/>
        </w:rPr>
        <w:t>.</w:t>
      </w:r>
    </w:p>
    <w:p>
      <w:pPr>
        <w:spacing w:after="0" w:line="22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From and after the Rent Commencement Date, during the Term, the Tenant shall pay to the Landlord, as Additional Rent, the Tenant’s Operating Expenses Allocable to the Premises, in accordance with this Section 3.3 including, without limitation, the conditions and limitations set forth in clauses</w:t>
      </w:r>
    </w:p>
    <w:p>
      <w:pPr>
        <w:ind w:firstLine="8"/>
        <w:spacing w:after="0" w:line="284" w:lineRule="auto"/>
        <w:tabs>
          <w:tab w:leader="none" w:pos="2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through (l) below, with respect to each twelve (12) month period beginning January 1 each year or such other fiscal period of twelve (12) consecutive months hereinafter adopted by the Landlord for lease administration purposes (“Operating Fiscal Year”). Subject to the provisions of this Section 3.3, “The Tenant’s Operating Expenses Allocable to the Premises” means that portion of the Operating Expenses for the Property which bears the same proportion thereto as the rentable floor area of the Premises bears to the rentable floor area of the Building. The term “Operating Expenses for the Property” means the Landlord’s actual cost of managing, operating, cleaning, maintaining and repairing the Property, including the roads, driveways and walkways providing access to the Building, and shall include without limitation, the cost of fulfilling the maintenance and repair obligations required to be performed by Landlord under Section 5.1 and, subject to the exclusions set forth below, the cost of services performed by Landlord and specified on </w:t>
      </w:r>
      <w:r>
        <w:rPr>
          <w:rFonts w:ascii="Arial" w:cs="Arial" w:eastAsia="Arial" w:hAnsi="Arial"/>
          <w:sz w:val="16"/>
          <w:szCs w:val="16"/>
          <w:u w:val="single" w:color="auto"/>
          <w:color w:val="auto"/>
        </w:rPr>
        <w:t>Exhibit E</w:t>
      </w:r>
      <w:r>
        <w:rPr>
          <w:rFonts w:ascii="Arial" w:cs="Arial" w:eastAsia="Arial" w:hAnsi="Arial"/>
          <w:sz w:val="16"/>
          <w:szCs w:val="16"/>
          <w:color w:val="auto"/>
        </w:rPr>
        <w:t>; premiums for insurance carried pursuant to Section 7.4; the amount of any deductible associated with an insurance claim of the Landlord; compensation (including, without limitation, fringe benefits, worker’s compensation insurance premiums and payroll taxes) paid to, for or with respect to all persons engaged in the managing, operating, maintaining or cleaning the Property; legal, auditing, consulting, and professional fees and other costs incurred in connection with the normal and routine maintenance and operation of the Building; interior landscaping and maintenance; steam, water, sewer, gas, oil, electricity, telephone and other utility charges (excluding any such utility charges either separately metered or separately chargeable to the Tenant); cost of providing HVAC services; cost of building and cleaning supplies; the costs of routine environmental and energy efficiency management programs operated by Landlord; market rental costs (or alternatively the Amortization Charge Off (as hereinafter defined) so long as the expenses which are the subject of such Amortization Charge Off would have been permitted Operating Expenses had the item in question been purchased) with respect to equipment used in managing, operating, cleaning, maintaining or repairing the Property; cost of cleaning; cost of maintenance and non-capital repairs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4" w:name="page285"/>
    <w:bookmarkEnd w:id="284"/>
    <w:p>
      <w:pPr>
        <w:spacing w:after="0" w:line="268" w:lineRule="auto"/>
        <w:rPr>
          <w:sz w:val="20"/>
          <w:szCs w:val="20"/>
          <w:color w:val="auto"/>
        </w:rPr>
      </w:pPr>
      <w:r>
        <w:rPr>
          <w:rFonts w:ascii="Arial" w:cs="Arial" w:eastAsia="Arial" w:hAnsi="Arial"/>
          <w:sz w:val="17"/>
          <w:szCs w:val="17"/>
          <w:color w:val="auto"/>
        </w:rPr>
        <w:t>replacements; cost of snow removal; cost of landscape maintenance; cost of security services; payments under service contracts with independent contractors; management fees at reasonable rates consistent with comparable multi-tenant buildings, as applicable, in the submarket within which the Premises is located with the type of occupancy and services rendered, not to exceed three percent (3%) of Annual Fixed Rent in any year; the cost of any capital repairs, replacements or improvements which (i) are required by any law or regulation enacted or promulgated after the date of this Lease, (ii) reduce Operating Expenses, or (iii) improve the management and operation of the Property or the Common Areas in a manner reasonably acceptable and consented to by Tenant in writing in advance of such expenditure (all such capital costs to be amortized on a straight line basis in accordance with generally accepted accounting principles, together with interest on the unamortized balance at such rate as may have been paid by the Landlord on funds borrowed for the purpose of making such capital repairs, replacements or improvements (or if the Landlord did not borrow such funds, then at the base lending rate announced by a major commercial bank designated by the Landlord), with only the annual amortization amount (“Amortization Charge Off”) being included in Operating Expenses with respect to any Operating Fiscal Year); charges equitably and reasonably allocated to the Building for the operating, cleaning, maintaining, securing and repairing of the Common Areas excluding the initial capital improvement costs associated with initially establishing the Common Areas; costs incurred by Landlord in connection with any employee transportation assistance consisting of shuttle service between the Park and public transportation; and all other reasonable and necessary (in the Landlord’s reasonable judgment) expenses paid in connection with the operation, cleaning, maintenance and repair of the Property and Common Areas.</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less than ninety-five percent (95%) of the total rentable floor area of the Building is occupied at any time during the term of this Lease, Landlord may extrapolate components of Operating Expenses that vary with occupancy as though ninety-five percent (95%) of the total rentable floor area of the Building had been occupied at all times during such period, but only if such expenses are actually expended. Additionally, Tenant shall not be charged for amounts allocable to vacant space.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Property shall not include the following:</w:t>
      </w:r>
    </w:p>
    <w:p>
      <w:pPr>
        <w:spacing w:after="0" w:line="225" w:lineRule="exact"/>
        <w:rPr>
          <w:sz w:val="20"/>
          <w:szCs w:val="20"/>
          <w:color w:val="auto"/>
        </w:rPr>
      </w:pPr>
    </w:p>
    <w:p>
      <w:pPr>
        <w:ind w:right="160" w:firstLine="1305"/>
        <w:spacing w:after="0" w:line="308" w:lineRule="auto"/>
        <w:tabs>
          <w:tab w:leader="none" w:pos="194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cost or expense to the extent to which Landlord is paid or reimbursed, or which is reimbursable to the Landlord, from a third party (other than as a payment for Operating Expenses), insurance, warranties, service contracts, condemnation proceeds or similar sources;</w:t>
      </w:r>
    </w:p>
    <w:p>
      <w:pPr>
        <w:spacing w:after="0" w:line="146" w:lineRule="exact"/>
        <w:rPr>
          <w:rFonts w:ascii="Arial" w:cs="Arial" w:eastAsia="Arial" w:hAnsi="Arial"/>
          <w:sz w:val="17"/>
          <w:szCs w:val="17"/>
          <w:color w:val="auto"/>
        </w:rPr>
      </w:pPr>
    </w:p>
    <w:p>
      <w:pPr>
        <w:jc w:val="both"/>
        <w:ind w:right="280" w:firstLine="1305"/>
        <w:spacing w:after="0" w:line="264" w:lineRule="auto"/>
        <w:tabs>
          <w:tab w:leader="none" w:pos="19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salaries and bonuses of officers or executives of Landlord or administrative employees above the grade of the Building general manager, and if personnel below such grades are shared with other buildings or have other duties not related to the Building, only the allocable portion of such person or persons salary shall be included in Operating Expenses;</w:t>
      </w:r>
    </w:p>
    <w:p>
      <w:pPr>
        <w:spacing w:after="0" w:line="181" w:lineRule="exact"/>
        <w:rPr>
          <w:rFonts w:ascii="Arial" w:cs="Arial" w:eastAsia="Arial" w:hAnsi="Arial"/>
          <w:sz w:val="18"/>
          <w:szCs w:val="18"/>
          <w:color w:val="auto"/>
        </w:rPr>
      </w:pPr>
    </w:p>
    <w:p>
      <w:pPr>
        <w:ind w:right="580" w:firstLine="1305"/>
        <w:spacing w:after="0" w:line="277" w:lineRule="auto"/>
        <w:tabs>
          <w:tab w:leader="none" w:pos="19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interest on debt or principal amortization payments (except as expressly otherwise provided) or any other payments on any mortgage or any payments under any ground lease;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5" w:name="page286"/>
    <w:bookmarkEnd w:id="285"/>
    <w:p>
      <w:pPr>
        <w:ind w:left="-660" w:firstLine="1305"/>
        <w:spacing w:after="0" w:line="257" w:lineRule="auto"/>
        <w:tabs>
          <w:tab w:leader="none" w:pos="12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fees, costs, and commissions incurred in procuring or attempting to procure other tenants including, but not necessarily limited to brokerage commissions, finders’ fees, attorneys’ fees and expenses, entertainment costs and travel expenses, marketing costs,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Building;</w:t>
      </w:r>
    </w:p>
    <w:p>
      <w:pPr>
        <w:spacing w:after="0" w:line="188" w:lineRule="exact"/>
        <w:rPr>
          <w:rFonts w:ascii="Arial" w:cs="Arial" w:eastAsia="Arial" w:hAnsi="Arial"/>
          <w:sz w:val="18"/>
          <w:szCs w:val="18"/>
          <w:color w:val="auto"/>
        </w:rPr>
      </w:pPr>
    </w:p>
    <w:p>
      <w:pPr>
        <w:ind w:left="-660" w:right="80" w:firstLine="1305"/>
        <w:spacing w:after="0" w:line="259" w:lineRule="auto"/>
        <w:tabs>
          <w:tab w:leader="none" w:pos="12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cost included in Operating Expenses representing an amount paid to a person, firm, corporation or other entity related to Landlord which is in excess of the amount which would have been paid on an arms’ length basis in the absence of such relationship (provided that nothing herein shall be construed as requiring that the cost in question equal the lowest possible cost; only that the cost not be inflated solely due to the absence of an arms’ length relationship);</w:t>
      </w:r>
    </w:p>
    <w:p>
      <w:pPr>
        <w:spacing w:after="0" w:line="186" w:lineRule="exact"/>
        <w:rPr>
          <w:rFonts w:ascii="Arial" w:cs="Arial" w:eastAsia="Arial" w:hAnsi="Arial"/>
          <w:sz w:val="18"/>
          <w:szCs w:val="18"/>
          <w:color w:val="auto"/>
        </w:rPr>
      </w:pPr>
    </w:p>
    <w:p>
      <w:pPr>
        <w:ind w:left="1300" w:hanging="655"/>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depreciation of the Building or any part thereof;</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costs incurred for services or maintenance attributable to portions of the Park which Tenant does not have the right to use;</w:t>
      </w:r>
    </w:p>
    <w:p>
      <w:pPr>
        <w:spacing w:after="0" w:line="248" w:lineRule="exact"/>
        <w:rPr>
          <w:rFonts w:ascii="Arial" w:cs="Arial" w:eastAsia="Arial" w:hAnsi="Arial"/>
          <w:sz w:val="16"/>
          <w:szCs w:val="16"/>
          <w:color w:val="auto"/>
        </w:rPr>
      </w:pPr>
    </w:p>
    <w:p>
      <w:pPr>
        <w:ind w:left="1300" w:hanging="655"/>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costs attributable to the parking garages within University Park;</w:t>
      </w:r>
    </w:p>
    <w:p>
      <w:pPr>
        <w:spacing w:after="0" w:line="225" w:lineRule="exact"/>
        <w:rPr>
          <w:rFonts w:ascii="Arial" w:cs="Arial" w:eastAsia="Arial" w:hAnsi="Arial"/>
          <w:sz w:val="18"/>
          <w:szCs w:val="18"/>
          <w:color w:val="auto"/>
        </w:rPr>
      </w:pPr>
    </w:p>
    <w:p>
      <w:pPr>
        <w:ind w:right="400" w:firstLine="645"/>
        <w:spacing w:after="0" w:line="277" w:lineRule="auto"/>
        <w:tabs>
          <w:tab w:leader="none" w:pos="13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costs which may be considered capital improvements, capital repairs, capital changes or any other capital costs as determined under generally accepted accounting principles except for the Amortization Charge Off;</w:t>
      </w:r>
    </w:p>
    <w:p>
      <w:pPr>
        <w:spacing w:after="0" w:line="170" w:lineRule="exact"/>
        <w:rPr>
          <w:rFonts w:ascii="Arial" w:cs="Arial" w:eastAsia="Arial" w:hAnsi="Arial"/>
          <w:sz w:val="18"/>
          <w:szCs w:val="18"/>
          <w:color w:val="auto"/>
        </w:rPr>
      </w:pPr>
    </w:p>
    <w:p>
      <w:pPr>
        <w:ind w:right="140" w:firstLine="645"/>
        <w:spacing w:after="0" w:line="277" w:lineRule="auto"/>
        <w:tabs>
          <w:tab w:leader="none" w:pos="13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advertising and promotional expenditures, and costs of acquisition and maintenance of signs in or on the Building identifying the owner of the Building or other tenants;</w:t>
      </w:r>
    </w:p>
    <w:p>
      <w:pPr>
        <w:spacing w:after="0" w:line="170" w:lineRule="exact"/>
        <w:rPr>
          <w:rFonts w:ascii="Arial" w:cs="Arial" w:eastAsia="Arial" w:hAnsi="Arial"/>
          <w:sz w:val="18"/>
          <w:szCs w:val="18"/>
          <w:color w:val="auto"/>
        </w:rPr>
      </w:pPr>
    </w:p>
    <w:p>
      <w:pPr>
        <w:jc w:val="both"/>
        <w:ind w:right="140" w:firstLine="645"/>
        <w:spacing w:after="0" w:line="264" w:lineRule="auto"/>
        <w:tabs>
          <w:tab w:leader="none" w:pos="13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costs, including permit, license and inspection costs, incurred with respect to the installation of other tenants’ or other occupants’ improvements or incurred in renovating or otherwise improving, decorating, painting or redecorating vacant space for tenants or other occupants of the Building;</w:t>
      </w:r>
    </w:p>
    <w:p>
      <w:pPr>
        <w:spacing w:after="0" w:line="181" w:lineRule="exact"/>
        <w:rPr>
          <w:rFonts w:ascii="Arial" w:cs="Arial" w:eastAsia="Arial" w:hAnsi="Arial"/>
          <w:sz w:val="18"/>
          <w:szCs w:val="18"/>
          <w:color w:val="auto"/>
        </w:rPr>
      </w:pPr>
    </w:p>
    <w:p>
      <w:pPr>
        <w:ind w:left="1320" w:hanging="675"/>
        <w:spacing w:after="0"/>
        <w:tabs>
          <w:tab w:leader="none" w:pos="13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expenses in connection with services or other benefits which are not offered to Tenant or for which Tenant is charged for directly;</w:t>
      </w:r>
    </w:p>
    <w:p>
      <w:pPr>
        <w:spacing w:after="0" w:line="248" w:lineRule="exact"/>
        <w:rPr>
          <w:rFonts w:ascii="Arial" w:cs="Arial" w:eastAsia="Arial" w:hAnsi="Arial"/>
          <w:sz w:val="16"/>
          <w:szCs w:val="16"/>
          <w:color w:val="auto"/>
        </w:rPr>
      </w:pPr>
    </w:p>
    <w:p>
      <w:pPr>
        <w:ind w:left="1300" w:hanging="655"/>
        <w:spacing w:after="0"/>
        <w:tabs>
          <w:tab w:leader="none" w:pos="1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costs incurred by Landlord due to the violation by Landlord or any tenant of the terms and conditions of any lease of space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Building;</w:t>
      </w:r>
    </w:p>
    <w:p>
      <w:pPr>
        <w:spacing w:after="0" w:line="210" w:lineRule="exact"/>
        <w:rPr>
          <w:rFonts w:ascii="Arial" w:cs="Arial" w:eastAsia="Arial" w:hAnsi="Arial"/>
          <w:sz w:val="16"/>
          <w:szCs w:val="16"/>
          <w:color w:val="auto"/>
        </w:rPr>
      </w:pPr>
    </w:p>
    <w:p>
      <w:pPr>
        <w:ind w:right="360" w:firstLine="645"/>
        <w:spacing w:after="0" w:line="277" w:lineRule="auto"/>
        <w:tabs>
          <w:tab w:leader="none" w:pos="13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amounts paid to Landlord or to subsidiaries or affiliates of Landlord for goods and/or services in the Building to the extent the same exceeds the costs of such goods and/or services rendered by unaffiliated third parties on a competitive basis;</w:t>
      </w:r>
    </w:p>
    <w:p>
      <w:pPr>
        <w:spacing w:after="0" w:line="170" w:lineRule="exact"/>
        <w:rPr>
          <w:sz w:val="20"/>
          <w:szCs w:val="20"/>
          <w:color w:val="auto"/>
        </w:rPr>
      </w:pPr>
    </w:p>
    <w:p>
      <w:pPr>
        <w:ind w:left="4960" w:right="3800" w:hanging="4315"/>
        <w:spacing w:after="0" w:line="528" w:lineRule="auto"/>
        <w:tabs>
          <w:tab w:leader="none" w:pos="129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Landlord’s general corporate overhead and corporate administrative expenses;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-90170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286" w:name="page287"/>
    <w:bookmarkEnd w:id="286"/>
    <w:p>
      <w:pPr>
        <w:ind w:left="660" w:right="360" w:firstLine="645"/>
        <w:spacing w:after="0" w:line="277"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Landlord, such as gym or athletic facilities, cafes or clubs;</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costs incurred in connection with upgrading the Building to comply with laws, rules, regulations and codes in effect prior to the Lease Commencement Date;</w:t>
      </w:r>
    </w:p>
    <w:p>
      <w:pPr>
        <w:spacing w:after="0" w:line="170" w:lineRule="exact"/>
        <w:rPr>
          <w:rFonts w:ascii="Arial" w:cs="Arial" w:eastAsia="Arial" w:hAnsi="Arial"/>
          <w:sz w:val="18"/>
          <w:szCs w:val="18"/>
          <w:color w:val="auto"/>
        </w:rPr>
      </w:pPr>
    </w:p>
    <w:p>
      <w:pPr>
        <w:ind w:left="660" w:right="760" w:firstLine="645"/>
        <w:spacing w:after="0" w:line="277"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costs arising from the negligence or willful misconduct of Landlord or other tenants or occupants of the Building or their respective agents, employees, licensees, vendors, contractors or providers of materials or services;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replacement or contingency reserves;</w:t>
      </w:r>
    </w:p>
    <w:p>
      <w:pPr>
        <w:spacing w:after="0" w:line="225" w:lineRule="exact"/>
        <w:rPr>
          <w:rFonts w:ascii="Arial" w:cs="Arial" w:eastAsia="Arial" w:hAnsi="Arial"/>
          <w:sz w:val="18"/>
          <w:szCs w:val="18"/>
          <w:color w:val="auto"/>
        </w:rPr>
      </w:pPr>
    </w:p>
    <w:p>
      <w:pPr>
        <w:ind w:left="660" w:right="20" w:firstLine="645"/>
        <w:spacing w:after="0" w:line="257" w:lineRule="auto"/>
        <w:tabs>
          <w:tab w:leader="none" w:pos="19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cost of removing or remediating Hazardous Materials from the Property; provided, however, that notwithstanding the foregoing, Operating Expenses shall be permitted to include the costs of remediation or other responses to Hazardous Material first discovered at the Property after the date of this Lease for which a third party or an occupant of the Property other than Landlord or Tenant is responsible and for which Landlord, after using commercially reasonable efforts, has not determined the party that is responsible so that such party can be charged for such costs;</w:t>
      </w:r>
    </w:p>
    <w:p>
      <w:pPr>
        <w:spacing w:after="0" w:line="188" w:lineRule="exact"/>
        <w:rPr>
          <w:sz w:val="20"/>
          <w:szCs w:val="20"/>
          <w:color w:val="auto"/>
        </w:rPr>
      </w:pPr>
    </w:p>
    <w:p>
      <w:pPr>
        <w:ind w:left="1960" w:hanging="655"/>
        <w:spacing w:after="0"/>
        <w:tabs>
          <w:tab w:leader="none" w:pos="1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costs arising from latent defects or repair thereof;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costs for sculpture, paintings or other objects of art.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Payments by the Tenant for its share of the Tenant’s Operating Expenses Allocable to the Premises shall be made monthly at the time and in the fashion herein provided for the payment of Annual Fixed Rent. The amount so to be paid to the Landlord shall be an amount from time to time reasonably estimated by the Landlord to be sufficient to aggregate a sum equal to the Tenant’s share of the Tenant’s Operating Expenses Allocable to the Premises for each Operating Fiscal Year.</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 later than one hundred twenty (120) days after the end of each Operating Fiscal Year or fraction thereof during the Term or fraction thereof at the end of the Term, the Landlord shall render the Tenant a statement in reasonable detail and according to usual accounting practices certified by an officer of the Landlord, showing for the preceding Operating Fiscal Year or fraction thereof, as the case may be, the Operating Expenses for the Property and Tenant’s Operating Expenses Allocable to the Premises. Said statement to be rendered to the Tenant also shall show for the preceding Operating Fiscal Year or fraction thereof, as the case may be, the amounts of Operating Expenses already paid by the Tenant. If at the time such statement is rendered it is determined with respect to any Operating Fiscal Year, that the Tenant has paid (i) less than the entirety of the Tenant’s Operating Expenses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7" w:name="page288"/>
    <w:bookmarkEnd w:id="287"/>
    <w:p>
      <w:pPr>
        <w:ind w:right="20"/>
        <w:spacing w:after="0" w:line="290" w:lineRule="auto"/>
        <w:rPr>
          <w:sz w:val="20"/>
          <w:szCs w:val="20"/>
          <w:color w:val="auto"/>
        </w:rPr>
      </w:pPr>
      <w:r>
        <w:rPr>
          <w:rFonts w:ascii="Arial" w:cs="Arial" w:eastAsia="Arial" w:hAnsi="Arial"/>
          <w:sz w:val="16"/>
          <w:szCs w:val="16"/>
          <w:color w:val="auto"/>
        </w:rPr>
        <w:t>Allocable to the Premises or (ii) more than the Tenant’s Operating Expenses Allocable to the Premises, then, in the case of (i) the Tenant shall pay to the Landlord, as Additional Rent, within thirty (30) days of such statement the amounts of such underpayment and, in the case of (ii) the Landlord shall credit the amount of such overpayment against the monthly installments of the Tenant’s Operating Expenses Allocable to the Premises next thereafter coming due (or refund such overpayment within thirty (30) days if the Term has expired to the extent that such overpayment exceeds any amount then due from the Tenant to the Landlord). If the Commencement Date occurs on other than the first day of an Operating Fiscal Year, or if the Termination Date occurs on other than the last day of an Operating Fiscal Year, then the amount of Tenant’s Operating Expenses Allocable to the Premises payable by the Tenant with respect to such Operating Fiscal Year(s) shall be prorated based upon the ratio of the length of the time period during such Operating Fiscal Year(s) in respect of which the Tenant has an obligation to pay Tenant’s Operating Expenses Allocable to the Premises to the length of such Operating Fiscal Year.</w:t>
      </w:r>
    </w:p>
    <w:p>
      <w:pPr>
        <w:spacing w:after="0" w:line="166"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The Tenant may examine or audit the accounts and original bills for Operating Expenses upon thirty (30) days’ prior written notice to the Landlord, but no more often than one (1) time in any Operating Fiscal Year or Fiscal Year, as applicable. The Landlord agrees that it will make available to the Tenant in the Landlord’s office in University Park, during regular business hours, such information as the Landlord has available at such office. In similar manner, the Tenant may examine such further records as Landlord may have, but such matters will be conducted where the Landlord customarily keeps such records, which may be at the headquarters of the Landlord’s parent company in Cleveland, Ohio. The Tenant shall bear the cost of any such audit, unless the same discloses a discrepancy in excess of five percent (5%) of the Tenant’s Operating Expenses for the Fiscal Year in question, in which event the Landlord shall reimburse the Tenant for such costs reasonably incurred. For any given Fiscal Year of the Landlord, the Tenant must make any such audit within six</w:t>
      </w:r>
    </w:p>
    <w:p>
      <w:pPr>
        <w:spacing w:after="0" w:line="3" w:lineRule="exact"/>
        <w:rPr>
          <w:sz w:val="20"/>
          <w:szCs w:val="20"/>
          <w:color w:val="auto"/>
        </w:rPr>
      </w:pPr>
    </w:p>
    <w:p>
      <w:pPr>
        <w:ind w:right="60" w:firstLine="8"/>
        <w:spacing w:after="0" w:line="281" w:lineRule="auto"/>
        <w:tabs>
          <w:tab w:leader="none" w:pos="2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months after the Tenant’s receipt of itemized statements (and any supporting documentation requested by the Tenant) referred to in the preceding paragraph. The Tenant must further make any claim for revision of Operating Expenses for such Fiscal Year by written notice to the Landlord within said six</w:t>
      </w:r>
    </w:p>
    <w:p>
      <w:pPr>
        <w:spacing w:after="0" w:line="1" w:lineRule="exact"/>
        <w:rPr>
          <w:rFonts w:ascii="Arial" w:cs="Arial" w:eastAsia="Arial" w:hAnsi="Arial"/>
          <w:sz w:val="16"/>
          <w:szCs w:val="16"/>
          <w:color w:val="auto"/>
        </w:rPr>
      </w:pPr>
    </w:p>
    <w:p>
      <w:pPr>
        <w:ind w:right="80" w:firstLine="8"/>
        <w:spacing w:after="0" w:line="261" w:lineRule="auto"/>
        <w:tabs>
          <w:tab w:leader="none" w:pos="2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month period. The Tenant shall have the right to deduct from future installments of Operating Expenses any overpayments for Operating Expenses made by Tenant which are disclosed by an audit conducted pursuant to this Section 3.3.</w:t>
      </w:r>
    </w:p>
    <w:p>
      <w:pPr>
        <w:spacing w:after="0" w:line="184"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Utility Charges.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Term, the Tenant shall pay directly to the provider of the service, all charges for steam, gas, electricity, fuel, water, sewer and other services and utilities furnished to the Premises and separately metered. Tenant shall purchase electricity from the utility service providing electricity to the Building from time to time. Landlord shall have the right at any time and from time to time to change the electricity provider to the Building. If at any time during the Term, any utility service to the Premises is not separately metered and paid directly to the service provider by Tenant, Tenant’s usage and billing shall depend upon Landlord’s reading of the check meters (or, if not check metered, upon the reasonable estimate of Tenant’s usage as determined by Landlord’s engineer) for such service or if, Tenant’s usage is non-determinable, based on the proportion of Tenant’s rentable square footage compared to other tenants having use of the same utility service. Unless separately metered and paid directly by Tenant, Additional Rent for utilities in the Premises may be estimated monthly by Landlord, based upon the estimate set forth in the preceding sentence, and shall be paid monthly by Tenant as billed with a final accounting based upon actual bills following the conclusion of each Operating Fiscal Year.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8" w:name="page289"/>
    <w:bookmarkEnd w:id="288"/>
    <w:p>
      <w:pPr>
        <w:ind w:left="90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Above Standard Services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If the Tenant requests and the Landlord elects to provide any services to the Tenant in addition to those described in </w:t>
      </w:r>
      <w:r>
        <w:rPr>
          <w:rFonts w:ascii="Arial" w:cs="Arial" w:eastAsia="Arial" w:hAnsi="Arial"/>
          <w:sz w:val="17"/>
          <w:szCs w:val="17"/>
          <w:u w:val="single" w:color="auto"/>
          <w:color w:val="auto"/>
        </w:rPr>
        <w:t>Exhibit E</w:t>
      </w:r>
      <w:r>
        <w:rPr>
          <w:rFonts w:ascii="Arial" w:cs="Arial" w:eastAsia="Arial" w:hAnsi="Arial"/>
          <w:sz w:val="17"/>
          <w:szCs w:val="17"/>
          <w:color w:val="auto"/>
        </w:rPr>
        <w:t>, the Tenant shall pay to the Landlord, as Additional Rent, the amount billed by Landlord for such services at Landlord’s standard rates as from time to time in effect. The cost of such services shall not be deemed to be Operating Expenses for the Property as described in Section 3.3. If the Tenant has requested that such services be provided on a regular basis, the Tenant shall, if requested by the Landlord, pay for such services at their actual cost to Landlord, including, without limitation, a reasonable overhead component, at the time and in the fashion in which Annual Fixed Rent under this Lease is payable. Otherwise, the Tenant shall pay for such additional services within thirty (30) days after receipt of an invoice from the Landlord.</w:t>
      </w:r>
    </w:p>
    <w:p>
      <w:pPr>
        <w:spacing w:after="0" w:line="178"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No Offsets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Annual Fixed Rent and Additional Rent shall be paid by the Tenant without offset, abatement or deduction except as provided herein. Without limiting the foregoing, Tenant’s obligation to pay rent shall be absolute, unconditional, and independent and shall not be discharged or otherwise affected by any law or regulation now or hereafter applicable to the Premises, or any other restriction on Tenant’s use, or, except as provided in Article 8, any casualty or taking, or any failure by Landlord to perform or other occurrence; except as expressly set forth in this Lease, Tenant waives all rights now or hereafter existing to terminate, quit or surrender this Lease or the Premises or any part thereof, or to assert any defense in the nature of constructive eviction to any action seeking to recover rent. Nothing in this Section 3.6 shall be deemed to prohibit Tenant from bringing a claim for injunctive relief against Landlord or seeking monetary damages in a separate proceeding against Landlord.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ALTERATIONS</w:t>
      </w:r>
    </w:p>
    <w:p>
      <w:pPr>
        <w:spacing w:after="0" w:line="229"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Consent Required for Tenant’s Alterations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Tenant shall not make alterations or additions to the Premises except in accordance with complete, coordinated construction plans and specifications therefor first approved by the Landlord, which approval shall not be unreasonably withheld or delayed. There will be no charge for Landlord’s review of Tenant’s plans, specifications and construction, except for Landlord’s reasonable, third party, out-of-pocket expenses. Notwithstanding the foregoing, the Tenant may, from time to time without the Landlord’s prior consent and at the Tenant’s own expense, make interior non-structural alterations and changes in and to the Premises, provided that such alterations or changes (i) do not diminish the value of the Building, (ii) do not exceed the applicable floor loading capacity of the Building; (iii) do not affect existing mechanical or electrical, plumbing, HVAC or other systems in the Building (except for standard balancing adjustments of existing systems that may be required when adding offices, conference rooms and the like), and/or (iv) do not affect the exterior appearance of the Building (including without limitation by changing glass or making changes to the Premises that are visible from the exterior of the Building), provided that any proposed alterations and changes costing Fifty Thousand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9" w:name="page290"/>
    <w:bookmarkEnd w:id="289"/>
    <w:p>
      <w:pPr>
        <w:ind w:right="80"/>
        <w:spacing w:after="0" w:line="285" w:lineRule="auto"/>
        <w:rPr>
          <w:sz w:val="20"/>
          <w:szCs w:val="20"/>
          <w:color w:val="auto"/>
        </w:rPr>
      </w:pPr>
      <w:r>
        <w:rPr>
          <w:rFonts w:ascii="Arial" w:cs="Arial" w:eastAsia="Arial" w:hAnsi="Arial"/>
          <w:sz w:val="16"/>
          <w:szCs w:val="16"/>
          <w:color w:val="auto"/>
        </w:rPr>
        <w:t>Dollars ($50,000) or more, and any proposed alterations and changes that do not fulfill the conditions of any of clauses (i) through (iv) above, shall require Landlord’s prior approval as aforesaid. Whether or not the Tenant’s changes and/or alterations require the Landlord’s consent pursuant to this paragraph, the Tenant shall, in each instance, give reasonable prior notice to the Landlord of the presence of Tenant’s contractors in the Building and any alterations and changes in and to the Premises which the Tenant intends to undertake, together with a reasonable description of the proposed work and such plans and specifications as the Tenant has therefor. The Landlord shall not be deemed unreasonable for withholding approval of any alterations or additions which</w:t>
      </w:r>
    </w:p>
    <w:p>
      <w:pPr>
        <w:spacing w:after="0" w:line="2" w:lineRule="exact"/>
        <w:rPr>
          <w:sz w:val="20"/>
          <w:szCs w:val="20"/>
          <w:color w:val="auto"/>
        </w:rPr>
      </w:pPr>
    </w:p>
    <w:p>
      <w:pPr>
        <w:ind w:firstLine="8"/>
        <w:spacing w:after="0" w:line="267" w:lineRule="auto"/>
        <w:tabs>
          <w:tab w:leader="none" w:pos="2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would adversely affect any structural or exterior element of the Building, (ii) would adversely affect the general utility of the Building for use by existing tenants or prospective future tenants thereof, (iii) would affect the exterior appearance of the Building in a manner which is not acceptable to the Landlord, in its sole discretion, (iv) will require unusual expense to readapt the Premises to normal use as laboratory space; or (v) would adversely affect existing mechanical or electrical, plumbing, HVAC or other systems in the Building, in each case, with respect to clauses (i)-(v), as reasonably determined by the Landlord in its sole discretion. The Landlord shall not be deemed unreasonable in delaying the approval of any alterations or additions to the extent that Landlord reasonably requires consultation with third party architects or engineers to review the plans for such work. In any notice withholding approval the Landlord shall specify, in reasonable detail, the nature of the Landlord’s objection. Neither the Landlord’s failure to object to any proposed alterations or additions, nor the Landlord’s approval of any plans and specifications furnished by Tenant to Landlord, shall be construed as superseding in any respect, or as a waiver of Landlord’s right to enforce, the Tenant’s obligation to fulfill all of the terms and conditions of this Lease applicable to any work contemplated thereby. All alterations and additions to the Premises shall be designed in reasonable accordance with the Building design standards promulgated by Landlord from time to time.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Notwithstanding anything to the contrary contained in this Section 4.1, if any of the Tenant’s proposed alterations and/or additions affect the roof of the Building, the following additional conditions shall apply:</w:t>
      </w:r>
    </w:p>
    <w:p>
      <w:pPr>
        <w:spacing w:after="0" w:line="170" w:lineRule="exact"/>
        <w:rPr>
          <w:sz w:val="20"/>
          <w:szCs w:val="20"/>
          <w:color w:val="auto"/>
        </w:rPr>
      </w:pPr>
    </w:p>
    <w:p>
      <w:pPr>
        <w:ind w:right="360" w:firstLine="1305"/>
        <w:spacing w:after="0" w:line="277" w:lineRule="auto"/>
        <w:tabs>
          <w:tab w:leader="none" w:pos="19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Such alterations and changes will not in any way interfere with the proper functioning of, and Landlord’s access to, equipment located on the roof of the Building or exceed roof loading requirements; and</w:t>
      </w:r>
    </w:p>
    <w:p>
      <w:pPr>
        <w:spacing w:after="0" w:line="170" w:lineRule="exact"/>
        <w:rPr>
          <w:rFonts w:ascii="Arial" w:cs="Arial" w:eastAsia="Arial" w:hAnsi="Arial"/>
          <w:sz w:val="18"/>
          <w:szCs w:val="18"/>
          <w:color w:val="auto"/>
        </w:rPr>
      </w:pPr>
    </w:p>
    <w:p>
      <w:pPr>
        <w:ind w:right="180" w:firstLine="1305"/>
        <w:spacing w:after="0" w:line="342" w:lineRule="auto"/>
        <w:tabs>
          <w:tab w:leader="none" w:pos="19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Adequate measures are taken to reduce the visibility and noise of mechanical equipment, antennae and dishes consistent with the appearance and design scheme required by the Rules and Regulations and any applicable laws, ordinances or regulations of the City of Cambridge.</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Promptly following the performance of any alterations or additions to the Premises, the Tenant shall furnish Landlord an “as built” set of plans and specifications for the Premises and a report evidencing the completion of air balancing (to the extent such alterations or additions affected air balancing), in a format reasonably requested by the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0" w:name="page291"/>
    <w:bookmarkEnd w:id="290"/>
    <w:p>
      <w:pPr>
        <w:ind w:left="90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Ownership of Alterations and Initial Leasehold Improvements</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All alterations and additions and the Initial Leasehold Improvements shall be part of the Building and owned by the Landlord; provided, however, that the Landlord may require the Tenant to remove certain specialized alterations and additions and Initial Leasehold Improvements at the expiration, or the early termination of this Lease. Landlord shall specify such items at the time of its approval of their installation. All movable equipment, trade fixtures and furnishings not attached to the Premises shall remain the personal property of the Tenant and shall be removed by the Tenant upon expiration or earlier termination of this Lease. Notwithstanding the foregoing, any and all improvements, specifically including movable case work, lab benches, hoods and equipment, funded by the Leasehold Improvements Allowance shall be part of the Building and owned by the Landlord.</w:t>
      </w:r>
    </w:p>
    <w:p>
      <w:pPr>
        <w:spacing w:after="0" w:line="16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Any alterations and additions, if required to be removed upon the termination or expiration of this Lease as hereinabove provided, shall be removed by the Tenant with reasonable care and diligence, including the capping off of all utility connections behind the adjacent interior finish, and the restoration of such interior finish to the extent necessary so that the Premises are left with complete wall, ceiling and floor finishes.</w:t>
      </w:r>
    </w:p>
    <w:p>
      <w:pPr>
        <w:spacing w:after="0" w:line="166" w:lineRule="exact"/>
        <w:rPr>
          <w:sz w:val="20"/>
          <w:szCs w:val="20"/>
          <w:color w:val="auto"/>
        </w:rPr>
      </w:pPr>
    </w:p>
    <w:p>
      <w:pPr>
        <w:ind w:left="90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Construction Requirements for Alterations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All construction work performed by or on behalf of the Tenant (“Tenant’s Work”) shall be done in a good and workmanlike manner employing only first class materials and in compliance with the Rules and Regulations (as defined in Section 6.3) that apply to construction, and with all applicable laws and all lawful ordinances, regulations and orders of governmental authority and insurers of the Building. The Landlord or Landlord’s authorized agent may (but without any implied obligation to do so) inspect the work of the Tenant at reasonable times and shall give notice of observed defects. Tenant’s Work and the installation of furnishings shall always be coordinated in such manner as to maintain harmonious labor relations on the Property and not to damage the Building or interfere with Building construction or operation. Tenant’s Work shall be performed by contractors or workmen first approved by the Landlord, which approval the Landlord agrees not to unreasonably withhold or delay. The Tenant, before starting any work, shall receive and comply with the Construction Rules and Regulations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and shall (i) cause the Tenant’s contractors to comply therewith; (ii) obtain “builder’s risk” coverage (in an amount that is reasonable given the quality and quantity of the work to be undertaken) to enhance the insurance coverage otherwise required to be carried by the Tenant hereunder; (iii) secure all licenses and permits necessary for such work; (iv) deliver to the Landlord a statement of the names of its general contractor (or construction manager) and subcontractors who are to perform electrical or plumbing work or are otherwise to perform work that will affect the structure or base building systems of the Building, and the estimated cost to design and construct any Tenant’s Work; (v) provide security satisfactory to the Landlord in its reasonable discretion and consistent with the security requirements for comparable work in comparable buildings in the Cambridge market protecting the Landlord against liens arising out of the furnishing of such labor and material; and (vi) cause each contractor to carry worker’s compensation insurance in statutory amounts covering all the contractors’ and subcontractors’ employees and commercial general liability insurance on an occurrence basis with limits of $1,000,000 (individual) and $5,000,000 (occurrence) covering personal injury and death and property damage (all such insurance to be written in companies approved reasonably by the Landlord and insuring the Landlord, such individuals and entities affiliated with the Landlord as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Landlord may designate, any ground lessor or mortgagee that the Landlord may designate, and the Tenant as well as the contractors and to contain a requirement for at least thirty (30) days’ notice to the Landlord prior to cancellation, nonrenewal or material change), and deliver to the Landlord certificates of all such insurance prior to the commencement of the applicable Tenant’s Work. Tenant shall reimburse the Landlord within 30 days after invoice for any reasonable third-party expenses incurred by the Landlord in connection with any request by the Tenant for consent to any alterations or additions pursuant to this Article 4.</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Payment for Tenant Alterations.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Except as set forth in the Work Letter, the Tenant agrees to pay promptly when due the entire cost of any work done on the Premises by the Tenant, its agents, employees or independent contractors, and not to cause or permit any liens or notice of intent to file a lien for labor or materials performed or furnished in connection therewith to attach to the Premises or the Property and promptly to discharge (or bond over in a manner satisfactory to Landlord in its sole discretion) any such liens which may so attach. If any such lien or notice of intent to file a lien shall be filed against the Premises or the Property and the Tenant shall fail to cause such lien or notice to be discharged within fifteen (15) days after receipt by the Tenant of notice of the filing thereof, the Landlord may cause such lien or notice to be discharged by payment or otherwise without investigation as to the validity thereof or as to any offsets or defenses which the Tenant may have with respect to the amount claimed. The Tenant shall reimburse the Landlord, as additional rent, for any cost so incurred and shall indemnify and hold harmless the Landlord from and against any and all claims, costs, damages, liabilities and expenses (including reasonable attorneys’ fees) which may be incurred or suffered by the Landlord by reason of any such lien or its discharge.</w:t>
      </w:r>
    </w:p>
    <w:p>
      <w:pPr>
        <w:spacing w:after="0" w:line="16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Initial Leasehold Improvements.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Tenant shall have the right to perform some initial work to the Premises prior to occupancy (the “Initial Leasehold Improvements”).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construction of the Initial Leasehold Improvements shall be done in accordance with the terms of this Section 4 and the work letter attached hereto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E-1 (the “Work Letter”). Additionally, and subject to the terms set forth herein and in the Work Letter, Tenant may hire its own architect and engineer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construction of the Initial Leasehold Improvements, subject to the approval of the Landlord, which shall not be unreasonably withheld. There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 construction oversight fee paid to Landlord. However, Landlord shall be reimbursed for any third party out of pocket costs incurred by Landlord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review and approval of Tenant’s plans, specifications, improvements and construction. Tenant agrees to use The Richmond Group (the “Contractor”) as its</w:t>
      </w:r>
    </w:p>
    <w:p>
      <w:pPr>
        <w:spacing w:after="0" w:line="32"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general contractor for the Initial Leasehold Improvements.</w:t>
      </w:r>
      <w:r>
        <w:rPr>
          <w:sz w:val="20"/>
          <w:szCs w:val="20"/>
          <w:color w:val="auto"/>
        </w:rPr>
        <w:tab/>
      </w:r>
      <w:r>
        <w:rPr>
          <w:rFonts w:ascii="Arial" w:cs="Arial" w:eastAsia="Arial" w:hAnsi="Arial"/>
          <w:sz w:val="16"/>
          <w:szCs w:val="16"/>
          <w:color w:val="auto"/>
        </w:rPr>
        <w:t>As construction of the Landlord’s Work and the Initial Leasehold Improvements will be ongoing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simultaneously, both Landlord and Tenant agree to use good faith efforts to cooperate with each other to ensure the various construction activities occur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unreasonable conflict.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u w:val="single" w:color="auto"/>
          <w:color w:val="auto"/>
        </w:rPr>
        <w:t>RESPONSIBILITY FOR CONDITION OF BUILDING AND PREMISES</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Maintenance of Building and Common Areas by Landlord.</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Except as otherwise provided in Article 8, the Landlord shall make such repairs to the foundation, roof, exterior walls (including exterior glass), floor slabs, elevators, base building mechanical, plumbing and electrical and life safety systems (to the extent serving more than one tenant), and any other base structural elements of the Building as may be necessary to keep them in good order, condition and repair, and make such repairs to the mechanical systems and equipment serving the Building, except for any mechanical, plumbing and electrical systems and equipment that serve the Premises exclusively (“Tenant’s Dedicated Mechanical Systems and Equipment”), and other Common Areas as are necessary to keep them in good order, condition and repair. The Landlord shall further perform the services designated as Landlord’s Services on </w:t>
      </w:r>
      <w:r>
        <w:rPr>
          <w:rFonts w:ascii="Arial" w:cs="Arial" w:eastAsia="Arial" w:hAnsi="Arial"/>
          <w:sz w:val="16"/>
          <w:szCs w:val="16"/>
          <w:u w:val="single" w:color="auto"/>
          <w:color w:val="auto"/>
        </w:rPr>
        <w:t>Exhibit E</w:t>
      </w:r>
      <w:r>
        <w:rPr>
          <w:rFonts w:ascii="Arial" w:cs="Arial" w:eastAsia="Arial" w:hAnsi="Arial"/>
          <w:sz w:val="16"/>
          <w:szCs w:val="16"/>
          <w:color w:val="auto"/>
        </w:rPr>
        <w:t>. Landlord shall also provide a dumpster and/or compactor at the loading area of the Building for use by Tenant in common with other tenants for the disposal of non-hazardous and non-controlled substances. Costs and expenses incurred by the Landlord under this Section 5.1 shall be included in Operating Expenses of the Property as permitted under Section 3.3. Subject to Section 7.5, the Tenant shall be responsible for 100% of the cost of any repair to the Premises, the Building, or the Land caused by the negligence or misconduct of the Tenant, or any agent, employee or contractor of the Tenant, notwithstanding anything to the contrary provided in Section 3.3.</w:t>
      </w:r>
    </w:p>
    <w:p>
      <w:pPr>
        <w:spacing w:after="0" w:line="16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Without limiting the foregoing, Landlord shall provide stand-by power by automatic transfer switches and power from the generator installed by Landlord on the roof of the Building, provided that Tenant’s allowance of such power is 4 watts per square foot of the Premises.</w:t>
      </w:r>
    </w:p>
    <w:p>
      <w:pPr>
        <w:spacing w:after="0" w:line="170"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Maintenance of Premises by Tenant.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Tenant shall keep and maintain in good order, condition and repair the Premises and every part thereof and all of Tenant’s Dedicated Mechanical Systems and Equipment, reasonable wear and tear and damage by fire or other casualty excepted (provided that subject to Section 7.5, the Landlord shall be responsible for damage caused by the fault or neglect of the Landlord, or the Landlord’s agents, employees or contractors), excluding those repairs for which the Landlord is responsible pursuant to Sections 5.1, 8.1 and 8.5. The Tenant shall not permit or commit any damage (waste), and the Tenant shall, subject to Section 7.5, be responsible for the cost of repairs which may be made necessary by reason of damage to the Property caused by the negligence or misconduct of the Tenant, or any of the contractors, employees, or agents of the Tenant. Tenant’s Dedicated Mechanical Systems and Equipment, and all other systems and equipment, shall be maintained in good order, condition and repair consistent with prevailing standards at comparable first class leased laboratory buildings, reasonable wear and tear, damage by fire or other casualty, and subject to Section 7.5, damage caused by the fault or neglect of the Landlord, or the Landlord’s agents, employees, or contractors excepted.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92" w:name="page293"/>
    <w:bookmarkEnd w:id="292"/>
    <w:p>
      <w:pPr>
        <w:ind w:left="900"/>
        <w:spacing w:after="0"/>
        <w:tabs>
          <w:tab w:leader="none" w:pos="19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Delays in Landlord’s Services.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Landlord shall not be liable to the Tenant for any compensation or, except as expressly provided below, reduction of rent by reason of inconvenience or annoyance or for loss of business arising from the necessity of the Landlord or its agents entering the Premises for any purposes authorized in this Lease, or for repairing the Premises or any portion of the Building. In case the Landlord is prevented or delayed from making any repairs, alterations or improvements, or furnishing any services or performing any other covenant or duty to be performed on the Landlord’s part, by reason of any External Cause, the Landlord shall not be liable to the Tenant therefor, nor, except as expressly otherwise provided in this Lease, shall the Tenant be entitled to any abatement or reduction of rent by reason thereof, except as provided below, nor shall the same give rise to a claim in the Tenant’s favor that such failure constitutes actual or constructive, total or partial, eviction from the Premises.</w:t>
      </w:r>
    </w:p>
    <w:p>
      <w:pPr>
        <w:spacing w:after="0" w:line="17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Landlord reserves the right to stop any service or utility system the Landlord provides or causes to be provided under this Lease when necessary by reason of accident or emergency or exercise of Landlord’s rights pursuant to Section 2.3 hereof (following notice as provided therein), or until necessary repairs have been completed; provided, however, that in each instance of stoppage, the Landlord shall exercise reasonable diligence to eliminate the cause thereof and shall not interfere with Tenant’s use and occupancy of the Premises. Except in case of emergency repairs, the Landlord will give the Tenant reasonable advance notice of the contemplated stoppage and will use reasonable efforts to avoid unnecessary inconvenience to the Tenant by reason thereof. To the extent that the Landlord is providing or causing to be provided heat, light or any utility or service, in no event shall the Landlord have any liability to the Tenant for the unavailability of the same to the extent that such unavailability is caused by External Causes, provided, however, that the Landlord is obligated to exercise reasonable efforts to restore such services or utility systems’ operation. The Landlord agrees to carry rent interruption insurance in commercially reasonable amounts which permits recovery within, to the extent reasonably available, five (5) days after the insured peril, provided however that the failure by Landlord to carry such rent interruption insurance shall not affect Tenant’s rights hereunder.</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If the unavailability of heat, light or any utility or service provided or caused to be provided by the Landlord, other than the unavailability of the same due to the Tenant’s acts or omissions, renders all or any portion of the Premises untenantable for the Tenant’s use as permitted under this Lease, and the Tenant ceases to occupy the same for the conduct of its business, the Tenant shall receive an equitable abatement of rent, taking into account the extent of the Tenant’s loss of use of the Premises as the result thereof, beginning on and after the third (3</w:t>
      </w:r>
      <w:r>
        <w:rPr>
          <w:rFonts w:ascii="Arial" w:cs="Arial" w:eastAsia="Arial" w:hAnsi="Arial"/>
          <w:sz w:val="22"/>
          <w:szCs w:val="22"/>
          <w:color w:val="auto"/>
          <w:vertAlign w:val="superscript"/>
        </w:rPr>
        <w:t>rd</w:t>
      </w:r>
      <w:r>
        <w:rPr>
          <w:rFonts w:ascii="Arial" w:cs="Arial" w:eastAsia="Arial" w:hAnsi="Arial"/>
          <w:sz w:val="17"/>
          <w:szCs w:val="17"/>
          <w:color w:val="auto"/>
        </w:rPr>
        <w:t>) business day following the commencement of such condition of untenantability. For all purposes of this Lease, if Tenant has responsibility for maintenance and repair of any aspect of the Building or any equipment or system therein, the functioning and performance of the same shall be the responsibility of the Tenant under this Lease, and shall in no event constitute a service or utility system that the Landlord provides or causes to be provided under this Lease.</w:t>
      </w:r>
    </w:p>
    <w:p>
      <w:pPr>
        <w:spacing w:after="0" w:line="190"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Tenant’s Responsibilities Regarding Hazardous Materials.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Tenant covenants and agrees that the Tenant shall not use, generate, store or dispose, nor shall the Tenant suffer or permit the use, generation, storing or disposal in the Premises or otherwise by any of Tenant’s contractors, licensees, invitees, agents or employees, of any oil, toxic substances, hazardous wastes or hazardous materials (collectively, “Hazardous Materials”)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3" w:name="page294"/>
    <w:bookmarkEnd w:id="293"/>
    <w:p>
      <w:pPr>
        <w:spacing w:after="0" w:line="268" w:lineRule="auto"/>
        <w:rPr>
          <w:sz w:val="20"/>
          <w:szCs w:val="20"/>
          <w:color w:val="auto"/>
        </w:rPr>
      </w:pPr>
      <w:r>
        <w:rPr>
          <w:rFonts w:ascii="Arial" w:cs="Arial" w:eastAsia="Arial" w:hAnsi="Arial"/>
          <w:sz w:val="17"/>
          <w:szCs w:val="17"/>
          <w:color w:val="auto"/>
        </w:rPr>
        <w:t xml:space="preserve">in, on or about the Premises, the Building or the Land, except for Hazardous Materials that are necessary and customary for Tenant’s operation of Tenant’s Permitted Use (which Permitted Use is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and in all cases such Hazardous Materials must be used, generated, stored and disposed of by Tenant in compliance with all applicable law and regulations. The Tenant covenants and agrees that the Tenant shall comply with all applicable laws and regulations in handling and disposing of materials used in its research and other uses of the Premises, whether or not considered Hazardous Materials, and Tenant shall not dump, flush or cause the other introduction of Hazardous Materials or such other inappropriate materials into the septic, sewage or other waste disposal systems serving the Premises, except as specifically permitted by law or regulation and subject to the conditions and qualifications imposed by any governmental license or permit. The Tenant covenants and agrees that the Tenant shall, at its sole cost, promptly remove or remediate all Hazardous Materials that are found upon the Premises, the Building or the Land by virtue of the failure of the foregoing covenants and agreements to have been fulfilled, or otherwise as the result of the act or omission of Tenant or its contractors, licensees, agents or employees, in a manner complying with all applicable laws and regulations and the provisions of this Lease. If the Tenant should have any responsibility under this Section 5.4 to remove or remediate Hazardous Materials, the Tenant shall keep the Landlord reasonably informed as to the status of the environmental condition at issue, promptly furnish to the Landlord copies of all regulatory filings with any governmental regulatory agencies in connection therewith, and substantiate the performance of its obligations under this Section 5.4. At the expiration or earlier termination of the Term, the Tenant shall promptly remove or remediate any Hazardous Materials from the Premises in a manner consistent with accepted “best practices” and in compliance with all legal requirements relating to the closure of laboratory facilities and disposal of equipment and supplies therein.</w:t>
      </w:r>
    </w:p>
    <w:p>
      <w:pPr>
        <w:spacing w:after="0" w:line="183"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If Tenant’s transportation, storage or use of Hazardous Materials on the Premises results in the release onto or other contamination of any portion of the Property or adjacent areas, including building or parking areas, soil or surface or ground water, or loss or damage to person(s) or property, without limitation, Tenant agrees to: (a) notify Landlord immediately of any release, threat of release, contamination, claim of contamination, loss or damage and</w:t>
      </w:r>
    </w:p>
    <w:p>
      <w:pPr>
        <w:ind w:firstLine="8"/>
        <w:spacing w:after="0" w:line="267" w:lineRule="auto"/>
        <w:tabs>
          <w:tab w:leader="none" w:pos="2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after consultation with Landlord, clean up the release, threat of release, or contamination as required by all applicable statutes, regulations and standards. In the event of such contamination, Tenant agrees to cooperate with Landlord, as Landlord may reasonably request, and provide such documents, affidavits and information as may be reasonably requested by Landlord (1) to comply with any applicable laws, and/or (2) for any other reason deemed necessary by Landlord in its reasonable discretion. Tenant shall notify Landlord promptly in the event of any spill or other release of any Hazardous Materials at, in, on, under or about the Premises that is required to be reported to a governmental authority under any applicable laws, shall promptly forward to Landlord copies of any notices received by Tenant relating to alleged violations of any applicable laws and shall promptly pay when due any fine or assessment against Landlord, Tenant, or the Premises relating to any violation during the Term of any applicable laws by Tenant, its employees, agents, or independent contractors, or with respect to the Premises or the remainder of the Property. If any governmental authority files a lien against the Premises or the remainder of the Property due to any act or omission, intentional or unintentional, of Tenant, its agents, or employees, or for which Tenant is responsible, resulting in the releasing, spilling, leaking, leaching, pumping, emitting, pouring, emptying or dumping of any Hazardous Materials, Tenant shall, within fifteen (15) days from the date that Tenant is first given notice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94" w:name="page295"/>
    <w:bookmarkEnd w:id="294"/>
    <w:p>
      <w:pPr>
        <w:spacing w:after="0" w:line="276" w:lineRule="auto"/>
        <w:rPr>
          <w:sz w:val="20"/>
          <w:szCs w:val="20"/>
          <w:color w:val="auto"/>
        </w:rPr>
      </w:pPr>
      <w:r>
        <w:rPr>
          <w:rFonts w:ascii="Arial" w:cs="Arial" w:eastAsia="Arial" w:hAnsi="Arial"/>
          <w:sz w:val="17"/>
          <w:szCs w:val="17"/>
          <w:color w:val="auto"/>
        </w:rPr>
        <w:t>such lien (or within such shorter period of time as may be specified by Landlord if such governmental authority takes steps to cause the Premises to be sold pursuant to such lien) either (A) pay the claim and remove the lien or (B) furnish a cash deposit, bond or such other security as is reasonably satisfactory in all respects to Landlord and sufficient to discharge the lien completely. Tenant shall defend, indemnify Landlord and hold Landlord harmless from and against any damages, liability or expense associated with claims by governmental or other third parties arising out of the presence, removal or remediation of Hazardous Materials for which Tenant is responsible for removal or remediation under this Section 5.4.</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Notwithstanding any provision hereof to the contrary, Tenant shall not be responsible for, and the indemnification and hold harmless obligations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shall not include matters arising from: (A) the existing environmental condition of the Premises or Property as of the Lease Commencement Date or any earlier date of entry into the Premises by Tenant, or (B) Hazardous Materials brought upon, kept, used, stored, handled, treated, generated in or about, or released or disposed of from the Premises during the Term by Landlord or by another tenant or occupant of the Building or any of their respective officers, directors, employees, agents or contractors.</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Landlord’s Responsibilities Regarding Hazardous Materials.</w:t>
      </w:r>
    </w:p>
    <w:p>
      <w:pPr>
        <w:spacing w:after="0" w:line="22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Landlord has provided Tenant with a copy of the decommissioning report(s) for the Premises. During the Term of this Lease, if the removal or remediation of Hazardous Materials from the Premises, Building or Land is required to be undertaken, then except to the extent such obligation is the responsibility of the Tenant under Section 5.4 hereof, the Landlord covenants and agrees to undertake the same without charge to the Tenant. Without limitation of the foregoing, if necessary to comply with any applicable legal requirements, should any existing environmental condition of the Land require the removal or remediation of Hazardous Materials, the Landlord shall perform such removal or remediation, without charge to the Tenant, when and if required by applicable legal requirements. The Landlord shall keep the Tenant reasonably informed as to the status of the environmental condition at issue, promptly furnish to the Tenant copies of all regulatory filings with any governmental regulatory agencies in connection therewith, and substantiate the performance of its obligations under this Section 5.5.</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Tenant covenants during the Term and for such further time as the Tenant occupies any part of the Premises:</w:t>
      </w:r>
    </w:p>
    <w:p>
      <w:pPr>
        <w:spacing w:after="0" w:line="22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Permitted Uses.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Tenant shall occupy the Premises only for the Permitted Uses, and shall not injure or deface the Premises or the Property, nor permit in the Premises any auction sale. The Tenant shall not permit in the Premises any nuisance, or the emission from the Premises of any reasonably objectionable noise, odor or vibration, nor use or devote the Premises or any part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5" w:name="page296"/>
    <w:bookmarkEnd w:id="295"/>
    <w:p>
      <w:pPr>
        <w:ind w:right="160"/>
        <w:spacing w:after="0" w:line="257" w:lineRule="auto"/>
        <w:rPr>
          <w:sz w:val="20"/>
          <w:szCs w:val="20"/>
          <w:color w:val="auto"/>
        </w:rPr>
      </w:pPr>
      <w:r>
        <w:rPr>
          <w:rFonts w:ascii="Arial" w:cs="Arial" w:eastAsia="Arial" w:hAnsi="Arial"/>
          <w:sz w:val="18"/>
          <w:szCs w:val="18"/>
          <w:color w:val="auto"/>
        </w:rPr>
        <w:t>thereof for any purpose which is contrary to law or ordinance, or liable to invalidate or increase premiums (above those normally incurred for the Permitted Uses) for any insurance on the Building or its contents (unless the Tenant pays for any such increase in premiums and provided such actions do not interfere with the use and enjoyment of the Land by the Landlord, other tenants, visitors or invitees of the Building) or liable to render necessary any alteration or addition to the Building, nor commit or permit any waste in or with respect to the Premises, nor shall Tenant overload existing electrical or other Building systems.</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Laws and Regulations.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Tenant shall comply with all federal, state and local laws, regulations, ordinances, executive orders, guidelines, policies and similar requirements in effect from time to time, including, without limitation, all such requirements relating to Tenant’s occupancy and use of the Premises and Hazardous Materials. Tenant shall also conform to recognized “best practices” standards with respect to the physical aspects of its operations carried on within the Premises. Tenant shall have the right to contest any notice of violation for any of the foregoing by appropriate proceedings diligently conducted in good faith</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the foregoing or any other provision of this Lease, however, Tenant shall not be responsible for compliance with any such laws, regulations, or the like requiring (a) structural repairs or modifications to the Building; or (b) repairs or modifications to the utility or building service equipment serving the Building (rather than equipment installed by Tenant serving only the Premises); or (c) installation of new building service equipment, such as fire detection or suppression equipment, unless such repairs, modifications, or installations shall (i) be due to Tenant’s particular manner of use of the Premises (as opposed to laboratory use generally), or (ii) be due to the negligence or willful misconduct of Tenant or any agent, employee, or contractor of Tenant.</w:t>
      </w:r>
    </w:p>
    <w:p>
      <w:pPr>
        <w:spacing w:after="0" w:line="19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Rules and Regulations.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The Tenant agrees to comply with the Rules and Regulations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and such other reasonable and non discriminatorily enforced rules and regulations of general applicability (“Rules and Regulations”) as (i) may from time to time be made by the Landlord of which the Tenant is given written advanced notice, so far as the same relate to the use of the Building, the Land and the Tenant’s appurtenant parking privileges and (ii) may from time to time be promulgated with respect to all or any portion of the Building (including without limitation pursuant to the Declaration of Covenants). The Tenant shall not obstruct in any manner any portion of the Property; and, except as set forth in this Lease, shall not permit the placing of any signs, awnings or flagpoles, or the like, visible from outside the Building. Neither shall Tenant place curtains, blinds or shades or similar window treatments visible from outside the Building in the Premises, except as may be otherwise approved by Landlord.</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Safety Compliance.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Tenant shall keep the Premises equipped with all safety appliances required by law or ordinance or any other regulations of any public authority because of the manner of use made by the Tenant and to procure all licenses and permits so required because of such manner of use and, if requested by the Landlord, do any work so required because of such use, it being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t>understood that the foregoing provisions shall not be construed to broaden in any way the Tenant’s Permitted Uses.</w:t>
      </w:r>
    </w:p>
    <w:p>
      <w:pPr>
        <w:spacing w:after="0" w:line="22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Landlord’s Entry.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Tenant shall permit the Landlord and its agents, after at least twenty four (24) hours’ notice except in the case of emergencies, to enter the Premises at all reasonable hours for the purpose of inspecting or making repairs to the same, monitoring Tenant’s compliance with the requirements and restrictions set forth in this Lease, and for the purpose of showing the Premises to prospective purchasers and mortgagees at all reasonable times and to prospective tenants within twelve (12) months of the end of the Term provided that in connection with such entry, Tenant may provide procedures reasonably designed so as not to jeopardize Tenant’s trade secrets, proprietary technology or critical business operations, including accompaniment of all such persons by an employee of the Tenant. In case of an emergency, the Landlord shall make good faith efforts to notify the Tenant in person or by telephone prior to such entry, and in any event, the Landlord shall notify Tenant promptly thereafter such entry.</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Floor Load.</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The Tenant shall not place a load upon any floor in the Premises exceeding the floor load per square foot of area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 which such floor was designed to carry, which floor load is </w:t>
      </w:r>
      <w:r>
        <w:rPr>
          <w:rFonts w:ascii="Arial" w:cs="Arial" w:eastAsia="Arial" w:hAnsi="Arial"/>
          <w:sz w:val="17"/>
          <w:szCs w:val="17"/>
          <w:b w:val="1"/>
          <w:bCs w:val="1"/>
          <w:color w:val="auto"/>
        </w:rPr>
        <w:t>[TO BE CONFIRMED: one hundred (100) pounds]</w:t>
      </w:r>
      <w:r>
        <w:rPr>
          <w:rFonts w:ascii="Arial" w:cs="Arial" w:eastAsia="Arial" w:hAnsi="Arial"/>
          <w:sz w:val="17"/>
          <w:szCs w:val="17"/>
          <w:color w:val="auto"/>
        </w:rPr>
        <w:t xml:space="preserve"> per square foot of area as of the date of this Lease, and which is allowed by law. The Tenant’s machines and mechanical equipment shall be placed and maintained by the Tenant at the Tenant’s expense in settings sufficient to absorb or prevent vibration or noise that may be transmitted to the Building structure.</w:t>
      </w:r>
    </w:p>
    <w:p>
      <w:pPr>
        <w:spacing w:after="0" w:line="17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Personal Property Tax.</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Tenant shall pay promptly when due all taxes which may be imposed upon personal property (including, without limitation, fixtures and equipment) in the Premises to whomever assessed. Tenant shall have the right to contest the validity or amount of any such taxes by appropriate proceedings diligently conducted in good faith.</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5"/>
          <w:szCs w:val="15"/>
          <w:u w:val="single" w:color="auto"/>
          <w:color w:val="auto"/>
        </w:rPr>
        <w:t>Assignment and Subleases.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Except as otherwise provided in this Section 6.8, the Tenant shall not assign this Lease or sublet (which term, without limitation, shall include granting of concessions, licenses and the like) the whole or any part of the Premises, nor permit the further underletting or assignment of any sublease or other occupancy agreement (each a “Transfer”) without, in each instance, having first received the consent of the Landlord which consent shall not be unreasonably withheld or delayed. Any purported Transfer made without such consent or otherwise not fulfilling the conditions and requirements of this Section 6.8 shall be void, and except as specifically permitted in this Section 6.8, in no event shall the Tenant or anyone claiming by, through or under the Tenant have the right to mortgage, pledge, hypothecate or otherwise transfer this Lease. The Landlord shall not be deemed to be unreasonable in withholding its consent to any proposed Transfer that is subject to the Landlord’s consent based on any of the following factors: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7" w:name="page298"/>
    <w:bookmarkEnd w:id="297"/>
    <w:p>
      <w:pPr>
        <w:jc w:val="both"/>
        <w:ind w:right="20" w:firstLine="1305"/>
        <w:spacing w:after="0" w:line="264" w:lineRule="auto"/>
        <w:tabs>
          <w:tab w:leader="none" w:pos="199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manner in which the proposed occupant conducts its business operations is not consistent, in Landlord’s reasonable opinion, with the image and character of the Park development as a first-class biotechnology office/research and development park, then the withholding of consent by the Landlord shall be considered reasonable; and</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proposed Transfer is (i) an assignment of this Lease, or (ii) a sublease, then in either of such cases, if the proposed occupant is not sufficiently creditworthy and trustworthy in the reasonable opinion of the Landlord with reference to the monetary and other obligations which are to be fulfilled by the Tenant under this Lease, and the reasonable needs of the Landlord to protect the value of the Building, then the withholding of consent by the Landlord shall be considered reasonable.</w:t>
      </w:r>
    </w:p>
    <w:p>
      <w:pPr>
        <w:spacing w:after="0" w:line="186" w:lineRule="exact"/>
        <w:rPr>
          <w:rFonts w:ascii="Arial" w:cs="Arial" w:eastAsia="Arial" w:hAnsi="Arial"/>
          <w:sz w:val="18"/>
          <w:szCs w:val="18"/>
          <w:color w:val="auto"/>
        </w:rPr>
      </w:pPr>
    </w:p>
    <w:p>
      <w:pPr>
        <w:ind w:right="300" w:firstLine="1305"/>
        <w:spacing w:after="0" w:line="264" w:lineRule="auto"/>
        <w:tabs>
          <w:tab w:leader="none" w:pos="199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proposed assignee or subtenant is already actively involved in discussions with either the Landlord or any affiliate of the Landlord regarding space within the Park that is or is to become available for lease, then the withholding of consent by the Landlord shall be considered reasonable.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Notwithstanding anything to the contrary contained in this Section, Tenant shall have the right to assign or otherwise Transfer this Lease or the Premises, or part of the Premises, without obtaining the prior consent of Landlord, (a) to its parent entity or to a wholly owned subsidiary or to an entity which is wholly owned by the same entity which wholly owns Tenant or to an entity that controls, is controlled by or under common control with Tenant, where control is the right to direct voting of more than 50% of the ownership interests in the applicable entity (an “Affiliate”), provided that (i) the transferee shall, prior to the effective date of the transfer, deliver to Landlord instruments evidencing such transfer and its agreement to assume and be bound by all the terms, conditions and covenants of this Lease to be performed by Tenant, all in form reasonably acceptable to Landlord and (ii) at the time of such transfer there shall not be an uncured Event of Default under this Lease except in connection with a bona fide dispute that the parties are negotiating in good faith to resolve; or (b) to the purchaser of all or substantially all of its assets or ownership interests in Tenant, or to any entity into which the Tenant may be merged or consolidated (along with all or substantially all of its assets or ownership interests) (the “Acquiring Company”), provided that (i) the net assets of the Acquiring Company at the time of the transfer or merger shall not be less than the net assets of Tenant at the time of the transfer, (ii) the Acquiring Company’s use of the Premises shall be consistent with the Permitted Uses described in Exhibit A, (iii) the Acquiring Company shall assume in writing, in form reasonably acceptable to Landlord, all of Tenant’s obligations under this Lease, (iv) Tenant shall provide to Landlord such additional information regarding the Acquiring Company as Landlord shall reasonably request, and (v) Tenant shall pay Landlord’s reasonable third-party expenses incurred in connection therewith. The transfers described in this paragraph are hereinafter referred to as “Permitted Transfers.” Upon request of Tenant, Landlord agrees to execute a reasonable confidentiality agreement prior to Tenant’s being required to deliver financial and other information on the assignee or subtenant.</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Whether or not the Landlord consents, or is required to consent, to any Transfer, the Tenant named herein shall remain fully and primarily liable for the obligations of the Tenant hereunder, including, without limitation, the obligation to pay Annual Fixed Rent and Additional Rent provided under this Lease.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8" w:name="page299"/>
    <w:bookmarkEnd w:id="298"/>
    <w:p>
      <w:pPr>
        <w:ind w:firstLine="648"/>
        <w:spacing w:after="0" w:line="287" w:lineRule="auto"/>
        <w:rPr>
          <w:sz w:val="20"/>
          <w:szCs w:val="20"/>
          <w:color w:val="auto"/>
        </w:rPr>
      </w:pPr>
      <w:r>
        <w:rPr>
          <w:rFonts w:ascii="Arial" w:cs="Arial" w:eastAsia="Arial" w:hAnsi="Arial"/>
          <w:sz w:val="16"/>
          <w:szCs w:val="16"/>
          <w:color w:val="auto"/>
        </w:rPr>
        <w:t>The Tenant shall give the Landlord at least 30 days prior written notice of any proposed Transfer, specifying the provisions thereof, including (i) the name and address of the proposed occupant, subtenant, assignee or other transferee, (ii) a copy of the proposed occupant’s, subtenant’s, assignee’s, or other transferee’s most recent annual financial statement, and (iii) all of the terms and provisions upon which the proposed Transfer is to be made including, without limitation, all of the documentation effectuating such Transfer (which shall be subject to the Landlord’s approval not to be unreasonably withheld) and such other reasonable information concerning the proposed Transfer or concerning the proposed occupant, subtenant, assignee or other transferee as the Tenant has obtained in connection with the proposed Transfer. The Tenant shall reimburse the Landlord promptly for reasonable legal and other reasonable expenses incurred by the Landlord in connection with any request by the Tenant for consent to any Transfer. If this Lease is assigned, or if the Premises or any part thereof is sublet or occupied by anyone other than the Tenant, or there is otherwise a Transfer, then during any time when an Event of Default is subsisting, the Landlord may, at any time and from time to time, collect rent and other charges from the assignee, sublessee, occupant or transferee, and apply the net amount collected to the rent and other charges herein reserved, but no such assignment, subletting, occupancy or collection shall be deemed a waiver of the prohibitions contained in this Section 6.8 or the acceptance of the assignee, sublessee or occupant as a tenant or a release of the Tenant from the further performance by the Tenant of covenants on the part of the Tenant herein contained.</w:t>
      </w:r>
    </w:p>
    <w:p>
      <w:pPr>
        <w:spacing w:after="0" w:line="16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Except for Transfers to an Affiliate or an Acquiring Company, the Tenant shall pay to the Landlord fifty percent (50%) of any amounts the Tenant receives from any occupant, subtenant, assignee or other transferee as rent, additional rent or other forms of compensation or reimbursement (if any) in excess of the aggregate amount of (i) the proportionate monthly share of Annual Fixed Rent, Additional Rent and all other monies due to Landlord pursuant to this Lease (allocable in the case of a sublease to that portion of the Premises being subleased), (ii) all costs associated with assigning or subleasing the Premises or any portion of the Premises, including without limitation, rent concessions, brokerage commissions and reasonable fees for legal services associated with the transaction, (iii) Tenant’s costs to prepare the space for the assignee or subtenant (“Sublease Transaction Expenses”), (iv) the costs of Tenant’s leasehold improvement in excess of the LIA, and (v) consideration payable to Tenant other than for the transfer of the interest in the leasehold estate hereunder, such as charges for use of shared equipment and services to be provided by Tenant to such transferee. In the circumstances where the transferee pays the consideration due to the Tenant on account of such transfer over time (e.g. monthly rental payments under a sublease), Sublease Transaction Expenses referred to in clauses (ii), (iii) and (iv) of the preceding sentence shall be amortized on a straight line basis over the term of the transfer in question. The consent by the Landlord to a Transfer for which the Landlord’s consent is required shall not be construed to relieve the Tenant from the obligation to obtain the express consent in writing of the Landlord to any further Transfer whether by the Tenant or by anyone claiming by, through or under the Tenant including, without limitation, any occupant, assignee, subtenant or other transferee.</w:t>
      </w:r>
    </w:p>
    <w:p>
      <w:pPr>
        <w:spacing w:after="0" w:line="17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Except for Transfers to an Affiliate if the portion of the Premises that is subject to the proposed assignment or subletting is larger than 25% of the Premises and the proposed assignment or subletting is for the duration of the then remaining Term, then the Landlord may elect, within thirty (30) days of receipt of written notice from the Tenant of any proposed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9" w:name="page300"/>
    <w:bookmarkEnd w:id="299"/>
    <w:p>
      <w:pPr>
        <w:ind w:right="20"/>
        <w:spacing w:after="0" w:line="302" w:lineRule="auto"/>
        <w:rPr>
          <w:sz w:val="20"/>
          <w:szCs w:val="20"/>
          <w:color w:val="auto"/>
        </w:rPr>
      </w:pPr>
      <w:r>
        <w:rPr>
          <w:rFonts w:ascii="Arial" w:cs="Arial" w:eastAsia="Arial" w:hAnsi="Arial"/>
          <w:sz w:val="16"/>
          <w:szCs w:val="16"/>
          <w:color w:val="auto"/>
        </w:rPr>
        <w:t>assignment or sublease of all or any portion of the Premises prior to approving or disapproving any such proposed assignment or sublease, to repossess the Premises or the portion of the Premises under consideration. The Landlord may thereafter lease the Premises in such a manner as the Landlord may in its sole discretion determine. In the event the Landlord elects to repossess the Premises or the portion of the Premises under consideration as provided above, then all of the Tenant’s rights and obligations hereunder with respect to the Premises shall cease and shall be of no further force and effect.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AND INSURANCE</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Indemnity.</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To the maximum extent this agreement may be made effective according to law, the Tenant agrees to defend, indemnify and save harmless the Landlord from and against all claims, loss, or damage of whatever nature arising from any breach by Tenant of any obligation of Tenant under this Lease beyond applicable notice and cure periods or from any act, omission or negligence of the Tenant, or the Tenant’s contractors, licensees, invitees, agents, servants or employees, or arising from any accident, injury or damage whatsoever caused to any person or property, occurring after the date that possession of the Premises is first delivered to the Tenant and until the end of the Term and thereafter, so long as the Tenant is in occupancy of any part of the Premises,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where such accident, injury or damage results from a negligent act or omission or willful misconduct on the part of the Tenant or the Tenant’s agents or employees, licensees, invitees, servants or contractors, provided that the foregoing indemnity shall not include any cost or damage to the extent arising from any act, omission or negligence of the Landlord, or the Landlord’s contractors, licensees, invitees, agents, servants or employees.</w:t>
      </w:r>
    </w:p>
    <w:p>
      <w:pPr>
        <w:spacing w:after="0" w:line="16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Landlord agrees to defend, indemnify and save harmless Tenant from legal action, damages, loss, liability and any other expense in connection with loss of life, bodily or personal injury or property damage, arising from or out of the intentional or willful misconduct or negligence of Landlord, its agents, employees, licensees, servants, invitees or contractors, which occur in or about the Premises, outside the Premises but within the Building, on the Land, on the access roads and ways, in the parking facilities provided pursuant to the Lease, within University Park or any adjacent area maintained by Landlord, except to the extent that such loss of life, bodily or personal injury or property damage is due to the willful misconduct or negligent act, omission or neglect of Tenant, its agents, contractors, employees, licensees, invitees or servants.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foregoing indemnities and hold harmless agreements shall include indemnity against reasonable attorneys’ fees and all other costs, expenses and liabilities incurred in connection with any such claim or proceeding brought thereon, and the defense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Liability Insurance.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Tenant agrees to maintain in full force from the date upon which the Tenant first enters the Premises for any reason, throughout the Term, and thereafter, so long as the Tenant is in occupancy of any part of the Premises, by a program of self-insurance acceptable to Landlord, or by a policy of commercial general liability insurance under which the Landlord (and the Building’s managing agent, any ground lessor and any holder of a first mortgage on the Property of whom the Tenant is notified by the Landlord, collectively, the “Additional Named Insureds”) and the Tenant are named as insureds, and under which the insurer provides a contractual liability endorsement insuring against all cost, expense and liability arising out of or based upon any and all claims, accidents, injuries and damages described in Section 7.1, in the broadest form of such coverage from time to time available. Unless provided by self-insurance, each such policy shall be noncancellable and nonamendable (to the extent that any proposed amendment reduces the limits or the scope of the insurance required in this Lease) with respect to the Landlord and such ground lessor and first mortgagee without thirty (30) days’ prior notice to the Landlord and the Additional Named Insureds, except for notice of cancellation due to non-payment of premium, if any, which shall be ten (10) days’ prior notice, and a certificate of insurance shall be delivered to the Landlord. The minimum limits of liability of such insurance as of the Commencement Date shall be Five Million Dollars ($5,000,000.00) per occurrence for combined bodily injury (or death) and damage to property.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in this Lease to the contrary, Tenant may elect to self-insure against any and all of the risks, or portion thereof, against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Tenant is required to insure pursuant to the terms of this Lease, provided that either (i) the Chief Financial Officer of Tenant certifies annually that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Tenant has a US tax tangible net worth, as of the end of the Tenant’s most recent reporting period of not less than One Hundred Fifty Million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($150,000,000) as computed in accordance with the Generally Accepted Accounting Principles (GAAP), (“Tenant’s Net Worth”), or (ii) the Chief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of Guarantor certifies annually that Guarantor has a US tax tangible net worth, as of the end of the Guarantor’s most recent reporting period, of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than One Hundred Fifty Million Dollars ($150,000,000) as computed in accordance with GAAP, (“Guarantor’s Net Worth”). With regard to this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self-insurance will be considered as insurance for the purposes of complying with the terms and conditions of the Lease. Should Tenant’s Net Worth be 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$150 Million, Tenant may not avail itself of the election to self-insure.</w:t>
      </w:r>
    </w:p>
    <w:p>
      <w:pPr>
        <w:spacing w:after="0" w:line="21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Alterations, Improvements and Betterments; Personal Property at Risk</w:t>
      </w:r>
      <w:r>
        <w:rPr>
          <w:rFonts w:ascii="Arial" w:cs="Arial" w:eastAsia="Arial" w:hAnsi="Arial"/>
          <w:sz w:val="16"/>
          <w:szCs w:val="16"/>
          <w:color w:val="auto"/>
        </w:rPr>
        <w:t>.</w:t>
      </w:r>
    </w:p>
    <w:p>
      <w:pPr>
        <w:spacing w:after="0" w:line="22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Tenant agrees to maintain in full force at all times throughout the Term, policy(s) of all risk property damage insurance, naming Landlord (and the Additional Named Insureds) and the Tenant as insureds as their interests may appear, or a program of self-insurance acceptable to Landlord, covering all of Tenant’s leasehold improvements and alterations to the extent of their full replacement costs as updated from time to time during the Term.</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Unless caused by the Landlord or its agents, employees, servants or contractors, the Tenant agrees that all of the furnishings, fixtures, equipment, effects and property of every kind, nature and description of the Tenant and of all persons claiming by, through or under the Tenant which, during the continuance of this Lease or any occupancy of the Premises by the Tenant or anyone claiming under the Tenant which, during the continuance of this Lease or any occupancy of the Premises by the Tenant or anyone claiming under the Tenant, may be on the Premises or elsewhere in the Building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775" w:gutter="0" w:footer="0" w:header="0"/>
        </w:sectPr>
      </w:pPr>
    </w:p>
    <w:bookmarkStart w:id="300" w:name="page301"/>
    <w:bookmarkEnd w:id="300"/>
    <w:p>
      <w:pPr>
        <w:ind w:right="160"/>
        <w:spacing w:after="0" w:line="257" w:lineRule="auto"/>
        <w:rPr>
          <w:sz w:val="20"/>
          <w:szCs w:val="20"/>
          <w:color w:val="auto"/>
        </w:rPr>
      </w:pPr>
      <w:r>
        <w:rPr>
          <w:rFonts w:ascii="Arial" w:cs="Arial" w:eastAsia="Arial" w:hAnsi="Arial"/>
          <w:sz w:val="18"/>
          <w:szCs w:val="18"/>
          <w:color w:val="auto"/>
        </w:rPr>
        <w:t>or on the Land or parking facilities provided hereby, shall be at the sole risk and hazard of the Tenant, and if the whole or any part thereof shall be destroyed or damaged by fire, water or otherwise, or by the leakage or bursting of water pipes, steam pipes, or other pipes, by theft or from any other cause, no part of said loss or damage is to be charged to or be borne by the Landlord, except that the Landlord shall in no event be exonerated from any liability to the Tenant (subject to Section 7.5 hereof) for any injury, loss, damage or liability to the extent same is caused by Landlord’s, or its agents’, employees’, servants’ or contractors’, negligence or willful misconduct.</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Landlord’s Insurance.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Landlord shall carry, or cause to be carried, such casualty and liability insurance upon and with respect to operations at the Building as may from time to time be deemed reasonably prudent by the Landlord or required by any mortgagee holding a mortgage thereon or any ground lessor of the Land, and in any event, insurance against loss by fire and the risks now covered by extended coverage endorsement No. 4 in an amount at least equal to the full replacement cost of the Building, exclusive of foundations, excavations and footings.</w:t>
      </w:r>
    </w:p>
    <w:p>
      <w:pPr>
        <w:spacing w:after="0" w:line="18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Waiver of Subrogation.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Any insurance carried by either party, or caused to be carried by either party, with respect to the Building, Land, Premises, parking facilities or any property therein or occurrences thereon shall, without further request by either party, include a clause or endorsement denying to the insurer rights of subrogation against the other party to the extent rights have been waived by the insured prior to occurrence of any claim, damage, injury or loss. Each party, notwithstanding any provisions of this Lease to the contrary, hereby waives any claims or rights of recovery against the other for injury or loss, including, without limitation, injury or loss caused by negligence of such other party to the extent covered by insurance actually carried or required to be carried hereunder.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CASUALTY AND EMINENT DOMAIN</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Restoration Following Casualties.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during the Term, the Building or the Premises shall be damaged by fire or casualty, subject to termination rights of the Landlord and the Tenant provided below in this Article 8, the Landlord shall proceed promptly to exercise diligent efforts to restore, or cause to be restored, the Building to substantially the condition thereof just prior to time of such damage, but the Landlord shall not be responsible for delay in such restoration which may result from External Causes. Provided that the Landlord complies with its obligations to carry casualty insurance in accordance with Section 7.4, the Landlord shall have no obligation to expend in the reconstruction of the Building more than the sum of the amount of any deductible and the actual amount of insurance proceeds made available to the Landlord by its insurer, and any additional costs associated with changes to the Premises desired by the Tenant and permitted by Article 4 shall be paid by the Tenant in the manner reasonably required by the Landlord. Any restoration of the Building or the Premises shall be altered to the extent necessary to comply with then current and applicable laws and codes. The Landlord shall, as soon as possible after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1" w:name="page302"/>
    <w:bookmarkEnd w:id="301"/>
    <w:p>
      <w:pPr>
        <w:spacing w:after="0" w:line="264" w:lineRule="auto"/>
        <w:rPr>
          <w:sz w:val="20"/>
          <w:szCs w:val="20"/>
          <w:color w:val="auto"/>
        </w:rPr>
      </w:pPr>
      <w:r>
        <w:rPr>
          <w:rFonts w:ascii="Arial" w:cs="Arial" w:eastAsia="Arial" w:hAnsi="Arial"/>
          <w:sz w:val="18"/>
          <w:szCs w:val="18"/>
          <w:color w:val="auto"/>
        </w:rPr>
        <w:t>casualty, but in any event no later than sixty (60) days after such casualty, provide to the Tenant a reasonable written estimate (“Contractor’s Estimate”) from a reputable construction or design professional as to the time frame within which the Landlord will be able to repair the casualty damage and the cost of repairing such damage.</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Landlord’s Termination Election.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the Landlord reasonably determines, based upon the Contractor’s Estimate, that (a) the amount of insurance proceeds available to the Landlord is insufficient to cover the cost of restoring the Building by more than the amount of any deductible, or (b) the Landlord will be unable to restore the Building within twelve (12) months from the date of such casualty, then the Landlord may terminate this Lease by giving notice to the Tenant. Any such termination shall be effective on the date designated in such notice from the Landlord, but in any event not later than sixty (60) days after such notice, and if no date is specified, effective upon the delivery of such notice. Failure by the Landlord to give the Tenant notice of termination within sixty (60) days following the occurrence of the casualty shall constitute the Landlord’s agreement to restore the Building as contemplated in Section 8.1.</w:t>
      </w:r>
    </w:p>
    <w:p>
      <w:pPr>
        <w:spacing w:after="0" w:line="16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Tenant’s Termination Elections.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based upon the Contractor’s Estimate, the time period for repairing any casualty damage will exceed twelve (12) months after the date of any casualty, then the Tenant shall have the right, exercisable by written notice given on or before the date thirty (30) days after the Landlord gives to the Tenant the Contractor’s Estimate, to terminate this Lease.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neither the Landlord nor the Tenant exercise their termination rights, but the Landlord has failed to restore the Building, within the longer of twelve (12) months from the date of the casualty or taking or the period of restoration set forth in the Contractor’s Estimate set forth in the Contractor’s Estimate, such period to be subject, however, to extension where the delay in completion of such work is due to External Causes, the Tenant shall have the right to terminate this Lease at any time after the expiration of such period (in either case, as extended by delay due to External Causes as aforesaid) until the restoration is substantially completed, such termination to take effect as of the date of the Tenant’s notice. However, if the Landlord has been diligently prosecuting the repair of all casualty and damage, and if the Landlord reasonably determines at any time, and from time to time, during the restoration, based upon certification by its architect or other design professional, that such restoration will not be able to be completed before the deadline date after which the Tenant may terminate this Lease under this Section 8.3, and the Landlord specifies in a notice to Tenant to such effect a later date that the Landlord estimates will be the date upon which such restoration will be completed, then the Tenant may terminate this Lease within thirty (30) days of the Landlord’s notice as aforesaid, failing which the deadline date shall be extended to the date set forth in Landlord’s notice (as extended by delay due to External Causes as aforesaid). The Landlord shall exercise reasonable efforts to keep the Tenant advised of the status of restoration work from time to time, and promptly following any request for information during the course of the performance of the restoration work.</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302" w:name="page303"/>
    <w:bookmarkEnd w:id="302"/>
    <w:p>
      <w:pPr>
        <w:ind w:left="900"/>
        <w:spacing w:after="0"/>
        <w:tabs>
          <w:tab w:leader="none" w:pos="196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Casualty at Expiration of Lease.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the Premises shall be damaged by fire or casualty in such a manner that the Premises cannot, in the ordinary course, reasonably be expected to be repaired within sixty (60) days from the commencement of repair work and such casualty or damage occurs within the last twelve (12) months of the Term (as the same may have been extended prior to such casualty or damage), either party shall have the right, by giving notice to the other not later than sixty (60) days after such casualty or damage, to terminate this Lease, whereupon this Lease shall terminate as of the date of such notice.</w:t>
      </w:r>
    </w:p>
    <w:p>
      <w:pPr>
        <w:spacing w:after="0" w:line="154"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Eminent Domain.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Except as hereinafter provided, if the Premises, or such portion thereof as to render the balance (if reconstructed to the maximum extent practicable in the circumstances) unsuitable for continued occupancy for the purposes contemplated under this Lease, or if access to the Building or Premises, shall be taken by condemnation or right of eminent domain, the Landlord and the Tenant shall each have the right to terminate this Lease by notice to the other of its desire to do so, provided that such notice is given not later than thirty (30) days after receipt by the Tenant of notice of the effective date of such taking. If so much of the Building shall be so taken that the Landlord reasonably determines, in good faith, that it would be necessary to substantially alter the Building so that a rebuilt Building will not be substantially similar to the Building before such taking, the Landlord shall have the right to terminate this Lease by giving notice to the Tenant of the Landlord’s desire to do so not later than thirty (30) days after the effective date of such taking.</w:t>
      </w:r>
    </w:p>
    <w:p>
      <w:pPr>
        <w:spacing w:after="0" w:line="16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Should any part of the Premises be so taken or condemned during the Term, and should this Lease be not terminated in accordance with the foregoing provisions, the Landlord agrees to use reasonable efforts to put what may remain of the Premises into proper condition for use and occupation as nearly like the condition of the Premises prior to such taking as shall be practicable, subject, however, to applicable laws and codes then in existence. The Landlord shall have no obligation to expend in the aforesaid restoration more than the proceeds of any award received in any condemnation or eminent domain proceeding, or any sum paid in lieu thereof.</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6"/>
          <w:szCs w:val="16"/>
          <w:u w:val="single" w:color="auto"/>
          <w:color w:val="auto"/>
        </w:rPr>
        <w:t>Rent After Casualty or Taking.</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If the Premises shall be damaged by fire or other casualty, until the Lease is terminated or the Premises is restored, the Annual Fixed Rent and Additional Rent shall be justly and equitably abated and reduced according to the nature and extent of the loss of use thereof suffered by the Tenant. In the event of a taking which permanently reduces the area of the Premises, a just proportion of the Annual Fixed Rent and applicable Additional Rent shall be abated for the remainder of the Term.</w:t>
      </w:r>
    </w:p>
    <w:p>
      <w:pPr>
        <w:spacing w:after="0" w:line="18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u w:val="single" w:color="auto"/>
          <w:color w:val="auto"/>
        </w:rPr>
        <w:t>Temporary Taking.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the event of any taking of the Premises or any part thereof for a temporary use not in excess of six (6) months, (i) this Lease shall be and remain unaffected thereby and Annual Fixed Rent and Additional Rent shall not abate, and (ii) the Tenant shall be entitled to receive for itself such portion or portions of any award made for such use with respect to the period of the taking which is within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3" w:name="page304"/>
    <w:bookmarkEnd w:id="303"/>
    <w:p>
      <w:pPr>
        <w:ind w:left="900"/>
        <w:spacing w:after="0"/>
        <w:tabs>
          <w:tab w:leader="none" w:pos="1960" w:val="left"/>
        </w:tabs>
        <w:rPr>
          <w:sz w:val="20"/>
          <w:szCs w:val="20"/>
          <w:color w:val="auto"/>
        </w:rPr>
      </w:pPr>
      <w:r>
        <w:rPr>
          <w:rFonts w:ascii="Arial" w:cs="Arial" w:eastAsia="Arial" w:hAnsi="Arial"/>
          <w:sz w:val="18"/>
          <w:szCs w:val="18"/>
          <w:color w:val="auto"/>
        </w:rPr>
        <w:t>Section 8.8</w:t>
      </w:r>
      <w:r>
        <w:rPr>
          <w:sz w:val="20"/>
          <w:szCs w:val="20"/>
          <w:color w:val="auto"/>
        </w:rPr>
        <w:tab/>
      </w:r>
      <w:r>
        <w:rPr>
          <w:rFonts w:ascii="Arial" w:cs="Arial" w:eastAsia="Arial" w:hAnsi="Arial"/>
          <w:sz w:val="16"/>
          <w:szCs w:val="16"/>
          <w:u w:val="single" w:color="auto"/>
          <w:color w:val="auto"/>
        </w:rPr>
        <w:t>Taking Award.</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Except as otherwise provided in Section 8.7, the Landlord shall have and hereby reserves and accepts, and the Tenant hereby grants and assigns to the Landlord, all rights to recover for damages to the Building and the Land, and the leasehold interest hereby created, and to compensation accrued or hereafter to accrue by reason of such taking, damage or destruction, as aforesaid, and by way of confirming the foregoing, the Tenant hereby grants and assigns to the Landlord, all rights to such damages or compensation. Nothing contained herein shall be construed to prevent the Tenant from prosecuting in any condemnation proceedings a separate claim for relocation expenses, Tenant’s personal property and any amounts paid by Tenant for the Tenant Improvements in excess of the LIA.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Tenant’s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shall constitute an Event of Default:</w:t>
      </w:r>
    </w:p>
    <w:p>
      <w:pPr>
        <w:spacing w:after="0" w:line="225" w:lineRule="exact"/>
        <w:rPr>
          <w:sz w:val="20"/>
          <w:szCs w:val="20"/>
          <w:color w:val="auto"/>
        </w:rPr>
      </w:pPr>
    </w:p>
    <w:p>
      <w:pPr>
        <w:ind w:right="280" w:firstLine="1305"/>
        <w:spacing w:after="0" w:line="264" w:lineRule="auto"/>
        <w:tabs>
          <w:tab w:leader="none" w:pos="19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Failure on the part of the Tenant to pay the Annual Fixed Rent, Additional Rent or other charges for which provision is made herein on or before the date on which the same become due and payable, if such condition continues for ten (10) days after written notice that the same are due.</w:t>
      </w:r>
    </w:p>
    <w:p>
      <w:pPr>
        <w:spacing w:after="0" w:line="181" w:lineRule="exact"/>
        <w:rPr>
          <w:rFonts w:ascii="Arial" w:cs="Arial" w:eastAsia="Arial" w:hAnsi="Arial"/>
          <w:sz w:val="18"/>
          <w:szCs w:val="18"/>
          <w:color w:val="auto"/>
        </w:rPr>
      </w:pPr>
    </w:p>
    <w:p>
      <w:pPr>
        <w:ind w:firstLine="1305"/>
        <w:spacing w:after="0" w:line="279" w:lineRule="auto"/>
        <w:tabs>
          <w:tab w:leader="none" w:pos="200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Failure on the part of the Tenant to perform or observe any other term or condition contained in this Lease if the Tenant shall not cure such failure within thirty (30) days after written notice from the Landlord to the Tenant thereof, provided that in the case of breaches that are not reasonably susceptible to cure within thirty (30) days through the exercise of due diligence, then so long as the Tenant commences such cure within thirty (30) days, and the Tenant diligently pursues such cure to completion, such breach shall not be deemed to create an Event of Default.</w:t>
      </w:r>
    </w:p>
    <w:p>
      <w:pPr>
        <w:spacing w:after="0" w:line="171" w:lineRule="exact"/>
        <w:rPr>
          <w:rFonts w:ascii="Arial" w:cs="Arial" w:eastAsia="Arial" w:hAnsi="Arial"/>
          <w:sz w:val="17"/>
          <w:szCs w:val="17"/>
          <w:color w:val="auto"/>
        </w:rPr>
      </w:pPr>
    </w:p>
    <w:p>
      <w:pPr>
        <w:ind w:right="180" w:firstLine="1305"/>
        <w:spacing w:after="0" w:line="272" w:lineRule="auto"/>
        <w:tabs>
          <w:tab w:leader="none" w:pos="199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taking of the estate hereby created on execution or by other process of law against Tenant; or a judicial declaration that the Tenant, or any guarantor of this Lease, is bankrupt or insolvent according to law; or any assignment of the property of the Tenant, or any guarantor of this Lease, for the benefit of creditors; or the appointment of a receiver, guardian, conservator, trustee in bankruptcy or other similar officer to take charge of all or any substantial part of the property of Tenant, or any guarantor of this Lease, by a court of competent jurisdiction, which officer is not dismissed or removed within (60) days; or the filing of an involuntary petition against the Tenant, or any guarantor of this Lease, under any provisions of the bankruptcy act now or hereafter enacted if the same is not dismissed within sixty (60) days; the filing by the Tenant, or any guarantor of this Lease, of any voluntary petition for relief under provisions of any bankruptcy law now or hereafter enacted.</w:t>
      </w:r>
    </w:p>
    <w:p>
      <w:pPr>
        <w:spacing w:after="0" w:line="17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If an Event of Default shall occur, then, in any such case, whether or not the Term shall have begun, Landlord and its agents lawfully may, in addition to any remedies for any preceding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4" w:name="page305"/>
    <w:bookmarkEnd w:id="304"/>
    <w:p>
      <w:pPr>
        <w:spacing w:after="0" w:line="270" w:lineRule="auto"/>
        <w:rPr>
          <w:sz w:val="20"/>
          <w:szCs w:val="20"/>
          <w:color w:val="auto"/>
        </w:rPr>
      </w:pPr>
      <w:r>
        <w:rPr>
          <w:rFonts w:ascii="Arial" w:cs="Arial" w:eastAsia="Arial" w:hAnsi="Arial"/>
          <w:sz w:val="17"/>
          <w:szCs w:val="17"/>
          <w:color w:val="auto"/>
        </w:rPr>
        <w:t>Event of Default and any remedies otherwise available at law or equity, immediately or at any time thereafter without further demand or notice in accordance with process of law, enter upon any part of the Premises in the name of the whole or mail or deliver a notice of termination of the Term of this Lease addressed to Tenant at the Premises or any other address herein, and thereby terminate the Term and repossess the Premises as of Landlord’s former estate. At Landlord’s election such notice of termination may be included in any notice of default. Upon such entry or mailing the Term shall terminate, all executory rights of Tenant and all obligations of Landlord will immediately cease, and Landlord may expel Tenant and all persons claiming under Tenant and remove their effects without any trespass and without prejudice to any remedies for arrears of rent or prior breach; and Tenant waives all statutory and equitable rights to its leasehold (including rights in the nature of further cure or redemption, if any to the extent such rights may be waived). Subject to Section 9.5, if Landlord engages attorneys in connection with any failure to perform by Tenant hereunder, Tenant shall reimburse Landlord for the reasonable fees of such attorneys on demand as Additional Rent. Without implying that other provisions do not survive, the provisions of this Article shall survive the Term or earlier termination of this Lease.</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5"/>
          <w:szCs w:val="15"/>
          <w:u w:val="single" w:color="auto"/>
          <w:color w:val="auto"/>
        </w:rPr>
        <w:t>Damages.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the event that this Lease is terminated, the Tenant covenants to pay to the Landlord punctually all the sums (“Periodic Payments”) and perform all the obligations which the Tenant covenants in this Lease to pay and to perform in the same manner and to the same extent and at the same time as if this Lease had not been terminated, and all of the Landlord’s expenses in connection with reletting the Premises including, without limitation, all repossession costs, brokerage commissions, fees for legal services and expenses of preparing the Premises for such reletting. However, the Landlord may elect, at any time, to demand in lieu of any further obligations to make Periodic Payments, and payments on account of the Landlord’s reletting costs thereafter accruing, as compensation, an amount (the “Lump Sum Payment”) equal to the excess, if any, of the discounted present value of the total rent reserved for the then remainder of the Term over the then discounted present fair rental value of the Premises for the then remainder of the Term. The discount rate for calculating such sum under the preceding clause (x) shall be the then current rate of United States Treasury securities having a maturity date as close as possible to the end of the Term (had the Lease not been terminated). In calculating the rent reserved, there shall be included, in addition to the Annual Fixed Rent and all Additional Rent, the value of all other considerations agreed to be paid or performed by the Tenant over the remainder of the Term. Should the parties be unable to agree on a fair rental value for the purposes of determining the Lump Sum Payment under clause (x), above, the matter shall be submitted, upon the demand of either party, to the Boston office of the American Arbitration Association, with a request for arbitration in accordance with the rules of the Association by a single arbitrator who shall be real estate broker with at least ten years’ experience marketing major office and laboratory projects in the Boston, Massachusetts area. The parties agree that a decision of the arbitrator shall be conclusive and binding upon them.</w:t>
      </w:r>
    </w:p>
    <w:p>
      <w:pPr>
        <w:spacing w:after="0" w:line="172"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In calculating the Periodic Payments to be made by the Tenant under the foregoing covenant, the Tenant shall be credited with the net proceeds of any rent obtained by reletting the Premises, after deducting all the Landlord’s expenses in connection with such reletting, including, without limitation, all repossession costs, brokerage commissions, fees for legal services and expenses of preparing the Premises for such reletting, provided that Tenant shall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5" w:name="page306"/>
    <w:bookmarkEnd w:id="305"/>
    <w:p>
      <w:pPr>
        <w:ind w:right="20"/>
        <w:spacing w:after="0" w:line="285" w:lineRule="auto"/>
        <w:rPr>
          <w:sz w:val="20"/>
          <w:szCs w:val="20"/>
          <w:color w:val="auto"/>
        </w:rPr>
      </w:pPr>
      <w:r>
        <w:rPr>
          <w:rFonts w:ascii="Arial" w:cs="Arial" w:eastAsia="Arial" w:hAnsi="Arial"/>
          <w:sz w:val="16"/>
          <w:szCs w:val="16"/>
          <w:color w:val="auto"/>
        </w:rPr>
        <w:t>never be entitled to receive any portion of the re-letting proceeds, even if the same exceed the rent originally due hereunder but Tenant shall be credited with such excess amount to offset its obligation to Landlord. The Landlord may (i) relet the Premises, or any part or parts thereof, for a term or terms which may, at the Landlord’s option, exceed or be equal to or less than the period which would otherwise have constituted the balance of the Term, and may grant such concessions and free rent as the Landlord in its reasonable commercial judgment considers advisable or necessary to relet the same, (ii) make such alterations, repairs and improvements in the Premises as the Landlord in its reasonable commercial judgment considers advisable or necessary to relet the same, and</w:t>
      </w:r>
    </w:p>
    <w:p>
      <w:pPr>
        <w:spacing w:after="0" w:line="2" w:lineRule="exact"/>
        <w:rPr>
          <w:sz w:val="20"/>
          <w:szCs w:val="20"/>
          <w:color w:val="auto"/>
        </w:rPr>
      </w:pPr>
    </w:p>
    <w:p>
      <w:pPr>
        <w:ind w:firstLine="8"/>
        <w:spacing w:after="0" w:line="269" w:lineRule="auto"/>
        <w:tabs>
          <w:tab w:leader="none" w:pos="31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obligation to relet imposed by law shall be subject to the reasonable requirements of Landlord to lease to high quality tenants on such terms (based on then-market standards) as Landlord may from time to time deem appropriate and to develop the Building and Park in a harmonious manner with an appropriate mix of uses, tenants, floor areas and terms of tenancies, and the like, and Landlord shall not be obligated to relet the Premises to any party to whom Landlord or its affiliate may desire to lease other available space in the Park. No action of the Landlord in accordance with foregoing or failure to relet or to collect rent under reletting shall operate to release or reduce the Tenant’s liability. The Landlord shall be entitled to seek to rent other properties of the Landlord prior to reletting the Premises without being in breach of any obligation to the Tenant. Landlord agrees to use commercially reasonable efforts to mitigate its damages in the event of a default by Tenant.</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Cumulative Rights.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specific remedies to which either party may resort under the terms of this Lease are cumulative and, except as expressly set forth herein, are not intended to be exclusive of any other remedies or means of redress to which it may be lawfully entitled in case of any breach or threatened breach by the other party of any provisions of this Lease. In addition to the other remedies provided in this Lease, each party shall be entitled to seek the restraint by injunction of the violation or attempted or threatened violation of any of the covenants, conditions or provisions of this Lease or to a decree compelling specific performance of any such covenants, conditions or provisions. Nothing contained in this Lease shall limit or prejudice the right of the Landlord to prove for and obtain in proceedings for bankruptcy, insolvency or like proceedings by reason of the termination of this Lease, an amount equal to the maximum allowed by any statute or rule of law in effect at the time when, and governing the proceedings in which, the damages are to be proved, whether or not the amount be greater, equal to, or less than the amount of the loss or damages referred to above.</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Landlord shall not be required to serve Tenant with any notices or demands as a prerequisite to its exercise of any of its rights or remedies under this Lease, other than those notices and demands specifically required under this Lease. Tenant expressly waives the service of any statutory demand or notice which is a prerequisite to Landlord’s commencement of eviction proceedings against Tenant, including the demands and notices specified in any applicable state statute or case law.</w:t>
      </w:r>
    </w:p>
    <w:p>
      <w:pPr>
        <w:spacing w:after="0" w:line="18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Landlord’s Self help.</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If there shall be an Event of Default, or if emergency circumstances should exist where, upon the giving of notice or passage of time, such circumstances would constitute an Event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6" w:name="page307"/>
    <w:bookmarkEnd w:id="306"/>
    <w:p>
      <w:pPr>
        <w:ind w:right="180"/>
        <w:spacing w:after="0" w:line="276" w:lineRule="auto"/>
        <w:rPr>
          <w:sz w:val="20"/>
          <w:szCs w:val="20"/>
          <w:color w:val="auto"/>
        </w:rPr>
      </w:pPr>
      <w:r>
        <w:rPr>
          <w:rFonts w:ascii="Arial" w:cs="Arial" w:eastAsia="Arial" w:hAnsi="Arial"/>
          <w:sz w:val="17"/>
          <w:szCs w:val="17"/>
          <w:color w:val="auto"/>
        </w:rPr>
        <w:t>Default, then the Landlord shall have the right, but not the obligation, after the giving by the Landlord of notice thereof to the Tenant (except in case of emergency circumstances in which case no prior notice need be given), to perform such obligation. In the event the Landlord exercises its rights under this Section 9.4 in case of emergency, the Landlord shall notify the Tenant as soon as reasonably possible after the taking of such action. The Landlord may exercise its rights under this Section without waiving any other of its rights or releasing the Tenant from any of its obligations under this Lease. The Tenant shall be liable to the Landlord for all of the Landlord’s reasonable costs associated with effecting such cure.</w:t>
      </w:r>
    </w:p>
    <w:p>
      <w:pPr>
        <w:spacing w:after="0" w:line="173"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Enforcement Expenses; Litigation.</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Each party hereto shall promptly reimburse the other for all costs and expenses, including without limitation legal fees, incurred by such party in exercising and enforcing its rights under this Lease following the other party’s failure to comply with its obligations hereunder, whether or not such failure constitutes an Event of Default pursuant to Sections 9.1 or 9.7 hereof.</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either party hereto, without fault, is made or becomes a party to any litigation commenced by or against the other party by or against a third party, or incurs costs or expenses related to such litigation, involving any part of the Property and the enforcement of any of the rights, obligations or remedies of such party without fault, then the party becoming involved in any such litigation because of a claim against such other party hereto shall receive from such other party hereto all costs and reasonable attorneys’ fees incurred by such party in such litigation. Landlord shall pay all reasonable attorney’s fees incurred by Tenant in connection with any legal action concerning an alleged breach of this Lease to the extent that Tenant is the prevailing party. Tenant shall pay all reasonable attorney’s fees incurred by Landlord in connection with any legal action concerning an alleged breach of this Lease to the extent that Landlord is the prevailing party.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 AND TENANT WAIVE TRIAL BY JURY IN ANY ACTION TO WHICH THEY ARE PARTIES UNDER THIS LEASE.</w:t>
      </w:r>
    </w:p>
    <w:p>
      <w:pPr>
        <w:spacing w:after="0" w:line="225"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5"/>
          <w:szCs w:val="15"/>
          <w:u w:val="single" w:color="auto"/>
          <w:color w:val="auto"/>
        </w:rPr>
        <w:t>Late Charges; Interest on Overdue Payments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59" w:lineRule="auto"/>
        <w:tabs>
          <w:tab w:leader="none" w:pos="199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event that any payment of Annual Fixed Rent or Additional Rent shall remain unpaid for a period of ten (10) days following notice by the Landlord to the Tenant that such payment is overdue, there shall become due to the Landlord from the Tenant, as Additional Rent and as compensation for the Landlord’s extra administrative costs in investigating the circumstances of late rent, a late charge of two percent (2%) of the amount overdue.</w:t>
      </w:r>
    </w:p>
    <w:p>
      <w:pPr>
        <w:spacing w:after="0" w:line="186" w:lineRule="exact"/>
        <w:rPr>
          <w:rFonts w:ascii="Arial" w:cs="Arial" w:eastAsia="Arial" w:hAnsi="Arial"/>
          <w:sz w:val="18"/>
          <w:szCs w:val="18"/>
          <w:color w:val="auto"/>
        </w:rPr>
      </w:pPr>
    </w:p>
    <w:p>
      <w:pPr>
        <w:ind w:right="100" w:firstLine="1305"/>
        <w:spacing w:after="0" w:line="259" w:lineRule="auto"/>
        <w:tabs>
          <w:tab w:leader="none" w:pos="200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Annual Fixed Rent and Additional Rent or other amount which is due from either party to the other party which is not paid within ten (10) days after the same is due and payable shall bear interest from the date due until paid at the variable rate (the “Default Interest Rate”) equal to the annual rate from time to time announced by Bank of America as its base rate, plus two percent (2%), or if such rate can no longer be determined, the annual prime rate from time to time announced by The Wall Street Journal, plus four percent (4%).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7" w:name="page308"/>
    <w:bookmarkEnd w:id="307"/>
    <w:p>
      <w:pPr>
        <w:ind w:left="900"/>
        <w:spacing w:after="0"/>
        <w:tabs>
          <w:tab w:leader="none" w:pos="196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Landlord’s Right to Notice and Cure.</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Landlord shall in no event be in default in the performance of any of the Landlord’s obligations hereunder unless and until the Landlord shall have failed to perform such obligations within thirty (30) days, or such additional time as is reasonably required to correct any such default, after written notice by the Tenant to the Landlord expressly specifying wherein the Landlord has failed to perform any such obligation.</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MORTGAGEES’ RIGHTS</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Subordination.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election of the holder of any mortgage (which term for the purpose of this Article shall include a “deed of trust,” “ground lease” or similar financing encumbrance) encumbering the Landlord’s interest in the Property, this Lease shall be subject and subordinate to the lien of any mortgages thereon, so that the rights of any such mortgagee shall be superior to all rights hereby or hereafter vested in the Tenant, subject however to Section 10.5 hereof, provided, that such mortgagee or ground lessor shall have entered into a subordination non-disturbance and attornment agreement with Tenant. The form of subordination, non-disturbance and attornment agreement (“SNDA”) attached hereto as Exhibit is acceptable to Tenant in connection with any mortgage to which this lease shall be subordinated. Landlord shall use commercially reasonable efforts to provide Tenant with agreements in the forms attached to this Lease as Exhibit .</w:t>
      </w:r>
    </w:p>
    <w:p>
      <w:pPr>
        <w:spacing w:after="0" w:line="18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Attornment; Prepayment of Rent not to Bind Mortgagee.</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the event any holder shall succeed to the interest of Landlord, the Tenant shall, and does hereby agree to attorn to such holder and to recognize such holder as its Landlord and Tenant shall promptly execute and deliver any instrument that such holder may reasonably request to evidence such attornment. Upon such attornment, the holder shall not be: (i) liable in any way to the Tenant for any act or omission, neglect or default on the part of Landlord under this Lease; (ii) subject to any counterclaim or setoff which theretofore accrued to Tenant against Landlord, provided that Tenant shall be entitled to the abatement of rent as provided in Sections 2.1, 2.5, 5.3 and Article 8; (iii) bound by any modification of this Lease subsequent to such mortgage entered into without such holder’s consent or by any previous prepayment of regularly scheduled monthly installments of Annual Fixed Rent or more than</w:t>
      </w:r>
    </w:p>
    <w:p>
      <w:pPr>
        <w:spacing w:after="0" w:line="5" w:lineRule="exact"/>
        <w:rPr>
          <w:sz w:val="20"/>
          <w:szCs w:val="20"/>
          <w:color w:val="auto"/>
        </w:rPr>
      </w:pPr>
    </w:p>
    <w:p>
      <w:pPr>
        <w:ind w:right="40" w:firstLine="8"/>
        <w:spacing w:after="0" w:line="292" w:lineRule="auto"/>
        <w:tabs>
          <w:tab w:leader="none" w:pos="25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month, which was not approved in writing by the holder; (iv) liable to the Tenant beyond the holder’s interest in the Property; or (v) liable for any portion of a security deposit not actually received by the holder. The covenant and agreement contained in this Lease with respect to the rights, powers and benefits of any such holder constitute a continuing offer to any person, corporation or other entity, which by accepting or requiring an assignment of this Lease or by entry of foreclosure assumes the obligations herein set forth with respect to such holder; every such holder is hereby constituted a party to this Lease and an obligee hereunder to the same extent as though its name was written hereon as such; and such holder shall at its written election be entitled to enforce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8" w:name="page309"/>
    <w:bookmarkEnd w:id="308"/>
    <w:p>
      <w:pPr>
        <w:ind w:right="160"/>
        <w:spacing w:after="0" w:line="297" w:lineRule="auto"/>
        <w:rPr>
          <w:sz w:val="20"/>
          <w:szCs w:val="20"/>
          <w:color w:val="auto"/>
        </w:rPr>
      </w:pPr>
      <w:r>
        <w:rPr>
          <w:rFonts w:ascii="Arial" w:cs="Arial" w:eastAsia="Arial" w:hAnsi="Arial"/>
          <w:sz w:val="16"/>
          <w:szCs w:val="16"/>
          <w:color w:val="auto"/>
        </w:rPr>
        <w:t>such provisions in its own name. No Annual Fixed Rent, Additional Rent (other than estimated monthly payments on account of Additional Rent which the Tenant is required to pay pursuant to the provisions of this Lease), or any other charge payable to the Landlord shall be paid more than thirty (30) days prior to the due date thereof under the terms of this Lease and payments made in violation of this provision shall, except to the extent that such payments are actually received by a mortgagee (which term shall for the purpose of this Lease include a “trustee,” “ground lessor” or similar holder of a financing encumbrance) be a nullity as against any of Landlord’s mortgagees and the Tenant shall be liable for the amount of such payments to such mortgagee.</w:t>
      </w:r>
    </w:p>
    <w:p>
      <w:pPr>
        <w:spacing w:after="0" w:line="15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Tenant’s Duty to Notify Mortgagee and Mortgagee’s Ability to Cure.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Tenant hereby agrees that, if the Tenant provides the Landlord with any notice of default or claimed default on the part of the Landlord under the Lease, the Tenant shall concurrently therewith send a copy of such notice to the holder of any mortgage of whom the Tenant has been given prior written notice together with its address. In such event, the mortgagee shall be permitted (but not obligated) to cure any such default within the cure period provided to Landlord and any additional period to which such mortgagee shall be entitled pursuant to this Section 10.3. No act or failure to act on the part of the Landlord which would entitle the Tenant under the terms of this Lease, or by law, to be relieved of the Tenant’s obligations to pay Annual Fixed Rent or Additional Rent hereunder or to terminate this Lease, shall result in a release or termination of such obligations of the Tenant or a termination of this Lease unless (i) the Tenant shall have first given written notice of the Landlord’s act or failure to act to any mortgagee of whom Tenant has been given prior notice, specifying the act or failure to act on the part of the Landlord which would give basis to the Tenant’s rights; and (ii) no such mortgagee, after receipt of such notice, shall have corrected or cured the condition complained of within the period provided for Landlord’s cure, plus a reasonable period thereafter not to exceed thirty (30) days.</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Estoppel Certificates.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Tenant shall from time to time, upon not less than ten (10) days’ prior written request by the Landlord, execute, acknowledge and deliver to the Landlord a statement in writing certifying to the Landlord or an independent third party, with a true and correct copy of this Lease attached thereto, together with all amendments thereto, to the extent such statements continue to be true and accurate, (i) that this Lease is unmodified and in full force and effect (or, if there have been any modifications, that the same is in full force and effect as modified and stating the modifications); (ii) that the Tenant has no knowledge of any defenses, offsets or counterclaims against its obligations to pay the Annual Fixed Rent and Additional Rent and to perform its other covenants under this Lease (or if there are any defenses, offsets, or counterclaims, setting them forth in reasonable detail); (iii) that there are no known uncured defaults of the Landlord or the Tenant under this Lease (or if there are known defaults, setting them forth in reasonable detail); (iv) the dates to which the Annual Fixed Rent, Additional Rent and other charges have been paid; (v) that the Tenant has accepted, and is in full possession of the Premises, including all improvements, additions and alterations thereto required to be made by Landlord under the Lease (except to the extent stated); (vi) that the Landlord has satisfactorily complied with all of the requirements and conditions precedent to the occurrence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Commencement Date (except to the extent stated); (vii) that the Tenant has been in occupancy since the Commencement Date and paying rent since the specified dates (except to the extent stated); (viii) that no monetary or other considerations, including, but not limited to, rental concessions for Landlord, special tenant improvements or Landlord’s assumption of prior lease obligations of Tenant have been granted to Tenant by Landlord for entering into Lease (except as set forth in this Lease or as otherwise specified in such estoppel); (ix) that the Tenant has no notice of a prior assignment, hypothecation, or pledge of rents or of the Lease (except to the extent stated); (x) that the Lease represents the entire agreement between Landlord and Tenant; (xi) that any notice to Tenant may be given it by certified or registered mail, return receipt requested, or delivered, at the Premises, or at another address specified; and (xii) such factual other matters with respect to the Tenant and this Lease as the Landlord may reasonably request. Any statement delivered pursuant to this Section may be relied upon by any prospective purchaser, mortgagee, trustee or ground lessor of the Premises or any interest therein, and shall be binding on the Tenant.</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Landlord shall from time to time, upon not less than ten (10) days’ prior written request by the Tenant, execute, acknowledge and deliver to the Tenant a statement in writing certifying to the Tenant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Landlord has no knowledge of any defenses, offsets or counterclaims against its obligations to perform its covenants under this Lease (or if there are any defenses, offsets, or counterclaims, setting them forth in reasonable detail); (iii) that there are no known uncured defaults of the Tenant or the Landlord under this Lease (or if there are known defaults, setting them forth in reasonable detail); (iv) the dates to which the Annual Fixed Rent, Additional Rent and other charges have been paid; (v) that the Tenant is in full possession of the Premises; (vi) that Landlord has no notice of a prior assignment of the Lease or sublease of space therein; (vii) that the Lease represents the entire agreement between Landlord and Tenant; (viii) that any notice to Landlord may be given if by certified or registered mail, return receipt requested, or delivered to the Landlord’s address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or at another address specified; and (xii) such other factual matters with respect to the Tenant and this Lease as the Tenant may reasonably request. Any statement delivered pursuant to this Section may be relied upon by any prospective assignee or sublessee of Tenant and shall be binding on the Landlord.</w:t>
      </w:r>
    </w:p>
    <w:p>
      <w:pPr>
        <w:spacing w:after="0" w:line="180"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Assignment of Rents.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With reference to any assignment by the Landlord of the Landlord’s interest in this Lease, or the rents payable hereunder, conditional in nature or otherwise, which assignment is made to the holder of a mortgage or a ground lessor on property which includes the Premises, the Tenant agrees;</w:t>
      </w:r>
    </w:p>
    <w:p>
      <w:pPr>
        <w:spacing w:after="0" w:line="124" w:lineRule="exact"/>
        <w:rPr>
          <w:sz w:val="20"/>
          <w:szCs w:val="20"/>
          <w:color w:val="auto"/>
        </w:rPr>
      </w:pPr>
    </w:p>
    <w:p>
      <w:pPr>
        <w:ind w:right="300" w:firstLine="1305"/>
        <w:spacing w:after="0" w:line="264" w:lineRule="auto"/>
        <w:tabs>
          <w:tab w:leader="none" w:pos="199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the execution thereof by the Landlord, and the acceptance thereof by the holder of such mortgage or ground lessor, shall never be treated as an assumption by such holder or ground lessor of any of the obligations of the Landlord hereunder, unless such holder or ground lessor shall, by notice sent to the Tenant, specifically make such election;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9" w:name="page310"/>
    <w:bookmarkEnd w:id="309"/>
    <w:p>
      <w:pPr>
        <w:jc w:val="both"/>
        <w:ind w:right="180" w:firstLine="1305"/>
        <w:spacing w:after="0" w:line="264" w:lineRule="auto"/>
        <w:tabs>
          <w:tab w:leader="none" w:pos="20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That, except as aforesaid, such holder or ground lessor shall be treated as having assumed the Landlord’s obligations hereunder only upon foreclosure of such holder’s mortgage or the taking of possession of the Property, or, in the case of a ground lessor, the termination of the ground lease.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SECURITY DEPOSIT</w:t>
      </w:r>
    </w:p>
    <w:p>
      <w:pPr>
        <w:spacing w:after="0" w:line="229" w:lineRule="exact"/>
        <w:rPr>
          <w:sz w:val="20"/>
          <w:szCs w:val="20"/>
          <w:color w:val="auto"/>
        </w:rPr>
      </w:pPr>
    </w:p>
    <w:p>
      <w:pPr>
        <w:ind w:right="100" w:firstLine="656"/>
        <w:spacing w:after="0" w:line="284" w:lineRule="auto"/>
        <w:tabs>
          <w:tab w:leader="none" w:pos="1343"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Upon the execution and delivery of this Lease, Tenant shall deliver to Landlord as security for the performance of the obligations of Tenant hereunder, either a cash deposit or a letter of credit in the Security Deposit amount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accordance with this Section (as renewed, replaced, increased and/or reduced pursuant to this Section, the “Letter of Credit”). If Tenant elects to deliver a Letter of Credit, such Letter of Credit shall be in such form as Landlord may reasonably approve. If there is more than one Letter of Credit so delivered by Tenant, such Letters of Credit shall be collectively hereinafter referred to as the “Letter of Credit”. The Letter of Credit (i) shall be irrevocable and shall be issued by a commercial bank reasonably acceptable to Landlord (Landlord acknowledging that Silicon Valley Bank is an acceptable bank), (ii) shall require only the presentation to the issuer of a certificate of the holder of the Letter of Credit stating either (a) that a default has occurred under this Lease after the expiration of any applicable notice and cure period (or stating that transmittal of a default notice is barred by applicable bankruptcy or other law if such is the case), or</w:t>
      </w:r>
    </w:p>
    <w:p>
      <w:pPr>
        <w:spacing w:after="0" w:line="1" w:lineRule="exact"/>
        <w:rPr>
          <w:rFonts w:ascii="Arial" w:cs="Arial" w:eastAsia="Arial" w:hAnsi="Arial"/>
          <w:sz w:val="16"/>
          <w:szCs w:val="16"/>
          <w:color w:val="auto"/>
        </w:rPr>
      </w:pPr>
    </w:p>
    <w:p>
      <w:pPr>
        <w:ind w:firstLine="8"/>
        <w:spacing w:after="0" w:line="288" w:lineRule="auto"/>
        <w:tabs>
          <w:tab w:leader="none" w:pos="2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stating that Tenant has not delivered to Landlord a new Letter of Credit having a commencement date immediately following the expiration of the existing Letter of Credit in accordance with the requirements of the Lease, (iii) shall be payable to Landlord and its successors in interest as the Landlord and shall be freely transferable without cost to any such successor or any lender holding a collateral assignment of Landlord’s interest in the Lease, (iv) shall be for an initial term of not less than one year and contain a provision that such term shall be automatically renewed for successive one-year periods unless the issuer shall, at least thirty (30) days prior to the scheduled expiration date, give Landlord written notice of such nonrenewal, and (v) shall otherwise be substantially in the form of the letter of credit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 Notwithstanding the foregoing, the term of the Letter of Credit for the final period of the Term shall be for a term ending not earlier then the date forty-five (45) days after the last day of the Term.</w:t>
      </w:r>
    </w:p>
    <w:p>
      <w:pPr>
        <w:spacing w:after="0" w:line="169"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If Tenant shall be in default under the Lease, after the expiration of any applicable notice or cure period (or if transmittal of a default or other notice is stayed or barred by applicable bankruptcy or other law), Landlord shall be entitled to draw upon the Letter of Credit to the extent reasonably necessary to cure such default. If, not less than thirty (30) days before the scheduled expiration of the Letter of Credit, Tenant has not delivered to Landlord a new Letter of Credit having a commencement date immediately following the expiration of the existing Letter of Credit in accordance with this Section, Landlord shall also have the right to draw upon the full amount of the Letter of Credit without giving any further notice to Tenant. Landlord may, but shall not be obligated to, apply the amount so drawn to the extent necessary to cure Tenant’s default under the Lease. Any funds drawn by Landlord on the Letter of Credit and not applied against amounts due hereunder shall be held by Landlord as a cash security deposit, provided that Landlord shall have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0" w:name="page311"/>
    <w:bookmarkEnd w:id="310"/>
    <w:p>
      <w:pPr>
        <w:spacing w:after="0" w:line="257" w:lineRule="auto"/>
        <w:rPr>
          <w:sz w:val="20"/>
          <w:szCs w:val="20"/>
          <w:color w:val="auto"/>
        </w:rPr>
      </w:pPr>
      <w:r>
        <w:rPr>
          <w:rFonts w:ascii="Arial" w:cs="Arial" w:eastAsia="Arial" w:hAnsi="Arial"/>
          <w:sz w:val="18"/>
          <w:szCs w:val="18"/>
          <w:color w:val="auto"/>
        </w:rPr>
        <w:t>no fiduciary duty with regard to such amounts, shall have the right to commingle such amounts with other funds of Landlord, and shall pay no interest on such amounts. After any application of the Letter of Credit by Landlord in accordance with this paragraph, Tenant shall reinstate the Letter of Credit to the amount then required to be maintained hereunder, within thirty (30) days of demand. Within forty-five (45) days after the expiration or earlier termination of the Term the Letter of Credit and any cash security deposit then being held by Landlord, to the extent not applied, shall be returned to the Tenant provided that no Event of Default is then continuing.</w:t>
      </w:r>
    </w:p>
    <w:p>
      <w:pPr>
        <w:spacing w:after="0" w:line="188" w:lineRule="exact"/>
        <w:rPr>
          <w:sz w:val="20"/>
          <w:szCs w:val="20"/>
          <w:color w:val="auto"/>
        </w:rPr>
      </w:pPr>
    </w:p>
    <w:p>
      <w:pPr>
        <w:ind w:left="1360" w:hanging="704"/>
        <w:spacing w:after="0"/>
        <w:tabs>
          <w:tab w:leader="none" w:pos="13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Pledge</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Landlord may pledge its right and interest in and to the cash deposit or Letter of Credit to any mortgagee or ground lessor and, in order to perfect such pledge, have such cash deposit or Letter of Credit held in escrow by such mortgagee or ground lessee or grant such mortgagee or ground lessee a security interest therein. In connection with any such pledge or grant of security interest by the Landlord to a mortgagee or ground lessee (“Pledgee”) of which Tenant receives notice, Tenant covenants and agrees to cooperate as reasonably requested by the Landlord at no additional cost to Tenant, in order to permit the Landlord to implement the same on terms and conditions reasonably required by such Pledgee.</w:t>
      </w:r>
    </w:p>
    <w:p>
      <w:pPr>
        <w:spacing w:after="0" w:line="173" w:lineRule="exact"/>
        <w:rPr>
          <w:sz w:val="20"/>
          <w:szCs w:val="20"/>
          <w:color w:val="auto"/>
        </w:rPr>
      </w:pPr>
    </w:p>
    <w:p>
      <w:pPr>
        <w:ind w:left="1360" w:hanging="704"/>
        <w:spacing w:after="0"/>
        <w:tabs>
          <w:tab w:leader="none" w:pos="13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Transfer of Security Deposit</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event of a sale or other transfer of the Building or transfer of this Lease, Landlord shall transfer the cash deposit or Letter of Credit to the transferee at no cost to Tenant, and upon the assumption in writing of such transferee of the obligations of Landlord under this Lease, Landlord shall thereupon be released by Tenant from all liability for the return of such security. The provisions hereof shall apply to every transfer or assignment made of the security to such a transferee. Tenant further covenants that it will not voluntarily assign or encumber or attempt to assign or encumber the Letter of Credit or the proceeds thereof, and that neither Landlord nor its successors or assigns shall be bound by any assignment, encumbrance, attempted assignment or attempted encumbrance.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Notice of Lease.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Tenant agrees not to record this Lease or any short form or memorandum hereof but Landlord shall, together with this Lease, execute and deliver to Tenant for recording a Notice of Lease in accordance with statutory requirements. If required by applicable securities laws, Tenant may file with the Securities and Exchange Commission (the “SEC”) a copy of this Lease with terms not required to be reported having been redacted.</w:t>
      </w:r>
    </w:p>
    <w:p>
      <w:pPr>
        <w:spacing w:after="0" w:line="166"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Whenever any notice, approval, consent, request, election, offer or acceptance is given or made pursuant to this Lease, it shall be in writing. Communications and payments shall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1" w:name="page312"/>
    <w:bookmarkEnd w:id="311"/>
    <w:p>
      <w:pPr>
        <w:ind w:right="160"/>
        <w:spacing w:after="0" w:line="273" w:lineRule="auto"/>
        <w:rPr>
          <w:sz w:val="20"/>
          <w:szCs w:val="20"/>
          <w:color w:val="auto"/>
        </w:rPr>
      </w:pPr>
      <w:r>
        <w:rPr>
          <w:rFonts w:ascii="Arial" w:cs="Arial" w:eastAsia="Arial" w:hAnsi="Arial"/>
          <w:sz w:val="17"/>
          <w:szCs w:val="17"/>
          <w:color w:val="auto"/>
        </w:rPr>
        <w:t xml:space="preserve">addressed, if to the Landlord, at the Landlord’s Address for Notices as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or at such other address as may have been specified by prior notice to the Tenant; and if to the Tenant, at the Tenant’s Original Address or at such other place as may have been specified by prior notice to the Landlord. Any communication so addressed shall be deemed duly given on the earlier of (i) the date received, or (ii) on the next business day if sent by a nationally recognized overnight courier service. If the Landlord by notice to the Tenant at any time designates some other person to receive payments or notices, all payments or notices thereafter by the Tenant shall be paid or given to the agent designated until notice to the contrary is received by the Tenant from the Landlord. Notices to either party under this Lease may be given by legal counsel to such party.</w:t>
      </w:r>
    </w:p>
    <w:p>
      <w:pPr>
        <w:spacing w:after="0" w:line="1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Successors and Limitation on Liability.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obligations of this Lease shall run with the land, and this Lease shall be binding upon and inure to the benefit of the parties hereto and their respective successors and assigns, except that the original Landlord named herein and each successor Landlord shall be liable only for obligations accruing during the period of its ownership or otherwise reflected in a certificate delivered to it by Tenant pursuant to section 10.4 (or would have been reflected in such a certificate had one been timely requested). Neither the Tenant, nor anyone claiming by, under or through the Tenant, shall be entitled to obtain any judgment in enforcing the terms and conditions of this Lease creating personal liability on the part of the Landlord or enforcing any obligations of the Landlord against any assets of the Landlord other than its interest in the Property, and proceeds therefrom and, without limitation of the foregoing, in no event shall any personal liability arise on the part of any of the Landlord’s officers, employees, directors or shareholders. Likewise, no personal liability shall arise on the part of the Tenant’s officers, employees, directors or shareholders, as this Lease shall create liability on the part of the Tenant and not personal liability on the part of such officers, employees, directors or shareholders.</w:t>
      </w:r>
    </w:p>
    <w:p>
      <w:pPr>
        <w:spacing w:after="0" w:line="182"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5"/>
          <w:szCs w:val="15"/>
          <w:u w:val="single" w:color="auto"/>
          <w:color w:val="auto"/>
        </w:rPr>
        <w:t>Waivers.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failure of the Landlord or the Tenant to seek redress for violation of, or to insist upon strict performance of, any covenant or condition of this Lease, shall not be deemed a waiver of such violation nor prevent a subsequent act, which would have originally constituted a violation, from having all the force and effect of an original violation. The receipt by the Landlord of Annual Fixed Rent or Additional Rent with knowledge of the breach of any covenant of this Lease shall not be deemed a waiver of such breach. No provision of this Lease shall be deemed to have been waived by the Landlord or the Tenant, as the case may be, unless such waiver be in writing signed by the Landlord or the Tenant, as the case may be. No consent or waiver, express or implied, by the Landlord or Tenant to or of any breach of any agreement or duty shall be construed as a waiver or consent to or of any other breach of the same or any other agreement or duty.</w:t>
      </w:r>
    </w:p>
    <w:p>
      <w:pPr>
        <w:spacing w:after="0" w:line="189"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Acceptance of Partial Payments of Rent.</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No acceptance by either party of a lesser sum than the amount then due to such party shall be deemed to be other than a partial installment of such rent due, nor shall any endorsement or statement on any check or any letter accompanying any check or payment as rent be deemed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2" w:name="page313"/>
    <w:bookmarkEnd w:id="312"/>
    <w:p>
      <w:pPr>
        <w:jc w:val="both"/>
        <w:ind w:right="480"/>
        <w:spacing w:after="0" w:line="264" w:lineRule="auto"/>
        <w:rPr>
          <w:sz w:val="20"/>
          <w:szCs w:val="20"/>
          <w:color w:val="auto"/>
        </w:rPr>
      </w:pPr>
      <w:r>
        <w:rPr>
          <w:rFonts w:ascii="Arial" w:cs="Arial" w:eastAsia="Arial" w:hAnsi="Arial"/>
          <w:sz w:val="18"/>
          <w:szCs w:val="18"/>
          <w:color w:val="auto"/>
        </w:rPr>
        <w:t>an accord and satisfaction, and either party may accept such check or payment without prejudice to the other party’s right to recover the balance of such installment or pursue any other remedy in this Lease provided. The delivery of keys to any employee of the Landlord or to the Landlord’s agent or any employee thereof shall not operate as a termination of this Lease or a surrender of the Premises.</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Interpretation and Partial Invalidity.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 The titles of the Articles are for convenience only and not to be considered in construing this Lease. This Lease contains all of the agreements of the parties with respect to the subject matter thereof and supersedes all prior dealings between them with respect to such subject matter.</w:t>
      </w:r>
    </w:p>
    <w:p>
      <w:pPr>
        <w:spacing w:after="0" w:line="18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u w:val="single" w:color="auto"/>
          <w:color w:val="auto"/>
        </w:rPr>
        <w:t>Quiet Enjoyment.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So long as the Tenant pays Annual Fixed Rent and Additional Rent as and when due and no default on the part of Tenant exists beyond any applicable notice and cure period the Tenant shall peaceably and quietly have, hold and enjoy the Premises free of any claims by, through or under, or superior title to, the Landlord including, without limitation, any ground lessor, mortgagee, or manager of the Property.</w:t>
      </w:r>
    </w:p>
    <w:p>
      <w:pPr>
        <w:spacing w:after="0" w:line="181"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6"/>
          <w:szCs w:val="16"/>
          <w:u w:val="single" w:color="auto"/>
          <w:color w:val="auto"/>
        </w:rPr>
        <w:t>Brokerage.</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Each party represents and warrants to the other that it has had no dealings with any broker or agent other than the Broker in connection with this Lease and shall indemnify and hold harmless the other from claims for any brokerage commission (other than by the Broker) arising out a breach of the foregoing representations. Landlord shall be responsible for any commission due to the Broker pursuant to the terms of a separate agreement.</w:t>
      </w:r>
    </w:p>
    <w:p>
      <w:pPr>
        <w:spacing w:after="0" w:line="147"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Surrender of Premises and Holding Over.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Tenant shall surrender possession of the Premises on the last day of the Term and the Tenant waives the right to any notice of termination or notice to quit at the end of the Term. The Tenant covenants that upon the expiration or sooner termination of this Lease, it shall, without notice, deliver up and surrender possession of the Premises broom clean and in the same condition in which the Tenant has agreed to keep the same during the continuance of this Lease and in accordance with the terms hereof, normal wear and tear and damage by fire or other casualty excepted, first removing therefrom all personal property of the Tenant and any alterations or additions required to be removed pursuant to Section 4.2, and repairing all damage caused by such removal. Upon the expiration of this Lease or if the Premises should be abandoned by the Tenant, or this Lease should terminate for any cause, and at the time of such expiration, vacation, abandonment or termination, the Tenant or Tenant’s agents, subtenants or any other person should leave any property of any kind or character on or in the Premises after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3" w:name="page314"/>
    <w:bookmarkEnd w:id="313"/>
    <w:p>
      <w:pPr>
        <w:ind w:right="20"/>
        <w:spacing w:after="0" w:line="257" w:lineRule="auto"/>
        <w:rPr>
          <w:sz w:val="20"/>
          <w:szCs w:val="20"/>
          <w:color w:val="auto"/>
        </w:rPr>
      </w:pPr>
      <w:r>
        <w:rPr>
          <w:rFonts w:ascii="Arial" w:cs="Arial" w:eastAsia="Arial" w:hAnsi="Arial"/>
          <w:sz w:val="18"/>
          <w:szCs w:val="18"/>
          <w:color w:val="auto"/>
        </w:rPr>
        <w:t>having vacated the Premises, the fact of such leaving of property on or in the Premises shall be conclusive evidence of intent by the Tenant, and individuals and entities deriving their rights through the Tenant, to abandon such property so left in or upon the Premises, and such leaving shall constitute abandonment of the property. Landlord shall have the right and authority without notice to the Tenant or anyone else, to remove and destroy, or to sell or authorize disposal of such property, or any part thereof, without being in any way liable to the Tenant therefor and the proceeds thereof shall belong to the Landlord as compensation for the removal and disposition of such property.</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If the Tenant fails to surrender possession of the Premises upon the expiration or sooner termination of this Lease, then Tenant shall be deemed a tenant at sufferance only and Tenant shall pay to Landlord, as rent for any period after the expiration or sooner termination of this Lease an amount equal to one hundred fifty percent (150%) of the Annual Fixed Rent to be paid under this Lease, together with all Additional Rent required under this Lease. Acceptance by the Landlord of such payments shall not constitute a consent to a holdover hereunder or result in a renewal or extension of the Tenant’s rights of occupancy. Such payments shall be in addition to and shall not affect or limit the Landlord’s right of re entry, Landlord’s right to collect such damages as may be available at law, or any other rights of the Landlord under this Lease or as provided by law.</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Prior to the expiration of the Lease, Tenant shall clean and otherwise decommission all interior surfaces (including floors, walls, ceilings and counters), piping, supply lines, waste lines and plumbing in or serving the Premises, and all exhaust or other ductwork in or serving the Premises, in each case that has carried, released or otherwise been exposed to any Hazardous Material due to Tenant’s use or occupancy of the Premises, and shall otherwise clean the Premises so as to permit the report hereinafter called for by this Section 11.10 to be issued. Prior to the expiration of this Lease (or within thirty (30) days after any earlier termination), Tenant, at Tenant’s expense, shall obtain for Landlord a report addressed to Landlord (and, at Tenant’s election, Tenant) by a reputable licensed environmental engineer or industrial hygienist that is designated by Tenant and acceptable to Landlord in Landlord’s reasonable discretion, which report shall be based on the environmental engineer’s or industrial hygienist’s inspection of the Premises and shall state, to the Landlord’s reasonable satisfaction, that (a) the Hazardous Materials described in the first sentence of this paragraph, to the extent if any, existing prior to such decommissioning, have been removed in accordance with applicable laws; (b) all Hazardous Materials described in the first sentence of this paragraph, if any, have been removed in accordance with applicable laws from the interior surfaces of the Premises (including floors, walls, ceilings, and counters), piping, supply lines, waste lines and plumbing, and all such exhaust or other ductwork in the Premises, may be re-used by a subsequent tenant or disposed of in compliance with applicable laws without incurring special costs or undertaking special procedures for demolition, disposal, investigation, assessment, cleaning or removal of such Hazardous Materials and without giving notice in connection with such Hazardous Materials; and (c) the Premises may be re-occupied for office or laboratory use, demolished or renovated without incurring special costs or undertaking special procedures for disposal, investigation, assessment, cleaning or removal of Hazardous Materials described in the first sentence of this paragraph and without giving notice in connection with Hazardous Materials. Further, for purposes of clauses (b) and (c), “special costs” or “special procedures” shall mean costs or procedures, as the case may be, that would not be incurred but for the nature of the Hazardous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4" w:name="page315"/>
    <w:bookmarkEnd w:id="314"/>
    <w:p>
      <w:pPr>
        <w:ind w:right="20"/>
        <w:spacing w:after="0" w:line="277" w:lineRule="auto"/>
        <w:rPr>
          <w:sz w:val="20"/>
          <w:szCs w:val="20"/>
          <w:color w:val="auto"/>
        </w:rPr>
      </w:pPr>
      <w:r>
        <w:rPr>
          <w:rFonts w:ascii="Arial" w:cs="Arial" w:eastAsia="Arial" w:hAnsi="Arial"/>
          <w:sz w:val="18"/>
          <w:szCs w:val="18"/>
          <w:color w:val="auto"/>
        </w:rPr>
        <w:t>Materials as Hazardous Materials instead of non-hazardous materials. The report shall also include reasonable detail concerning the clean-up measures taken, the clean-up locations, the tests run and the analytic results.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Tenant fails to perform its obligations under this Section 11.10, without limiting any other right or remedy, Landlord may, on thirty (30) days’ prior written notice to Tenant (except in an emergency when no prior notice shall be required) perform such obligations, at Tenant’s expense, and Tenant shall, within thirty (30) days of demand, reimburse Landlord for all reasonable out-of-pocket costs and expenses incurred by Landlord in connection with such work. Tenant’s obligations under this Section 11.10 shall survive the expiration or earlier termination of this Lease. In addition, at Landlord’s election, Landlord may inspect the Premises and/or Property for Hazardous Materials at Landlord’s cost and expenses, within thirty (30) days of Tenant’s surrender of the Premises at the expiration or earlier termination of this Lease. Tenant shall pay for all such costs and expenses incurred by Landlord in connection with such inspection if such inspection reveals that a release or threat of release of Hazardous Materials exists at the Property or Premises as a result of the acts or omission of Tenant, its officers, employees, contractors, and agents (except to the extent resulting from the acts or omissions of Landlord or Landlord’s agents, employees or contractors).</w:t>
      </w:r>
    </w:p>
    <w:p>
      <w:pPr>
        <w:spacing w:after="0" w:line="197"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u w:val="single" w:color="auto"/>
          <w:color w:val="auto"/>
        </w:rPr>
        <w:t>Financial Reporting.</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Tenant shall from time to time (but at least annually) on the anniversary of the Lease provide Landlord with financial statements of Tenant, together with related statements of Tenant’s or its parent’s operations for the most recent fiscal year then ended, certified to Landlord by an independent certified public accounting firm. Landlord agrees to keep such financial statements and related statements of operations confidential. If Tenant or its parent is a public company, in lieu of such certification, Landlord may refer to Tenant’s or its parent’s website for such information.</w:t>
      </w:r>
    </w:p>
    <w:p>
      <w:pPr>
        <w:spacing w:after="0" w:line="171" w:lineRule="exact"/>
        <w:rPr>
          <w:sz w:val="20"/>
          <w:szCs w:val="20"/>
          <w:color w:val="auto"/>
        </w:rPr>
      </w:pPr>
    </w:p>
    <w:p>
      <w:pPr>
        <w:ind w:left="900"/>
        <w:spacing w:after="0"/>
        <w:tabs>
          <w:tab w:leader="none" w:pos="208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u w:val="single" w:color="auto"/>
          <w:color w:val="auto"/>
        </w:rPr>
        <w:t>No Consequential Damages.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shall either Landlord or Tenant be liable to the other for consequential damages.</w:t>
      </w:r>
    </w:p>
    <w:p>
      <w:pPr>
        <w:spacing w:after="0" w:line="225"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Lease shall be governed by and construed in accordance with the laws of the Commonwealth of Massachusetts.</w:t>
      </w:r>
    </w:p>
    <w:p>
      <w:pPr>
        <w:spacing w:after="0" w:line="225"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5"/>
          <w:szCs w:val="15"/>
          <w:u w:val="single" w:color="auto"/>
          <w:color w:val="auto"/>
        </w:rPr>
        <w:t>Signage.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Landlord shall provide a listing identifying Tenant on the Building directory located in the Building lobby. Tenant shall be responsible for providing, at its sole cost and expense, signage at the entry to the Premises and any signage within the Premises. All signage pursuant to this Section 12.13 shall be consistent with Landlord’s Signage and Design Standard, if any, applicable to the Building from time to time, and shall be subject to Landlord’s approval, not to be unreasonably withheld, and the approval of applicable governmental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5" w:name="page316"/>
    <w:bookmarkEnd w:id="315"/>
    <w:p>
      <w:pPr>
        <w:ind w:left="900"/>
        <w:spacing w:after="0"/>
        <w:tabs>
          <w:tab w:leader="none" w:pos="210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u w:val="single" w:color="auto"/>
          <w:color w:val="auto"/>
        </w:rPr>
        <w:t>Ground Lease.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This Lease is in all respects subject to the ground lease (the “Ground Lease”) between the Landlord as lessee and Massachusetts Institute of Technology (“MIT”) as lessor dated as of August 20, 1986. If any provision of the Ground Lease shall be inconsistent with the provisions of this Lease, the provisions of the Ground Lease shall be deemed to limit the provisions hereof, except as are expressly otherwise provided in a written agreement signed by MIT, the Landlord and the Tenant. Landlord represents and warrants to Tenant that the term of the Ground Lease extends for a period longer than the Term of this Lease, as the same may be extended pursuant to Section2.6. This Lease is subject to the execution and delivery of a Non-Disturbance Agreement from MIT in the form attached hereto as </w:t>
      </w:r>
      <w:r>
        <w:rPr>
          <w:rFonts w:ascii="Arial" w:cs="Arial" w:eastAsia="Arial" w:hAnsi="Arial"/>
          <w:sz w:val="18"/>
          <w:szCs w:val="18"/>
          <w:u w:val="single" w:color="auto"/>
          <w:color w:val="auto"/>
        </w:rPr>
        <w:t>Exhibit H.</w:t>
      </w:r>
    </w:p>
    <w:p>
      <w:pPr>
        <w:spacing w:after="0" w:line="193"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u w:val="single" w:color="auto"/>
          <w:color w:val="auto"/>
        </w:rPr>
        <w:t>Cambridge Employment Plan.</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Tenant agrees to sign an agreement with the Employment and Training Agency designated by the City Manager of the City of Cambridge as provided in subsections (a) - (g) of Section 24-4 of Ordinance Number 1005 of the City of Cambridge, adopted April 23, 1984.</w:t>
      </w:r>
    </w:p>
    <w:p>
      <w:pPr>
        <w:spacing w:after="0" w:line="147"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Solvent Storage</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Landlord shall manage the allocation of solvent storage quantities for tenants in the Building. Tenant shall be allocated its proportionate share of the allowable share of the Building’s solvent storage capacity of 480 gallons (the fifth floor’s allowable share is 44 gallons, the fourth floor’s allowable share is 60 gallons), such storage to be located in the acid neutralization tank and chemical storage areas, as appropriate, as depicted on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(second page) attached hereto. All solvent storage by Tenant shall be subject to Tenant obtaining and maintaining all required governmental permitting.</w:t>
      </w:r>
    </w:p>
    <w:p>
      <w:pPr>
        <w:spacing w:after="0" w:line="154" w:lineRule="exact"/>
        <w:rPr>
          <w:sz w:val="20"/>
          <w:szCs w:val="20"/>
          <w:color w:val="auto"/>
        </w:rPr>
      </w:pPr>
    </w:p>
    <w:p>
      <w:pPr>
        <w:ind w:left="900"/>
        <w:spacing w:after="0"/>
        <w:tabs>
          <w:tab w:leader="none" w:pos="2100" w:val="left"/>
        </w:tabs>
        <w:rPr>
          <w:sz w:val="20"/>
          <w:szCs w:val="20"/>
          <w:color w:val="auto"/>
        </w:rPr>
      </w:pPr>
      <w:r>
        <w:rPr>
          <w:rFonts w:ascii="Arial" w:cs="Arial" w:eastAsia="Arial" w:hAnsi="Arial"/>
          <w:sz w:val="18"/>
          <w:szCs w:val="18"/>
          <w:color w:val="auto"/>
        </w:rPr>
        <w:t>Section 12.17</w:t>
      </w:r>
      <w:r>
        <w:rPr>
          <w:sz w:val="20"/>
          <w:szCs w:val="20"/>
          <w:color w:val="auto"/>
        </w:rPr>
        <w:tab/>
      </w:r>
      <w:r>
        <w:rPr>
          <w:rFonts w:ascii="Arial" w:cs="Arial" w:eastAsia="Arial" w:hAnsi="Arial"/>
          <w:sz w:val="16"/>
          <w:szCs w:val="16"/>
          <w:u w:val="single" w:color="auto"/>
          <w:color w:val="auto"/>
        </w:rPr>
        <w:t>Protection of REIT Status.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Landlord determines that any of the financial obligations of Tenant to Landlord as set forth in this Lease might (a) fail to qualify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“rents from real property” within the meaning of Section 856(d) of the Internal Revenue Code of 1986, as amended (the “Code”), or (b) otherwise jeopardize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status of any of Landlord’s affiliates, including Forest City Realty Trust, Inc., as a “real estate investment trust” (“REIT”)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856 of the Code, then, at Landlord’s option, Landlord may, in its sole discretion, assign any of its rights and obligations under this Lease to a designee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chosen by Landlord for such purpose (which, in each case, shall be an affiliate of Landlord), or cause one or more such designees (which, in each case,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an affiliate of Landlord) to perform such activities to the extent required to maintain such status as a REIT, provided, however, that any assignment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pursuant to this Section shall not increase Tenant’s obligations nor decrease Tenant’s rights in this Lease, and shall not result in the imposition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additional charge or expense upon Tenant.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Lease has been executed and delivered as of the date first above written as a sealed instrument.</w:t>
      </w:r>
    </w:p>
    <w:p>
      <w:pPr>
        <w:spacing w:after="0" w:line="229"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LANDLORD:</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UP 26 LANDSDOWNE,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FC HCN University Park,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Forest City University Park,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Farley</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Farley</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0760"/>
          </w:cols>
          <w:pgMar w:left="900" w:top="33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Robert J. Gould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388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31388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31388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2">
            <w:col w:w="5540" w:space="280"/>
            <w:col w:w="4940"/>
          </w:cols>
          <w:pgMar w:left="900" w:top="337" w:right="239" w:bottom="1440" w:gutter="0" w:footer="0" w:header="0"/>
          <w:type w:val="continuous"/>
        </w:sectPr>
      </w:pPr>
    </w:p>
    <w:bookmarkStart w:id="317" w:name="page318"/>
    <w:bookmarkEnd w:id="3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Annual Fixed Rent for the 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Extension Option: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Lease Commencement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Landlord Delivery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Rent Commencement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Allowance: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Total Rentable Area of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Parking Privileges:</w:t>
      </w:r>
    </w:p>
    <w:p>
      <w:pPr>
        <w:spacing w:after="0" w:line="20" w:lineRule="exact"/>
        <w:rPr>
          <w:sz w:val="20"/>
          <w:szCs w:val="20"/>
          <w:color w:val="auto"/>
        </w:rPr>
      </w:pPr>
      <w:r>
        <w:rPr>
          <w:sz w:val="20"/>
          <w:szCs w:val="20"/>
          <w:color w:val="auto"/>
        </w:rPr>
        <w:br w:type="column"/>
      </w:r>
    </w:p>
    <w:p>
      <w:pPr>
        <w:jc w:val="center"/>
        <w:ind w:right="47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LEASE TERMS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26 Landsdowne Street, Cambridge, MA</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Premises shall be comprised of approximately 28,731 rentable square feet as follows:</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Floor 5: 21,736 rsf</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Floor 4: 6,995 rsf</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$76.00 per RSF as adjusted per the terms of Section 3.1 hereof.</w:t>
      </w:r>
    </w:p>
    <w:p>
      <w:pPr>
        <w:spacing w:after="0" w:line="225" w:lineRule="exact"/>
        <w:rPr>
          <w:sz w:val="20"/>
          <w:szCs w:val="20"/>
          <w:color w:val="auto"/>
        </w:rPr>
      </w:pPr>
    </w:p>
    <w:p>
      <w:pPr>
        <w:ind w:left="100" w:right="140"/>
        <w:spacing w:after="0" w:line="238" w:lineRule="auto"/>
        <w:rPr>
          <w:sz w:val="20"/>
          <w:szCs w:val="20"/>
          <w:color w:val="auto"/>
        </w:rPr>
      </w:pPr>
      <w:r>
        <w:rPr>
          <w:rFonts w:ascii="Arial" w:cs="Arial" w:eastAsia="Arial" w:hAnsi="Arial"/>
          <w:sz w:val="18"/>
          <w:szCs w:val="18"/>
          <w:color w:val="auto"/>
        </w:rPr>
        <w:t>Approximately ten (10) years and six (6) months, commencing at the Lease Commencement Date and expiring on the last day of the month in which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Rent Commencement Date occurs, as set forth and in accordance with the terms of Section 2.5 hereof.</w:t>
      </w:r>
    </w:p>
    <w:p>
      <w:pPr>
        <w:spacing w:after="0" w:line="202" w:lineRule="exact"/>
        <w:rPr>
          <w:sz w:val="20"/>
          <w:szCs w:val="20"/>
          <w:color w:val="auto"/>
        </w:rPr>
      </w:pPr>
    </w:p>
    <w:p>
      <w:pPr>
        <w:ind w:left="100" w:right="340"/>
        <w:spacing w:after="0" w:line="277" w:lineRule="auto"/>
        <w:rPr>
          <w:sz w:val="20"/>
          <w:szCs w:val="20"/>
          <w:color w:val="auto"/>
        </w:rPr>
      </w:pPr>
      <w:r>
        <w:rPr>
          <w:rFonts w:ascii="Arial" w:cs="Arial" w:eastAsia="Arial" w:hAnsi="Arial"/>
          <w:sz w:val="18"/>
          <w:szCs w:val="18"/>
          <w:color w:val="auto"/>
        </w:rPr>
        <w:t>Tenant shall have one (1) option to extend the term of this Lease for an additional five (5) years, as described in Section 2.6 of the Lease.</w:t>
      </w:r>
    </w:p>
    <w:p>
      <w:pPr>
        <w:spacing w:after="0" w:line="170"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As defined in Section 2.5 Anticipated to be the earlier of (i) December 1, 2017, or (ii) the date which is ten (10) days following notice from Landlord.</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date determined in accordance with Section 2.5. Anticipated to be the earlier of</w:t>
      </w:r>
    </w:p>
    <w:p>
      <w:pPr>
        <w:spacing w:after="0" w:line="35" w:lineRule="exact"/>
        <w:rPr>
          <w:sz w:val="20"/>
          <w:szCs w:val="20"/>
          <w:color w:val="auto"/>
        </w:rPr>
      </w:pPr>
    </w:p>
    <w:p>
      <w:pPr>
        <w:ind w:left="100" w:right="620" w:hanging="10"/>
        <w:spacing w:after="0" w:line="261" w:lineRule="auto"/>
        <w:tabs>
          <w:tab w:leader="none" w:pos="31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December 1, 2017, or (ii) the date which is ten (10) days following notice from Landlord.</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date determined in accordance with Section 2.5.</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$170.00 per rentable square foot or $4,884,270.00</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102,876 rentable square feet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$1,091,778, to be provided pursuant to the terms of Article 11.</w:t>
      </w:r>
    </w:p>
    <w:p>
      <w:pPr>
        <w:spacing w:after="0" w:line="225" w:lineRule="exact"/>
        <w:rPr>
          <w:sz w:val="20"/>
          <w:szCs w:val="20"/>
          <w:color w:val="auto"/>
        </w:rPr>
      </w:pPr>
    </w:p>
    <w:p>
      <w:pPr>
        <w:ind w:left="100"/>
        <w:spacing w:after="0" w:line="297" w:lineRule="auto"/>
        <w:rPr>
          <w:sz w:val="20"/>
          <w:szCs w:val="20"/>
          <w:color w:val="auto"/>
        </w:rPr>
      </w:pPr>
      <w:r>
        <w:rPr>
          <w:rFonts w:ascii="Arial" w:cs="Arial" w:eastAsia="Arial" w:hAnsi="Arial"/>
          <w:sz w:val="16"/>
          <w:szCs w:val="16"/>
          <w:color w:val="auto"/>
        </w:rPr>
        <w:t>Commencing on the Rent Commencement Date and continuing through the Term, Tenant shall be entitled to use and shall pay for 1.5 parking passes per 1,000 rsf (which shall initially be equal to forty-three (43) parking passes) in accordance with Section 2.4 of the Lease. Subject to availability, Tenant shall have the right to lease additional parking spaces from Landlord; such lease for additional parking spaces shall be on a month-to-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175895</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060" w:space="720"/>
            <w:col w:w="6620"/>
          </w:cols>
          <w:pgMar w:left="240" w:top="337" w:right="25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month basis at the then-prevailing fair market value for such parking passes.</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Permitted Uses:</w:t>
            </w:r>
          </w:p>
        </w:tc>
        <w:tc>
          <w:tcPr>
            <w:tcW w:w="7860" w:type="dxa"/>
            <w:vAlign w:val="bottom"/>
          </w:tcPr>
          <w:p>
            <w:pPr>
              <w:ind w:left="1280"/>
              <w:spacing w:after="0"/>
              <w:rPr>
                <w:sz w:val="20"/>
                <w:szCs w:val="20"/>
                <w:color w:val="auto"/>
              </w:rPr>
            </w:pPr>
            <w:r>
              <w:rPr>
                <w:rFonts w:ascii="Arial" w:cs="Arial" w:eastAsia="Arial" w:hAnsi="Arial"/>
                <w:sz w:val="18"/>
                <w:szCs w:val="18"/>
                <w:color w:val="auto"/>
                <w:w w:val="94"/>
              </w:rPr>
              <w:t>Office and/or research and development, laboratory, and vivarium uses, and customary</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accessory uses supporting the foregoing.</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Tenant’s Address for Notices:</w:t>
            </w:r>
          </w:p>
        </w:tc>
        <w:tc>
          <w:tcPr>
            <w:tcW w:w="7860" w:type="dxa"/>
            <w:vAlign w:val="bottom"/>
          </w:tcPr>
          <w:p>
            <w:pPr>
              <w:ind w:left="1280"/>
              <w:spacing w:after="0"/>
              <w:rPr>
                <w:sz w:val="20"/>
                <w:szCs w:val="20"/>
                <w:color w:val="auto"/>
              </w:rPr>
            </w:pPr>
            <w:r>
              <w:rPr>
                <w:rFonts w:ascii="Arial" w:cs="Arial" w:eastAsia="Arial" w:hAnsi="Arial"/>
                <w:sz w:val="18"/>
                <w:szCs w:val="18"/>
                <w:color w:val="auto"/>
              </w:rPr>
              <w:t>Before the Rent Commencement Date:</w:t>
            </w:r>
          </w:p>
        </w:tc>
      </w:tr>
      <w:tr>
        <w:trPr>
          <w:trHeight w:val="418"/>
        </w:trPr>
        <w:tc>
          <w:tcPr>
            <w:tcW w:w="3600" w:type="dxa"/>
            <w:vAlign w:val="bottom"/>
          </w:tcPr>
          <w:p>
            <w:pPr>
              <w:spacing w:after="0"/>
              <w:rPr>
                <w:sz w:val="24"/>
                <w:szCs w:val="24"/>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Fulcrum Therapeutics, Inc.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One Kendall Square</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Building 700, B7102</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Cambridge, Massachusetts 02139</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Chief Executive Officer</w:t>
            </w:r>
          </w:p>
        </w:tc>
      </w:tr>
      <w:tr>
        <w:trPr>
          <w:trHeight w:val="432"/>
        </w:trPr>
        <w:tc>
          <w:tcPr>
            <w:tcW w:w="3600" w:type="dxa"/>
            <w:vAlign w:val="bottom"/>
          </w:tcPr>
          <w:p>
            <w:pPr>
              <w:spacing w:after="0"/>
              <w:rPr>
                <w:sz w:val="24"/>
                <w:szCs w:val="24"/>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After the Rent Commencement Date:</w:t>
            </w:r>
          </w:p>
        </w:tc>
      </w:tr>
      <w:tr>
        <w:trPr>
          <w:trHeight w:val="418"/>
        </w:trPr>
        <w:tc>
          <w:tcPr>
            <w:tcW w:w="3600" w:type="dxa"/>
            <w:vAlign w:val="bottom"/>
          </w:tcPr>
          <w:p>
            <w:pPr>
              <w:spacing w:after="0"/>
              <w:rPr>
                <w:sz w:val="24"/>
                <w:szCs w:val="24"/>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Fulcrum Therapeutics, Inc.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26 Landsdowne Street</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Cambridge, Massachusetts 02139</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Chief Executive Officer</w:t>
            </w:r>
          </w:p>
        </w:tc>
      </w:tr>
      <w:tr>
        <w:trPr>
          <w:trHeight w:val="418"/>
        </w:trPr>
        <w:tc>
          <w:tcPr>
            <w:tcW w:w="3600" w:type="dxa"/>
            <w:vAlign w:val="bottom"/>
          </w:tcPr>
          <w:p>
            <w:pPr>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tc>
        <w:tc>
          <w:tcPr>
            <w:tcW w:w="7860" w:type="dxa"/>
            <w:vAlign w:val="bottom"/>
          </w:tcPr>
          <w:p>
            <w:pPr>
              <w:ind w:left="1280"/>
              <w:spacing w:after="0"/>
              <w:rPr>
                <w:sz w:val="20"/>
                <w:szCs w:val="20"/>
                <w:color w:val="auto"/>
              </w:rPr>
            </w:pPr>
            <w:r>
              <w:rPr>
                <w:rFonts w:ascii="Arial" w:cs="Arial" w:eastAsia="Arial" w:hAnsi="Arial"/>
                <w:sz w:val="18"/>
                <w:szCs w:val="18"/>
                <w:color w:val="auto"/>
              </w:rPr>
              <w:t>Wilmer Cutler Pickering Hale and Dorr LLP</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60 State Street</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Boston, Massachusetts 02109</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Lia Der Marderosian, Esq.</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Landlord’s Original Address:</w:t>
            </w:r>
          </w:p>
        </w:tc>
        <w:tc>
          <w:tcPr>
            <w:tcW w:w="7860" w:type="dxa"/>
            <w:vAlign w:val="bottom"/>
          </w:tcPr>
          <w:p>
            <w:pPr>
              <w:ind w:left="1280"/>
              <w:spacing w:after="0"/>
              <w:rPr>
                <w:sz w:val="20"/>
                <w:szCs w:val="20"/>
                <w:color w:val="auto"/>
              </w:rPr>
            </w:pPr>
            <w:r>
              <w:rPr>
                <w:rFonts w:ascii="Arial" w:cs="Arial" w:eastAsia="Arial" w:hAnsi="Arial"/>
                <w:sz w:val="18"/>
                <w:szCs w:val="18"/>
                <w:color w:val="auto"/>
              </w:rPr>
              <w:t>UP 26 Landsdowne, LLC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1100 Terminal Tower</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50 Public Square</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Cleveland, Ohio 44130</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General Counsel</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Landlord’s Address for Notices:</w:t>
            </w:r>
          </w:p>
        </w:tc>
        <w:tc>
          <w:tcPr>
            <w:tcW w:w="7860" w:type="dxa"/>
            <w:vAlign w:val="bottom"/>
          </w:tcPr>
          <w:p>
            <w:pPr>
              <w:ind w:left="1280"/>
              <w:spacing w:after="0"/>
              <w:rPr>
                <w:sz w:val="20"/>
                <w:szCs w:val="20"/>
                <w:color w:val="auto"/>
              </w:rPr>
            </w:pPr>
            <w:r>
              <w:rPr>
                <w:rFonts w:ascii="Arial" w:cs="Arial" w:eastAsia="Arial" w:hAnsi="Arial"/>
                <w:sz w:val="18"/>
                <w:szCs w:val="18"/>
                <w:color w:val="auto"/>
              </w:rPr>
              <w:t>UP 26 Landsdowne, LLC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c/o Forest City Commercial Group, LLC</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38 Sidney Street, Suite 180</w:t>
            </w:r>
          </w:p>
        </w:tc>
      </w:tr>
      <w:tr>
        <w:trPr>
          <w:trHeight w:val="216"/>
        </w:trPr>
        <w:tc>
          <w:tcPr>
            <w:tcW w:w="360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Cambridge, Massachusetts 02139-4234</w:t>
            </w:r>
          </w:p>
        </w:tc>
      </w:tr>
      <w:tr>
        <w:trPr>
          <w:trHeight w:val="230"/>
        </w:trPr>
        <w:tc>
          <w:tcPr>
            <w:tcW w:w="3600" w:type="dxa"/>
            <w:vAlign w:val="bottom"/>
          </w:tcPr>
          <w:p>
            <w:pPr>
              <w:spacing w:after="0"/>
              <w:rPr>
                <w:sz w:val="20"/>
                <w:szCs w:val="20"/>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Attention: Asset Manager</w:t>
            </w:r>
          </w:p>
        </w:tc>
      </w:tr>
      <w:tr>
        <w:trPr>
          <w:trHeight w:val="348"/>
        </w:trPr>
        <w:tc>
          <w:tcPr>
            <w:tcW w:w="3600" w:type="dxa"/>
            <w:vAlign w:val="bottom"/>
            <w:tcBorders>
              <w:bottom w:val="single" w:sz="8" w:color="808080"/>
            </w:tcBorders>
          </w:tcPr>
          <w:p>
            <w:pPr>
              <w:spacing w:after="0"/>
              <w:rPr>
                <w:sz w:val="24"/>
                <w:szCs w:val="24"/>
                <w:color w:val="auto"/>
              </w:rPr>
            </w:pPr>
          </w:p>
        </w:tc>
        <w:tc>
          <w:tcPr>
            <w:tcW w:w="7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decimal"/>
      <w:start w:val="1"/>
    </w:lvl>
  </w:abstractNum>
  <w:abstractNum w:abstractNumId="1">
    <w:nsid w:val="42963E5A"/>
    <w:multiLevelType w:val="hybridMultilevel"/>
    <w:lvl w:ilvl="0">
      <w:lvlJc w:val="left"/>
      <w:lvlText w:val="(%1)"/>
      <w:numFmt w:val="decimal"/>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1)"/>
      <w:numFmt w:val="decimal"/>
      <w:start w:val="1"/>
    </w:lvl>
  </w:abstractNum>
  <w:abstractNum w:abstractNumId="8">
    <w:nsid w:val="60B6DF70"/>
    <w:multiLevelType w:val="hybridMultilevel"/>
    <w:lvl w:ilvl="0">
      <w:lvlJc w:val="left"/>
      <w:lvlText w:val="(%1)"/>
      <w:numFmt w:val="decimal"/>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
      <w:numFmt w:val="bullet"/>
      <w:start w:val="1"/>
    </w:lvl>
  </w:abstractNum>
  <w:abstractNum w:abstractNumId="46">
    <w:nsid w:val="6A5F7029"/>
    <w:multiLevelType w:val="hybridMultilevel"/>
    <w:lvl w:ilvl="0">
      <w:lvlJc w:val="left"/>
      <w:lvlText w:val="•"/>
      <w:numFmt w:val="bullet"/>
      <w:start w:val="1"/>
    </w:lvl>
  </w:abstractNum>
  <w:abstractNum w:abstractNumId="47">
    <w:nsid w:val="7D5E18F8"/>
    <w:multiLevelType w:val="hybridMultilevel"/>
    <w:lvl w:ilvl="0">
      <w:lvlJc w:val="left"/>
      <w:lvlText w:val="(%1)"/>
      <w:numFmt w:val="decimal"/>
      <w:start w:val="1"/>
    </w:lvl>
  </w:abstractNum>
  <w:abstractNum w:abstractNumId="48">
    <w:nsid w:val="5F3534A4"/>
    <w:multiLevelType w:val="hybridMultilevel"/>
    <w:lvl w:ilvl="0">
      <w:lvlJc w:val="left"/>
      <w:lvlText w:val="•"/>
      <w:numFmt w:val="bullet"/>
      <w:start w:val="1"/>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
      <w:numFmt w:val="bullet"/>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
      <w:numFmt w:val="bullet"/>
      <w:start w:val="1"/>
    </w:lvl>
  </w:abstractNum>
  <w:abstractNum w:abstractNumId="53">
    <w:nsid w:val="14FCE74E"/>
    <w:multiLevelType w:val="hybridMultilevel"/>
    <w:lvl w:ilvl="0">
      <w:lvlJc w:val="left"/>
      <w:lvlText w:val="•"/>
      <w:numFmt w:val="bullet"/>
      <w:start w:val="1"/>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
      <w:numFmt w:val="bullet"/>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1)"/>
      <w:numFmt w:val="decimal"/>
      <w:start w:val="1"/>
    </w:lvl>
  </w:abstractNum>
  <w:abstractNum w:abstractNumId="59">
    <w:nsid w:val="5092CA79"/>
    <w:multiLevelType w:val="hybridMultilevel"/>
    <w:lvl w:ilvl="0">
      <w:lvlJc w:val="left"/>
      <w:lvlText w:val="•"/>
      <w:numFmt w:val="bullet"/>
      <w:start w:val="1"/>
    </w:lvl>
  </w:abstractNum>
  <w:abstractNum w:abstractNumId="60">
    <w:nsid w:val="1D545C4D"/>
    <w:multiLevelType w:val="hybridMultilevel"/>
    <w:lvl w:ilvl="0">
      <w:lvlJc w:val="left"/>
      <w:lvlText w:val="(%1)"/>
      <w:numFmt w:val="decimal"/>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
      <w:numFmt w:val="bullet"/>
      <w:start w:val="1"/>
    </w:lvl>
  </w:abstractNum>
  <w:abstractNum w:abstractNumId="66">
    <w:nsid w:val="51088277"/>
    <w:multiLevelType w:val="hybridMultilevel"/>
    <w:lvl w:ilvl="0">
      <w:lvlJc w:val="left"/>
      <w:lvlText w:val="•"/>
      <w:numFmt w:val="bullet"/>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1)"/>
      <w:numFmt w:val="decimal"/>
      <w:start w:val="1"/>
    </w:lvl>
  </w:abstractNum>
  <w:abstractNum w:abstractNumId="75">
    <w:nsid w:val="3C5991AA"/>
    <w:multiLevelType w:val="hybridMultilevel"/>
    <w:lvl w:ilvl="0">
      <w:lvlJc w:val="left"/>
      <w:lvlText w:val="•"/>
      <w:numFmt w:val="bullet"/>
      <w:start w:val="1"/>
    </w:lvl>
  </w:abstractNum>
  <w:abstractNum w:abstractNumId="76">
    <w:nsid w:val="4BD8591A"/>
    <w:multiLevelType w:val="hybridMultilevel"/>
    <w:lvl w:ilvl="0">
      <w:lvlJc w:val="left"/>
      <w:lvlText w:val="•"/>
      <w:numFmt w:val="bullet"/>
      <w:start w:val="1"/>
    </w:lvl>
  </w:abstractNum>
  <w:abstractNum w:abstractNumId="77">
    <w:nsid w:val="78DF6A55"/>
    <w:multiLevelType w:val="hybridMultilevel"/>
    <w:lvl w:ilvl="0">
      <w:lvlJc w:val="left"/>
      <w:lvlText w:val="•"/>
      <w:numFmt w:val="bullet"/>
      <w:start w:val="1"/>
    </w:lvl>
  </w:abstractNum>
  <w:abstractNum w:abstractNumId="78">
    <w:nsid w:val="39B7AAA2"/>
    <w:multiLevelType w:val="hybridMultilevel"/>
    <w:lvl w:ilvl="0">
      <w:lvlJc w:val="left"/>
      <w:lvlText w:val="•"/>
      <w:numFmt w:val="bullet"/>
      <w:start w:val="1"/>
    </w:lvl>
  </w:abstractNum>
  <w:abstractNum w:abstractNumId="79">
    <w:nsid w:val="2B0D8DBE"/>
    <w:multiLevelType w:val="hybridMultilevel"/>
    <w:lvl w:ilvl="0">
      <w:lvlJc w:val="left"/>
      <w:lvlText w:val="(%1)"/>
      <w:numFmt w:val="decimal"/>
      <w:start w:val="1"/>
    </w:lvl>
  </w:abstractNum>
  <w:abstractNum w:abstractNumId="80">
    <w:nsid w:val="6C80EC70"/>
    <w:multiLevelType w:val="hybridMultilevel"/>
    <w:lvl w:ilvl="0">
      <w:lvlJc w:val="left"/>
      <w:lvlText w:val="(%1)"/>
      <w:numFmt w:val="decimal"/>
      <w:start w:val="2"/>
    </w:lvl>
  </w:abstractNum>
  <w:abstractNum w:abstractNumId="81">
    <w:nsid w:val="379E21B5"/>
    <w:multiLevelType w:val="hybridMultilevel"/>
    <w:lvl w:ilvl="0">
      <w:lvlJc w:val="left"/>
      <w:lvlText w:val="(%1)"/>
      <w:numFmt w:val="decimal"/>
      <w:start w:val="3"/>
    </w:lvl>
  </w:abstractNum>
  <w:abstractNum w:abstractNumId="82">
    <w:nsid w:val="69E373"/>
    <w:multiLevelType w:val="hybridMultilevel"/>
    <w:lvl w:ilvl="0">
      <w:lvlJc w:val="left"/>
      <w:lvlText w:val="•"/>
      <w:numFmt w:val="bullet"/>
      <w:start w:val="1"/>
    </w:lvl>
  </w:abstractNum>
  <w:abstractNum w:abstractNumId="83">
    <w:nsid w:val="2C27173B"/>
    <w:multiLevelType w:val="hybridMultilevel"/>
    <w:lvl w:ilvl="0">
      <w:lvlJc w:val="left"/>
      <w:lvlText w:val="•"/>
      <w:numFmt w:val="bullet"/>
      <w:start w:val="1"/>
    </w:lvl>
  </w:abstractNum>
  <w:abstractNum w:abstractNumId="84">
    <w:nsid w:val="4C9B0904"/>
    <w:multiLevelType w:val="hybridMultilevel"/>
    <w:lvl w:ilvl="0">
      <w:lvlJc w:val="left"/>
      <w:lvlText w:val="•"/>
      <w:numFmt w:val="bullet"/>
      <w:start w:val="1"/>
    </w:lvl>
  </w:abstractNum>
  <w:abstractNum w:abstractNumId="85">
    <w:nsid w:val="6AA7B75C"/>
    <w:multiLevelType w:val="hybridMultilevel"/>
    <w:lvl w:ilvl="0">
      <w:lvlJc w:val="left"/>
      <w:lvlText w:val="•"/>
      <w:numFmt w:val="bullet"/>
      <w:start w:val="1"/>
    </w:lvl>
  </w:abstractNum>
  <w:abstractNum w:abstractNumId="86">
    <w:nsid w:val="1DF029D3"/>
    <w:multiLevelType w:val="hybridMultilevel"/>
    <w:lvl w:ilvl="0">
      <w:lvlJc w:val="left"/>
      <w:lvlText w:val="•"/>
      <w:numFmt w:val="bullet"/>
      <w:start w:val="1"/>
    </w:lvl>
  </w:abstractNum>
  <w:abstractNum w:abstractNumId="87">
    <w:nsid w:val="5675FF36"/>
    <w:multiLevelType w:val="hybridMultilevel"/>
    <w:lvl w:ilvl="0">
      <w:lvlJc w:val="left"/>
      <w:lvlText w:val="•"/>
      <w:numFmt w:val="bullet"/>
      <w:start w:val="1"/>
    </w:lvl>
  </w:abstractNum>
  <w:abstractNum w:abstractNumId="88">
    <w:nsid w:val="3DD15094"/>
    <w:multiLevelType w:val="hybridMultilevel"/>
    <w:lvl w:ilvl="0">
      <w:lvlJc w:val="left"/>
      <w:lvlText w:val="•"/>
      <w:numFmt w:val="bullet"/>
      <w:start w:val="1"/>
    </w:lvl>
  </w:abstractNum>
  <w:abstractNum w:abstractNumId="89">
    <w:nsid w:val="3DB012B3"/>
    <w:multiLevelType w:val="hybridMultilevel"/>
    <w:lvl w:ilvl="0">
      <w:lvlJc w:val="left"/>
      <w:lvlText w:val="•"/>
      <w:numFmt w:val="bullet"/>
      <w:start w:val="1"/>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1)"/>
      <w:numFmt w:val="decimal"/>
      <w:start w:val="1"/>
    </w:lvl>
  </w:abstractNum>
  <w:abstractNum w:abstractNumId="92">
    <w:nsid w:val="175DFCF0"/>
    <w:multiLevelType w:val="hybridMultilevel"/>
    <w:lvl w:ilvl="0">
      <w:lvlJc w:val="left"/>
      <w:lvlText w:val="(%1)"/>
      <w:numFmt w:val="decimal"/>
      <w:start w:val="1"/>
    </w:lvl>
  </w:abstractNum>
  <w:abstractNum w:abstractNumId="93">
    <w:nsid w:val="4F97E3E4"/>
    <w:multiLevelType w:val="hybridMultilevel"/>
    <w:lvl w:ilvl="0">
      <w:lvlJc w:val="left"/>
      <w:lvlText w:val="(%1)"/>
      <w:numFmt w:val="decimal"/>
      <w:start w:val="1"/>
    </w:lvl>
  </w:abstractNum>
  <w:abstractNum w:abstractNumId="94">
    <w:nsid w:val="53B0A9E"/>
    <w:multiLevelType w:val="hybridMultilevel"/>
    <w:lvl w:ilvl="0">
      <w:lvlJc w:val="left"/>
      <w:lvlText w:val="•"/>
      <w:numFmt w:val="bullet"/>
      <w:start w:val="1"/>
    </w:lvl>
  </w:abstractNum>
  <w:abstractNum w:abstractNumId="95">
    <w:nsid w:val="34FD6B4F"/>
    <w:multiLevelType w:val="hybridMultilevel"/>
    <w:lvl w:ilvl="0">
      <w:lvlJc w:val="left"/>
      <w:lvlText w:val="•"/>
      <w:numFmt w:val="bullet"/>
      <w:start w:val="1"/>
    </w:lvl>
  </w:abstractNum>
  <w:abstractNum w:abstractNumId="96">
    <w:nsid w:val="5915FF32"/>
    <w:multiLevelType w:val="hybridMultilevel"/>
    <w:lvl w:ilvl="0">
      <w:lvlJc w:val="left"/>
      <w:lvlText w:val="•"/>
      <w:numFmt w:val="bullet"/>
      <w:start w:val="1"/>
    </w:lvl>
  </w:abstractNum>
  <w:abstractNum w:abstractNumId="97">
    <w:nsid w:val="56438D15"/>
    <w:multiLevelType w:val="hybridMultilevel"/>
    <w:lvl w:ilvl="0">
      <w:lvlJc w:val="left"/>
      <w:lvlText w:val="•"/>
      <w:numFmt w:val="bullet"/>
      <w:start w:val="1"/>
    </w:lvl>
  </w:abstractNum>
  <w:abstractNum w:abstractNumId="98">
    <w:nsid w:val="519E3149"/>
    <w:multiLevelType w:val="hybridMultilevel"/>
    <w:lvl w:ilvl="0">
      <w:lvlJc w:val="left"/>
      <w:lvlText w:val="(%1)"/>
      <w:numFmt w:val="decimal"/>
      <w:start w:val="2"/>
    </w:lvl>
  </w:abstractNum>
  <w:abstractNum w:abstractNumId="99">
    <w:nsid w:val="2C6E4AFD"/>
    <w:multiLevelType w:val="hybridMultilevel"/>
    <w:lvl w:ilvl="0">
      <w:lvlJc w:val="left"/>
      <w:lvlText w:val="(%1)"/>
      <w:numFmt w:val="decimal"/>
      <w:start w:val="10"/>
    </w:lvl>
  </w:abstractNum>
  <w:abstractNum w:abstractNumId="100">
    <w:nsid w:val="17A1B582"/>
    <w:multiLevelType w:val="hybridMultilevel"/>
    <w:lvl w:ilvl="0">
      <w:lvlJc w:val="left"/>
      <w:lvlText w:val="•"/>
      <w:numFmt w:val="bullet"/>
      <w:start w:val="1"/>
    </w:lvl>
  </w:abstractNum>
  <w:abstractNum w:abstractNumId="101">
    <w:nsid w:val="4DF72E4E"/>
    <w:multiLevelType w:val="hybridMultilevel"/>
    <w:lvl w:ilvl="0">
      <w:lvlJc w:val="left"/>
      <w:lvlText w:val="•"/>
      <w:numFmt w:val="bullet"/>
      <w:start w:val="1"/>
    </w:lvl>
  </w:abstractNum>
  <w:abstractNum w:abstractNumId="102">
    <w:nsid w:val="5046B5A9"/>
    <w:multiLevelType w:val="hybridMultilevel"/>
    <w:lvl w:ilvl="0">
      <w:lvlJc w:val="left"/>
      <w:lvlText w:val="•"/>
      <w:numFmt w:val="bullet"/>
      <w:start w:val="1"/>
    </w:lvl>
  </w:abstractNum>
  <w:abstractNum w:abstractNumId="103">
    <w:nsid w:val="5D888A08"/>
    <w:multiLevelType w:val="hybridMultilevel"/>
    <w:lvl w:ilvl="0">
      <w:lvlJc w:val="left"/>
      <w:lvlText w:val="•"/>
      <w:numFmt w:val="bullet"/>
      <w:start w:val="1"/>
    </w:lvl>
  </w:abstractNum>
  <w:abstractNum w:abstractNumId="104">
    <w:nsid w:val="2A082C70"/>
    <w:multiLevelType w:val="hybridMultilevel"/>
    <w:lvl w:ilvl="0">
      <w:lvlJc w:val="left"/>
      <w:lvlText w:val="•"/>
      <w:numFmt w:val="bullet"/>
      <w:start w:val="1"/>
    </w:lvl>
  </w:abstractNum>
  <w:abstractNum w:abstractNumId="105">
    <w:nsid w:val="5EC6AFD4"/>
    <w:multiLevelType w:val="hybridMultilevel"/>
    <w:lvl w:ilvl="0">
      <w:lvlJc w:val="left"/>
      <w:lvlText w:val="•"/>
      <w:numFmt w:val="bullet"/>
      <w:start w:val="1"/>
    </w:lvl>
  </w:abstractNum>
  <w:abstractNum w:abstractNumId="106">
    <w:nsid w:val="19E21BB2"/>
    <w:multiLevelType w:val="hybridMultilevel"/>
    <w:lvl w:ilvl="0">
      <w:lvlJc w:val="left"/>
      <w:lvlText w:val="•"/>
      <w:numFmt w:val="bullet"/>
      <w:start w:val="1"/>
    </w:lvl>
  </w:abstractNum>
  <w:abstractNum w:abstractNumId="107">
    <w:nsid w:val="75E0858A"/>
    <w:multiLevelType w:val="hybridMultilevel"/>
    <w:lvl w:ilvl="0">
      <w:lvlJc w:val="left"/>
      <w:lvlText w:val="•"/>
      <w:numFmt w:val="bullet"/>
      <w:start w:val="1"/>
    </w:lvl>
  </w:abstractNum>
  <w:abstractNum w:abstractNumId="108">
    <w:nsid w:val="57A61A29"/>
    <w:multiLevelType w:val="hybridMultilevel"/>
    <w:lvl w:ilvl="0">
      <w:lvlJc w:val="left"/>
      <w:lvlText w:val="•"/>
      <w:numFmt w:val="bullet"/>
      <w:start w:val="1"/>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
      <w:numFmt w:val="bullet"/>
      <w:start w:val="1"/>
    </w:lvl>
  </w:abstractNum>
  <w:abstractNum w:abstractNumId="111">
    <w:nsid w:val="4427069A"/>
    <w:multiLevelType w:val="hybridMultilevel"/>
    <w:lvl w:ilvl="0">
      <w:lvlJc w:val="left"/>
      <w:lvlText w:val="(%1)"/>
      <w:numFmt w:val="lowerLetter"/>
      <w:start w:val="1"/>
    </w:lvl>
  </w:abstractNum>
  <w:abstractNum w:abstractNumId="112">
    <w:nsid w:val="B37E80A"/>
    <w:multiLevelType w:val="hybridMultilevel"/>
    <w:lvl w:ilvl="0">
      <w:lvlJc w:val="left"/>
      <w:lvlText w:val="(%1)"/>
      <w:numFmt w:val="lowerLetter"/>
      <w:start w:val="1"/>
    </w:lvl>
  </w:abstractNum>
  <w:abstractNum w:abstractNumId="113">
    <w:nsid w:val="2157F6BC"/>
    <w:multiLevelType w:val="hybridMultilevel"/>
    <w:lvl w:ilvl="0">
      <w:lvlJc w:val="left"/>
      <w:lvlText w:val="(%1)"/>
      <w:numFmt w:val="lowerRoman"/>
      <w:start w:val="2"/>
    </w:lvl>
  </w:abstractNum>
  <w:abstractNum w:abstractNumId="114">
    <w:nsid w:val="704E1DD5"/>
    <w:multiLevelType w:val="hybridMultilevel"/>
    <w:lvl w:ilvl="0">
      <w:lvlJc w:val="left"/>
      <w:lvlText w:val="(%1)"/>
      <w:numFmt w:val="decimal"/>
      <w:start w:val="1"/>
    </w:lvl>
  </w:abstractNum>
  <w:abstractNum w:abstractNumId="115">
    <w:nsid w:val="57D2F10E"/>
    <w:multiLevelType w:val="hybridMultilevel"/>
    <w:lvl w:ilvl="0">
      <w:lvlJc w:val="left"/>
      <w:lvlText w:val="(%1)"/>
      <w:numFmt w:val="lowerLetter"/>
      <w:start w:val="1"/>
    </w:lvl>
  </w:abstractNum>
  <w:abstractNum w:abstractNumId="116">
    <w:nsid w:val="BFFAE18"/>
    <w:multiLevelType w:val="hybridMultilevel"/>
    <w:lvl w:ilvl="0">
      <w:lvlJc w:val="left"/>
      <w:lvlText w:val="*"/>
      <w:numFmt w:val="bullet"/>
      <w:start w:val="1"/>
    </w:lvl>
  </w:abstractNum>
  <w:abstractNum w:abstractNumId="117">
    <w:nsid w:val="E3E47A8"/>
    <w:multiLevelType w:val="hybridMultilevel"/>
    <w:lvl w:ilvl="0">
      <w:lvlJc w:val="left"/>
      <w:lvlText w:val="(%1)"/>
      <w:numFmt w:val="lowerLetter"/>
      <w:start w:val="2"/>
    </w:lvl>
  </w:abstractNum>
  <w:abstractNum w:abstractNumId="118">
    <w:nsid w:val="2E48F04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9">
    <w:nsid w:val="49D0FEAC"/>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20">
    <w:nsid w:val="4BEE5A5B"/>
    <w:multiLevelType w:val="hybridMultilevel"/>
    <w:lvl w:ilvl="0">
      <w:lvlJc w:val="left"/>
      <w:lvlText w:val="(%1)"/>
      <w:numFmt w:val="lowerLetter"/>
      <w:start w:val="1"/>
    </w:lvl>
  </w:abstractNum>
  <w:abstractNum w:abstractNumId="121">
    <w:nsid w:val="5551B9F3"/>
    <w:multiLevelType w:val="hybridMultilevel"/>
    <w:lvl w:ilvl="0">
      <w:lvlJc w:val="left"/>
      <w:lvlText w:val="(%1)"/>
      <w:numFmt w:val="lowerLetter"/>
      <w:start w:val="2"/>
    </w:lvl>
  </w:abstractNum>
  <w:abstractNum w:abstractNumId="122">
    <w:nsid w:val="24F6AB8E"/>
    <w:multiLevelType w:val="hybridMultilevel"/>
    <w:lvl w:ilvl="0">
      <w:lvlJc w:val="left"/>
      <w:lvlText w:val="%1"/>
      <w:numFmt w:val="lowerLetter"/>
      <w:start w:val="1"/>
    </w:lvl>
    <w:lvl w:ilvl="1">
      <w:lvlJc w:val="left"/>
      <w:lvlText w:val="(%2)"/>
      <w:numFmt w:val="lowerLetter"/>
      <w:start w:val="1"/>
    </w:lvl>
  </w:abstractNum>
  <w:abstractNum w:abstractNumId="123">
    <w:nsid w:val="634C574C"/>
    <w:multiLevelType w:val="hybridMultilevel"/>
    <w:lvl w:ilvl="0">
      <w:lvlJc w:val="left"/>
      <w:lvlText w:val="(%1)"/>
      <w:numFmt w:val="lowerLetter"/>
      <w:start w:val="61"/>
    </w:lvl>
    <w:lvl w:ilvl="1">
      <w:lvlJc w:val="left"/>
      <w:lvlText w:val="(%2)"/>
      <w:numFmt w:val="lowerLetter"/>
      <w:start w:val="2"/>
    </w:lvl>
  </w:abstractNum>
  <w:abstractNum w:abstractNumId="124">
    <w:nsid w:val="24E99DD7"/>
    <w:multiLevelType w:val="hybridMultilevel"/>
    <w:lvl w:ilvl="0">
      <w:lvlJc w:val="left"/>
      <w:lvlText w:val="(%1)"/>
      <w:numFmt w:val="decimal"/>
      <w:start w:val="10"/>
    </w:lvl>
  </w:abstractNum>
  <w:abstractNum w:abstractNumId="125">
    <w:nsid w:val="2A31B62D"/>
    <w:multiLevelType w:val="hybridMultilevel"/>
    <w:lvl w:ilvl="0">
      <w:lvlJc w:val="left"/>
      <w:lvlText w:val="(%1)"/>
      <w:numFmt w:val="lowerRoman"/>
      <w:start w:val="2"/>
    </w:lvl>
  </w:abstractNum>
  <w:abstractNum w:abstractNumId="126">
    <w:nsid w:val="1849C29B"/>
    <w:multiLevelType w:val="hybridMultilevel"/>
    <w:lvl w:ilvl="0">
      <w:lvlJc w:val="left"/>
      <w:lvlText w:val="(%1)"/>
      <w:numFmt w:val="lowerLetter"/>
      <w:start w:val="1"/>
    </w:lvl>
  </w:abstractNum>
  <w:abstractNum w:abstractNumId="127">
    <w:nsid w:val="7DFF9D09"/>
    <w:multiLevelType w:val="hybridMultilevel"/>
    <w:lvl w:ilvl="0">
      <w:lvlJc w:val="left"/>
      <w:lvlText w:val="(%1)"/>
      <w:numFmt w:val="decimal"/>
      <w:start w:val="10"/>
    </w:lvl>
  </w:abstractNum>
  <w:abstractNum w:abstractNumId="128">
    <w:nsid w:val="754342"/>
    <w:multiLevelType w:val="hybridMultilevel"/>
    <w:lvl w:ilvl="0">
      <w:lvlJc w:val="left"/>
      <w:lvlText w:val="(%1)"/>
      <w:numFmt w:val="decimal"/>
      <w:start w:val="10"/>
    </w:lvl>
  </w:abstractNum>
  <w:abstractNum w:abstractNumId="129">
    <w:nsid w:val="69E7F3E5"/>
    <w:multiLevelType w:val="hybridMultilevel"/>
    <w:lvl w:ilvl="0">
      <w:lvlJc w:val="left"/>
      <w:lvlText w:val="(%1)"/>
      <w:numFmt w:val="lowerLetter"/>
      <w:start w:val="1"/>
    </w:lvl>
  </w:abstractNum>
  <w:abstractNum w:abstractNumId="130">
    <w:nsid w:val="2A6DE806"/>
    <w:multiLevelType w:val="hybridMultilevel"/>
    <w:lvl w:ilvl="0">
      <w:lvlJc w:val="left"/>
      <w:lvlText w:val="(%1)"/>
      <w:numFmt w:val="lowerLetter"/>
      <w:start w:val="1"/>
    </w:lvl>
  </w:abstractNum>
  <w:abstractNum w:abstractNumId="131">
    <w:nsid w:val="1816F8C4"/>
    <w:multiLevelType w:val="hybridMultilevel"/>
    <w:lvl w:ilvl="0">
      <w:lvlJc w:val="left"/>
      <w:lvlText w:val="(%1)"/>
      <w:numFmt w:val="lowerLetter"/>
      <w:start w:val="1"/>
    </w:lvl>
  </w:abstractNum>
  <w:abstractNum w:abstractNumId="132">
    <w:nsid w:val="37DF2233"/>
    <w:multiLevelType w:val="hybridMultilevel"/>
    <w:lvl w:ilvl="0">
      <w:lvlJc w:val="left"/>
      <w:lvlText w:val="(%1)"/>
      <w:numFmt w:val="lowerLetter"/>
      <w:start w:val="4"/>
    </w:lvl>
  </w:abstractNum>
  <w:abstractNum w:abstractNumId="133">
    <w:nsid w:val="7AB49DAF"/>
    <w:multiLevelType w:val="hybridMultilevel"/>
    <w:lvl w:ilvl="0">
      <w:lvlJc w:val="left"/>
      <w:lvlText w:val="(%1)"/>
      <w:numFmt w:val="lowerLetter"/>
      <w:start w:val="14"/>
    </w:lvl>
  </w:abstractNum>
  <w:abstractNum w:abstractNumId="134">
    <w:nsid w:val="759F82CD"/>
    <w:multiLevelType w:val="hybridMultilevel"/>
    <w:lvl w:ilvl="0">
      <w:lvlJc w:val="left"/>
      <w:lvlText w:val="(%1)"/>
      <w:numFmt w:val="lowerLetter"/>
      <w:start w:val="15"/>
    </w:lvl>
  </w:abstractNum>
  <w:abstractNum w:abstractNumId="135">
    <w:nsid w:val="61E74EA3"/>
    <w:multiLevelType w:val="hybridMultilevel"/>
    <w:lvl w:ilvl="0">
      <w:lvlJc w:val="left"/>
      <w:lvlText w:val="(%1)"/>
      <w:numFmt w:val="lowerLetter"/>
      <w:start w:val="19"/>
    </w:lvl>
  </w:abstractNum>
  <w:abstractNum w:abstractNumId="136">
    <w:nsid w:val="597B4D84"/>
    <w:multiLevelType w:val="hybridMultilevel"/>
    <w:lvl w:ilvl="0">
      <w:lvlJc w:val="left"/>
      <w:lvlText w:val="(%1)"/>
      <w:numFmt w:val="decimal"/>
      <w:start w:val="6"/>
    </w:lvl>
  </w:abstractNum>
  <w:abstractNum w:abstractNumId="137">
    <w:nsid w:val="F819E7F"/>
    <w:multiLevelType w:val="hybridMultilevel"/>
    <w:lvl w:ilvl="0">
      <w:lvlJc w:val="left"/>
      <w:lvlText w:val="(%1)"/>
      <w:numFmt w:val="decimal"/>
      <w:start w:val="6"/>
    </w:lvl>
  </w:abstractNum>
  <w:abstractNum w:abstractNumId="138">
    <w:nsid w:val="57C7D42D"/>
    <w:multiLevelType w:val="hybridMultilevel"/>
    <w:lvl w:ilvl="0">
      <w:lvlJc w:val="left"/>
      <w:lvlText w:val="(%1)"/>
      <w:numFmt w:val="lowerRoman"/>
      <w:start w:val="1"/>
    </w:lvl>
  </w:abstractNum>
  <w:abstractNum w:abstractNumId="139">
    <w:nsid w:val="312167AD"/>
    <w:multiLevelType w:val="hybridMultilevel"/>
    <w:lvl w:ilvl="0">
      <w:lvlJc w:val="left"/>
      <w:lvlText w:val="(%1)"/>
      <w:numFmt w:val="lowerLetter"/>
      <w:start w:val="1"/>
    </w:lvl>
  </w:abstractNum>
  <w:abstractNum w:abstractNumId="140">
    <w:nsid w:val="631B64D4"/>
    <w:multiLevelType w:val="hybridMultilevel"/>
    <w:lvl w:ilvl="0">
      <w:lvlJc w:val="left"/>
      <w:lvlText w:val="(%1)"/>
      <w:numFmt w:val="lowerLetter"/>
      <w:start w:val="2"/>
    </w:lvl>
  </w:abstractNum>
  <w:abstractNum w:abstractNumId="141">
    <w:nsid w:val="78B5E776"/>
    <w:multiLevelType w:val="hybridMultilevel"/>
    <w:lvl w:ilvl="0">
      <w:lvlJc w:val="left"/>
      <w:lvlText w:val="(%1)"/>
      <w:numFmt w:val="lowerLetter"/>
      <w:start w:val="1"/>
    </w:lvl>
  </w:abstractNum>
  <w:abstractNum w:abstractNumId="142">
    <w:nsid w:val="75486E47"/>
    <w:multiLevelType w:val="hybridMultilevel"/>
    <w:lvl w:ilvl="0">
      <w:lvlJc w:val="left"/>
      <w:lvlText w:val="(%1)"/>
      <w:numFmt w:val="lowerLetter"/>
      <w:start w:val="1"/>
    </w:lvl>
  </w:abstractNum>
  <w:abstractNum w:abstractNumId="143">
    <w:nsid w:val="6E534CDE"/>
    <w:multiLevelType w:val="hybridMultilevel"/>
    <w:lvl w:ilvl="0">
      <w:lvlJc w:val="left"/>
      <w:lvlText w:val="(%1)"/>
      <w:numFmt w:val="lowerRoman"/>
      <w:start w:val="3"/>
    </w:lvl>
  </w:abstractNum>
  <w:abstractNum w:abstractNumId="144">
    <w:nsid w:val="1A0DDE32"/>
    <w:multiLevelType w:val="hybridMultilevel"/>
    <w:lvl w:ilvl="0">
      <w:lvlJc w:val="left"/>
      <w:lvlText w:val="(%1)"/>
      <w:numFmt w:val="lowerLetter"/>
      <w:start w:val="1"/>
    </w:lvl>
  </w:abstractNum>
  <w:abstractNum w:abstractNumId="145">
    <w:nsid w:val="65968C1C"/>
    <w:multiLevelType w:val="hybridMultilevel"/>
    <w:lvl w:ilvl="0">
      <w:lvlJc w:val="left"/>
      <w:lvlText w:val="(%1)"/>
      <w:numFmt w:val="decimal"/>
      <w:start w:val="1"/>
    </w:lvl>
  </w:abstractNum>
  <w:abstractNum w:abstractNumId="146">
    <w:nsid w:val="46263DEC"/>
    <w:multiLevelType w:val="hybridMultilevel"/>
    <w:lvl w:ilvl="0">
      <w:lvlJc w:val="left"/>
      <w:lvlText w:val="(%1)"/>
      <w:numFmt w:val="lowerLetter"/>
      <w:start w:val="1"/>
    </w:lvl>
  </w:abstractNum>
  <w:abstractNum w:abstractNumId="147">
    <w:nsid w:val="260D8C4A"/>
    <w:multiLevelType w:val="hybridMultilevel"/>
    <w:lvl w:ilvl="0">
      <w:lvlJc w:val="left"/>
      <w:lvlText w:val="(%1)"/>
      <w:numFmt w:val="lowerLetter"/>
      <w:start w:val="2"/>
    </w:lvl>
  </w:abstractNum>
  <w:abstractNum w:abstractNumId="148">
    <w:nsid w:val="73D4D3C4"/>
    <w:multiLevelType w:val="hybridMultilevel"/>
    <w:lvl w:ilvl="0">
      <w:lvlJc w:val="left"/>
      <w:lvlText w:val="%1"/>
      <w:numFmt w:val="lowerLetter"/>
      <w:start w:val="1"/>
    </w:lvl>
    <w:lvl w:ilvl="1">
      <w:lvlJc w:val="left"/>
      <w:lvlText w:val="(%2)"/>
      <w:numFmt w:val="lowerLetter"/>
      <w:start w:val="1"/>
    </w:lvl>
  </w:abstractNum>
  <w:abstractNum w:abstractNumId="149">
    <w:nsid w:val="746F2E30"/>
    <w:multiLevelType w:val="hybridMultilevel"/>
    <w:lvl w:ilvl="0">
      <w:lvlJc w:val="left"/>
      <w:lvlText w:val="(%1)"/>
      <w:numFmt w:val="lowerLetter"/>
      <w:start w:val="2"/>
    </w:lvl>
    <w:lvl w:ilvl="1">
      <w:lvlJc w:val="left"/>
      <w:lvlText w:val="%2"/>
      <w:numFmt w:val="lowerLetter"/>
      <w:start w:val="1"/>
    </w:lvl>
  </w:abstractNum>
  <w:abstractNum w:abstractNumId="150">
    <w:nsid w:val="6FDE8AF6"/>
    <w:multiLevelType w:val="hybridMultilevel"/>
    <w:lvl w:ilvl="0">
      <w:lvlJc w:val="left"/>
      <w:lvlText w:val="(%1)"/>
      <w:numFmt w:val="lowerLetter"/>
      <w:start w:val="2"/>
    </w:lvl>
  </w:abstractNum>
  <w:abstractNum w:abstractNumId="151">
    <w:nsid w:val="3FC32E20"/>
    <w:multiLevelType w:val="hybridMultilevel"/>
    <w:lvl w:ilvl="0">
      <w:lvlJc w:val="left"/>
      <w:lvlText w:val="(%1)"/>
      <w:numFmt w:val="lowerLetter"/>
      <w:start w:val="3"/>
    </w:lvl>
  </w:abstractNum>
  <w:abstractNum w:abstractNumId="152">
    <w:nsid w:val="49C0E8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2019-12-01T22:56:43Z</dcterms:created>
  <dcterms:modified xsi:type="dcterms:W3CDTF">2019-12-01T22:56:43Z</dcterms:modified>
</cp:coreProperties>
</file>